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7467d8k.htm"/>
      <w:bookmarkStart w:id="1" w:name="ksd5746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BEYOND MEAT,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1985"/>
        <w:gridCol w:w="60"/>
        <w:gridCol w:w="1055"/>
        <w:gridCol w:w="60"/>
        <w:gridCol w:w="170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001-38879</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26-4087597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888 N. Douglas Street, Suite 100</w:t>
      </w:r>
    </w:p>
    <w:p>
      <w:pPr>
        <w:pStyle w:val="TextBody"/>
        <w:bidi w:val="0"/>
        <w:spacing w:before="0" w:after="0"/>
        <w:jc w:val="center"/>
        <w:rPr>
          <w:rFonts w:ascii="Times New Roman" w:hAnsi="Times New Roman"/>
          <w:b/>
          <w:sz w:val="20"/>
        </w:rPr>
      </w:pPr>
      <w:r>
        <w:rPr>
          <w:rFonts w:ascii="Times New Roman" w:hAnsi="Times New Roman"/>
          <w:b/>
          <w:sz w:val="20"/>
        </w:rPr>
        <w:t>El Segundo, California 90245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(866) 756-4112</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245"/>
        <w:gridCol w:w="8915"/>
      </w:tblGrid>
      <w:tr>
        <w:trPr/>
        <w:tc>
          <w:tcPr>
            <w:tcW w:w="245"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60" w:type="dxa"/>
        <w:jc w:val="left"/>
        <w:tblInd w:w="0" w:type="dxa"/>
        <w:tblLayout w:type="fixed"/>
        <w:tblCellMar>
          <w:top w:w="0" w:type="dxa"/>
          <w:left w:w="0" w:type="dxa"/>
          <w:bottom w:w="0" w:type="dxa"/>
          <w:right w:w="0" w:type="dxa"/>
        </w:tblCellMar>
      </w:tblPr>
      <w:tblGrid>
        <w:gridCol w:w="3350"/>
        <w:gridCol w:w="60"/>
        <w:gridCol w:w="740"/>
        <w:gridCol w:w="60"/>
        <w:gridCol w:w="3050"/>
      </w:tblGrid>
      <w:tr>
        <w:trPr/>
        <w:tc>
          <w:tcPr>
            <w:tcW w:w="3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3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350" w:type="dxa"/>
            <w:tcBorders/>
            <w:vAlign w:val="center"/>
          </w:tcPr>
          <w:p>
            <w:pPr>
              <w:pStyle w:val="TableContents"/>
              <w:bidi w:val="0"/>
              <w:spacing w:before="0" w:after="283"/>
              <w:jc w:val="center"/>
              <w:rPr/>
            </w:pPr>
            <w:r>
              <w:rPr/>
              <w:t>Common Stock, $0.0001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BYND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17, 2026, Beyond Meat, Inc. (the “Company”) announced it is engaged in private discussions with certain holders of its 7.00% Convertible Senior Secured Second Lien PIK Toggle Notes due 2030 (the “2030 Notes”) regarding an amendment to the indenture governing the 2030 Notes to remove certain restrictions on the Company’s ability to repurchase or exchange the Company’s outstanding 0% Convertible Senior Notes due 2027 (the “2027 Notes”) for cash and/or equity consideration and extend the end date of the make-whole period used for calculating the interest make-whole adjustment that applies to conversions of 2030 Notes from October 15, 2028 to January 15, 2029. Any such amendments would not be effective until the Company and the trustee under the 2030 Notes indenture enter into a supplemental indenture giving effect to such amendments on the basis of consents received on behalf of holders of 2030 Notes representing a majority of the principal amount of the 2030 Notes outstanding. There can be no assurances that such consents will be obtained or that the supplemental indenture will be entered into. If any supplemental indenture were entered into, the Company would announce the entry into such supplemental indenture by filing a Current Report on Form 8-K announcing the entry into the supplemental indenture; however, the Company does not expect to make any additional disclosure in the event such supplemental indenture is not entered into.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does not constitute an offer to sell, or the solicitation of an offer to buy, any securities, nor shall there be any sale of securities in any state or jurisdiction in which such offer, solicitation or sale would be unlawful prior to registration or qualification under the securities laws of any such state or jurisdiction.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General Instruction B.2 of Form 8-K, the information contained or incorporated by reference in this Item 7.01, shall not be deemed “filed” for the purposes of Section 18 of the Securities Exchange Act of 1934, as amended (the “Exchange Act”), or otherwise subject to the liabilities of that section, nor shall it be deemed to be incorporated by reference into any filing under the Securities Act of 1933, as amended, or the Exchange Act, regardless of any general incorporation language in such filing, except as shall be expressly set forth by specific reference in such a filing.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Current Report on Form 8-K constitute “forward-looking statements” within the meaning of the federal securities laws. These statements are based on management’s current opinions, expectations, beliefs, plans, objectives, assumptions or projections regarding future events or future results. Forward-looking statements include statements regarding whether or not a supplemental indenture may be entered into. These forward-looking statements are only predictions, not historical fact, and involve certain risks and uncertainties, as well as assumptions, including the Company’s ability to obtain consents from holders of 2030 Notes.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the risks discussed under the heading “Risk Factors” in the Company’s Annual Report on Form 10-K for the fiscal year ended December 31, 2025 filed with the Securities and Exchange Commission (“SEC”) on April 9, 2026 and the Company’s Quarterly Report on Form 10-Q for the fiscal quarter ended March 28, 2026 filed with the SEC on May 7, 2026, as well as other factors described from time to time in the Company’s filings with the SEC. Such forward-looking statements are made only as of the date of this Current Report on Form 8-K. The Company undertakes no obligation to publicly update or revise any forward-looking statement because of new information, future events or otherwise, except as otherwise required by law. If it does update one or more forward-looking statements, no inference should be made that the Company will make additional updates with respect to those or other forward-looking statements.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Exchange Act, the registrant has duly caused this report to be signed on its behalf by the undersigned hereunto duly authorized.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380"/>
        <w:gridCol w:w="60"/>
        <w:gridCol w:w="359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4030" w:type="dxa"/>
            <w:gridSpan w:val="3"/>
            <w:tcBorders/>
            <w:vAlign w:val="center"/>
          </w:tcPr>
          <w:p>
            <w:pPr>
              <w:pStyle w:val="TableContents"/>
              <w:bidi w:val="0"/>
              <w:spacing w:before="0" w:after="283"/>
              <w:jc w:val="left"/>
              <w:rPr/>
            </w:pPr>
            <w:r>
              <w:rPr/>
              <w:t>BEYOND MEAT,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Lubi Kutua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Lubi Kutua</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Chief Financial Officer and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17,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1068</Words>
  <Characters>5830</Characters>
  <CharactersWithSpaces>6879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