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20"/>
          </w:cols>
          <w:pgMar w:left="460" w:top="225" w:right="459" w:bottom="46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Muth Charles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119 STANDARD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BYND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Growth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45"/>
          </w:cols>
          <w:pgMar w:left="460" w:top="225" w:right="459" w:bottom="46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EL SEGUNDO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5"/>
          </w:tcPr>
          <w:p>
            <w:pPr>
              <w:jc w:val="center"/>
              <w:ind w:righ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135.7743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42,339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136.8239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41,639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3,193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137.9019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38,446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Laura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0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135.7043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18,980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Muth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Laura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0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(1)(6)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136.8151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18,180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Muth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Laura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0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(1)(7)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5,980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137.9649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Muth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Laura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0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(1)(8)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138.889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10,100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Muth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Laura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139.67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Muth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Charles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0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(1)(9)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135.7452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8,700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Muth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Charles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4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(1)(10)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137.4135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Muth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25" w:right="459" w:bottom="463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549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54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Charles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04/07/2021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(1)(11)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138.2359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Muth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Rule 10b5-1 trading plan adopted by the Reporting Person or an affiliate of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$135.41 to $136.30.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$136.47 to $137.18.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$137.51 to $138.49.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$135.40 to $135.89.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$136.46 to $137.13.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$137.51 to $138.50.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$138.54 to $139.49.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$135.44 to $136.37.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00" w:firstLine="7"/>
        <w:spacing w:after="0" w:line="301" w:lineRule="auto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$136.74 to $137.69.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ind w:left="40" w:right="220" w:firstLine="7"/>
        <w:spacing w:after="0" w:line="292" w:lineRule="auto"/>
        <w:tabs>
          <w:tab w:leader="none" w:pos="2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$137.93 to $138.49. The price reported above reflects the weighted average sale price. The Reporting Person hereby undertakes to provide, upon request,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Teri L. Witteman,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25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758612" TargetMode="External"/><Relationship Id="rId13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2021-04-09T18:27:32Z</dcterms:created>
  <dcterms:modified xsi:type="dcterms:W3CDTF">2021-04-09T18:27:32Z</dcterms:modified>
</cp:coreProperties>
</file>