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0690d8k.htm"/>
      <w:bookmarkStart w:id="1" w:name="ksd6069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October 15,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BEYOND MEAT,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60" w:type="dxa"/>
        <w:jc w:val="left"/>
        <w:tblInd w:w="0" w:type="dxa"/>
        <w:tblLayout w:type="fixed"/>
        <w:tblCellMar>
          <w:top w:w="0" w:type="dxa"/>
          <w:left w:w="0" w:type="dxa"/>
          <w:bottom w:w="0" w:type="dxa"/>
          <w:right w:w="0" w:type="dxa"/>
        </w:tblCellMar>
      </w:tblPr>
      <w:tblGrid>
        <w:gridCol w:w="1985"/>
        <w:gridCol w:w="60"/>
        <w:gridCol w:w="1055"/>
        <w:gridCol w:w="60"/>
        <w:gridCol w:w="170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001-38879</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26-4087597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left"/>
        <w:rPr/>
      </w:pPr>
      <w:r>
        <w:rPr/>
        <w:t> </w:t>
      </w:r>
    </w:p>
    <w:tbl>
      <w:tblPr>
        <w:tblW w:w="5900" w:type="dxa"/>
        <w:jc w:val="left"/>
        <w:tblInd w:w="0" w:type="dxa"/>
        <w:tblLayout w:type="fixed"/>
        <w:tblCellMar>
          <w:top w:w="0" w:type="dxa"/>
          <w:left w:w="0" w:type="dxa"/>
          <w:bottom w:w="0" w:type="dxa"/>
          <w:right w:w="0" w:type="dxa"/>
        </w:tblCellMar>
      </w:tblPr>
      <w:tblGrid>
        <w:gridCol w:w="5900"/>
      </w:tblGrid>
      <w:tr>
        <w:trPr/>
        <w:tc>
          <w:tcPr>
            <w:tcW w:w="5900" w:type="dxa"/>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283"/>
              <w:jc w:val="center"/>
              <w:rPr>
                <w:b/>
              </w:rPr>
            </w:pPr>
            <w:r>
              <w:rPr>
                <w:b/>
              </w:rPr>
              <w:t>888 N. Douglas Street, Suite 100</w:t>
            </w:r>
          </w:p>
        </w:tc>
      </w:tr>
      <w:tr>
        <w:trPr/>
        <w:tc>
          <w:tcPr>
            <w:tcW w:w="5900" w:type="dxa"/>
            <w:tcBorders/>
            <w:vAlign w:val="center"/>
          </w:tcPr>
          <w:p>
            <w:pPr>
              <w:pStyle w:val="TableContents"/>
              <w:bidi w:val="0"/>
              <w:spacing w:before="0" w:after="283"/>
              <w:jc w:val="center"/>
              <w:rPr>
                <w:b/>
              </w:rPr>
            </w:pPr>
            <w:r>
              <w:rPr>
                <w:b/>
              </w:rPr>
              <w:t>El Segundo, California 90245</w:t>
            </w:r>
          </w:p>
        </w:tc>
      </w:tr>
      <w:tr>
        <w:trPr/>
        <w:tc>
          <w:tcPr>
            <w:tcW w:w="5900" w:type="dxa"/>
            <w:tcBorders/>
            <w:vAlign w:val="center"/>
          </w:tcPr>
          <w:p>
            <w:pPr>
              <w:pStyle w:val="TableContents"/>
              <w:bidi w:val="0"/>
              <w:spacing w:before="0" w:after="283"/>
              <w:jc w:val="center"/>
              <w:rPr>
                <w:b/>
              </w:rPr>
            </w:pPr>
            <w:r>
              <w:rPr>
                <w:b/>
              </w:rPr>
              <w:t>(Address of principal executive offices, including zip code)</w:t>
            </w:r>
          </w:p>
        </w:tc>
      </w:tr>
      <w:tr>
        <w:trPr/>
        <w:tc>
          <w:tcPr>
            <w:tcW w:w="5900" w:type="dxa"/>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283"/>
              <w:jc w:val="center"/>
              <w:rPr>
                <w:b/>
              </w:rPr>
            </w:pPr>
            <w:r>
              <w:rPr>
                <w:b/>
              </w:rPr>
              <w:t>(866) 756-4112</w:t>
            </w:r>
          </w:p>
        </w:tc>
      </w:tr>
      <w:tr>
        <w:trPr/>
        <w:tc>
          <w:tcPr>
            <w:tcW w:w="5900" w:type="dxa"/>
            <w:tcBorders/>
            <w:vAlign w:val="center"/>
          </w:tcPr>
          <w:p>
            <w:pPr>
              <w:pStyle w:val="TableContents"/>
              <w:bidi w:val="0"/>
              <w:spacing w:before="0" w:after="283"/>
              <w:jc w:val="center"/>
              <w:rPr>
                <w:b/>
              </w:rPr>
            </w:pPr>
            <w:r>
              <w:rPr>
                <w:b/>
              </w:rPr>
              <w:t>(Registrant’s telephone number, including area code)</w:t>
            </w:r>
          </w:p>
        </w:tc>
      </w:tr>
    </w:tbl>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230"/>
        <w:gridCol w:w="89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60" w:type="dxa"/>
        <w:jc w:val="left"/>
        <w:tblInd w:w="0" w:type="dxa"/>
        <w:tblLayout w:type="fixed"/>
        <w:tblCellMar>
          <w:top w:w="0" w:type="dxa"/>
          <w:left w:w="0" w:type="dxa"/>
          <w:bottom w:w="0" w:type="dxa"/>
          <w:right w:w="0" w:type="dxa"/>
        </w:tblCellMar>
      </w:tblPr>
      <w:tblGrid>
        <w:gridCol w:w="3350"/>
        <w:gridCol w:w="60"/>
        <w:gridCol w:w="740"/>
        <w:gridCol w:w="60"/>
        <w:gridCol w:w="3050"/>
      </w:tblGrid>
      <w:tr>
        <w:trPr/>
        <w:tc>
          <w:tcPr>
            <w:tcW w:w="3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3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350" w:type="dxa"/>
            <w:tcBorders/>
            <w:vAlign w:val="center"/>
          </w:tcPr>
          <w:p>
            <w:pPr>
              <w:pStyle w:val="TableContents"/>
              <w:bidi w:val="0"/>
              <w:spacing w:before="0" w:after="283"/>
              <w:jc w:val="center"/>
              <w:rPr/>
            </w:pPr>
            <w:r>
              <w:rPr/>
              <w:t>Common Stock, $0.0001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BYND</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b/>
          <w:i/>
          <w:sz w:val="20"/>
        </w:rPr>
      </w:pPr>
      <w:r>
        <w:rPr>
          <w:rFonts w:ascii="Times New Roman" w:hAnsi="Times New Roman"/>
          <w:b/>
          <w:i/>
          <w:sz w:val="20"/>
        </w:rPr>
        <w:t xml:space="preserve">Early Settlement of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On October 15, 2025 (the “Early Settlement Date”), Beyond Meat, Inc. (the “Company”) completed the early settlement of the exchange of the 0% Convertible Senior Notes due 2027 (the “Existing Convertible Notes”) that were validly tendered on or before the early tender deadline of 5:00 p.m., New York City time, on October 10, 2025 (the “Early Tender Date”) in the Company’s previously announced exchange offer (the “Exchange Offer”) to exchange any and all of the Existing Convertible Notes for a combination of up to $202.5 million in aggregate principal amount of newly issued 7.00% Convertible Senior Secured Second Lien PIK Toggle Notes due 2030 (the “New Convertible Notes”) and up to 326,190,270 shares of the Company’s common stock (the “New Shares”). The Company also completed the concurrent solicitation of consents (the “Consent Solicitation”) from holders of the Existing Convertible Notes to adopt certain amendments to the indenture governing the Existing Convertible Notes (the “Existing Convertible Notes Indenture”) dated as of March 5, 2021, and entered into a supplemental indenture (the “Supplemental Indenture”) to the Existing Convertible Notes Indenture with U.S. Bank, National Association, as trustee (the “Existing Convertible Notes Trustee”). The Supplemental Indenture eliminates substantially all of the restrictive covenants in the Existing Convertible Notes Indenture as well as certain events of default and related provisions applicable to the Existing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For the remaining holders of Existing Convertible Notes that did not tender their Existing Convertible Notes prior to the Early Tender Date, the Exchange Offer will expire at 5:00 p.m., New York City time, on October 28, 2025 (such time and date, as the same may be extended, the “Expiration Deadline”), unless extended or earlier terminated. The withdrawal deadline for the Exchange Offer and Consent Solicitation occurred at 5:00 p.m., New York City time, on October 10, 2025 (the “Withdrawal Deadline”). As a result, and because the Withdrawal Deadline is not being extended, tenders of the Existing Convertible Notes and related consents may no longer be withdrawn, except in limited circumstances where additional withdrawal rights are required by law. If all conditions to the Exchange Offer have been or are concurrently satisfied or waived at or prior to the Expiration Deadline, unless extended, the Company will accept for exchange any remaining Existing Convertible Notes that were validly tendered in the Exchange Offer following the Early Tender Date and at or prior to the Expiration Deadline, and not validly withdrawn at or prior to the Withdrawal Deadline (the date of such exchange, the “Final Settlement Date”). The Final Settlement Date, if any, will be promptly after the Expiration Deadline and is currently expected to occur on October 30, 2025, the second business day immediately following the Expiration Deadline. </w:t>
      </w:r>
    </w:p>
    <w:p>
      <w:pPr>
        <w:pStyle w:val="TextBody"/>
        <w:bidi w:val="0"/>
        <w:spacing w:before="240" w:after="0"/>
        <w:jc w:val="left"/>
        <w:rPr>
          <w:rFonts w:ascii="Times New Roman" w:hAnsi="Times New Roman"/>
          <w:sz w:val="20"/>
        </w:rPr>
      </w:pPr>
      <w:r>
        <w:rPr>
          <w:rFonts w:ascii="Times New Roman" w:hAnsi="Times New Roman"/>
          <w:sz w:val="20"/>
        </w:rPr>
        <w:t xml:space="preserve">As previously announced, in connection with the Exchange Offer and Consent Solicitation, the Company entered into a transaction support agreement dated September 29, 2025 (the “Transaction Support Agreement”) with certain beneficial owners or nominees, investment managers or advisors for beneficial holders of the Existing Convertible Notes who held approximately 47% of the aggregate principal amount of the Existing Convertible Notes (the “Supporting Noteholders”) as of the effective date of the Transaction Support Agreement. The Company agreed in the Transaction Support Agreement to pay or cause to be paid to the Supporting Noteholders, in proportion to the principal amount of Existing Convertible Notes held by each such Supporting Noteholder, a non-refundable amount at the initial settlement date of the New Convertible Notes equal to $12.5 million in aggregate principal amount of New Convertible Notes (the “SteerCo Premium”).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early settlement of the Exchange Offer, $1,114,603,000 in aggregate principal amount of the Existing Convertible Notes were validly tendered, accepted for exchange by the Company and subsequently cancelled (collectively, the “Tendered Notes”). Following such cancellation, $35,397,000 in aggregate principal amount of the Existing Convertible Notes remain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early settlement of the Exchange Offer, on October 15, 2025, the Company issued (i) $196,217,000 in aggregate principal amount of New Convertible Notes and (ii) 316,150,176 New Shares, in exchange for the validly tendered and accepted Existing Convertible Notes. In addition, the Company issued an additional $12.5 million in aggregate principal amount of New Convertible Notes as payment of the SteerCo Premium, for a total of $208,717,000 in aggregate principal amount of New Convertible Notes.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New Convertible Notes and New Shares offered in the Exchange Offer, and the shares of common stock issuable upon conversion of the New Convertible Notes, have not been, and will not be, registered under the Securities Act of 1933, as amended (the “Securities Act”), or any other securities laws. This Current Report on Form 8-K shall not constitute an offer to sell, or the solicitation of an offer to buy, the New Convertible Notes and New Shares offered in the Exchange Offer, the shares underlying the New Convertible Notes, the Existing Convertible Notes or any other securities, nor will there be any sale of such securities or any other securities, in any state or other jurisdiction in which such offer, sale or solicitation would be unlawful. </w:t>
      </w:r>
    </w:p>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New Convertible Notes Indenture </w:t>
      </w:r>
    </w:p>
    <w:p>
      <w:pPr>
        <w:pStyle w:val="TextBody"/>
        <w:bidi w:val="0"/>
        <w:spacing w:before="120" w:after="0"/>
        <w:jc w:val="left"/>
        <w:rPr>
          <w:rFonts w:ascii="Times New Roman" w:hAnsi="Times New Roman"/>
          <w:sz w:val="20"/>
        </w:rPr>
      </w:pPr>
      <w:r>
        <w:rPr>
          <w:rFonts w:ascii="Times New Roman" w:hAnsi="Times New Roman"/>
          <w:sz w:val="20"/>
        </w:rPr>
        <w:t xml:space="preserve">The New Convertible Notes were issued pursuant to an indenture, dated as of October 15, 2025 (the “New Convertible Notes Indenture”), by and between the Company and Wilmington Trust, National Association, as trustee and collateral agent (in such capacity, the “Collateral Agent”). </w:t>
      </w:r>
    </w:p>
    <w:p>
      <w:pPr>
        <w:pStyle w:val="TextBody"/>
        <w:bidi w:val="0"/>
        <w:spacing w:before="240" w:after="0"/>
        <w:jc w:val="left"/>
        <w:rPr>
          <w:rFonts w:ascii="Times New Roman" w:hAnsi="Times New Roman"/>
          <w:sz w:val="20"/>
        </w:rPr>
      </w:pPr>
      <w:r>
        <w:rPr>
          <w:rFonts w:ascii="Times New Roman" w:hAnsi="Times New Roman"/>
          <w:sz w:val="20"/>
        </w:rPr>
        <w:t>The New Convertible Notes are secured, second lien obligations of the Company. The New Convertible Notes will mature on October 15, 2030, unless earlier redeemed, converted, equitized or repurchased in accordance with the terms of the New Convertible Notes. The New Convertible Notes bear interest at a rate of 7.00% per annum from October 15, 2025, which interest may be paid in cash or, subject to certain limitations, in shares of common stock. At the option of the Company, interest on the New Convertible Notes may be accrued and compounded in whole or in part for any interest period as “payment-in-kind” interest at a rate of 9.50% per annum from October 15, 2025. Initially, the New Convertible Notes will not be guaranteed; however, the Company has agreed to cause each of its current and future wholly owned subsidiaries, subject to certain customary exceptions, to guarantee the New Convertible Notes and to grant a second-priority security interest in its assets (subject to certain exceptions). The Company has also agreed to take commercially reasonable efforts, including seeking advice and consultation procedures with the works council, to cause its subsidiary, Beyond Meat EU B.V., a private company with limited liability (</w:t>
      </w:r>
      <w:r>
        <w:rPr>
          <w:rFonts w:ascii="Times New Roman" w:hAnsi="Times New Roman"/>
          <w:i/>
          <w:sz w:val="20"/>
        </w:rPr>
        <w:t>besloten vennootschap met beperkte aansprakelijkheid</w:t>
      </w:r>
      <w:r>
        <w:rPr>
          <w:rFonts w:ascii="Times New Roman" w:hAnsi="Times New Roman"/>
          <w:sz w:val="20"/>
        </w:rPr>
        <w:t xml:space="preserve">) incorporated under the laws of the Netherlands (the “Dutch Entity”), to guarantee the New Convertible Notes and grant to the Collateral Agent a second-priority security interest in its assets (subject to certain exceptions), and to grant to the Collateral Agent a second-priority security interest in the Company’s equity interest in the Dutch Entity (subject to certain exceptions), in each case, following the closing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rate for the New Convertible Notes will initially be a number of shares of common stock per $1,000 principal amount of New Convertible Notes equal to the lesser of (i) 1,029.2716 and (ii) an amount calculated based on a 10% premium to a reference price determined over an observation period consisting of 20 consecutive trading days immediately following October 15, 2025, with such conversion rate subject to customary adjustments. The conversion rate will be increased for conversions occurring prior to October 15, 2028 to reflect a “make-whole” premium, payable in the form of shares of common stock, to compensate holders for interest that would have been payable to such date. </w:t>
      </w:r>
    </w:p>
    <w:p>
      <w:pPr>
        <w:pStyle w:val="TextBody"/>
        <w:bidi w:val="0"/>
        <w:spacing w:before="240" w:after="0"/>
        <w:jc w:val="left"/>
        <w:rPr>
          <w:rFonts w:ascii="Times New Roman" w:hAnsi="Times New Roman"/>
          <w:sz w:val="20"/>
        </w:rPr>
      </w:pPr>
      <w:r>
        <w:rPr>
          <w:rFonts w:ascii="Times New Roman" w:hAnsi="Times New Roman"/>
          <w:sz w:val="20"/>
        </w:rPr>
        <w:t xml:space="preserve">Prior to obtaining stockholder approval of certain proposals that will allow the issuance of common stock pursuant to the terms of the New Convertible Notes, the Company will be permitted to satisfy its obligations upon conversion of the New Convertible Notes only in the form of cash settlement. Following such stockholder approval, the Company will be permitted to satisfy its obligations under the New Convertible Notes with any settlement method it is otherwise permitted to elect, including by physical settlement of shares of common stock. A holder of New Convertible Notes will not be permitted to convert its New Convertible Notes at any time prior to the earlier of, (a) the date of the first special meeting at which the Company seeks stockholder approval of such proposals, whether or not such approvals are obtained and (b) the date that is 61 calendar days following the initial settlement date of the New Convertible Notes. The New Convertible Notes will be convertible at any time following such date and prior to the close of business on the second trading day immediately preceding the maturity date. </w:t>
      </w:r>
    </w:p>
    <w:p>
      <w:pPr>
        <w:pStyle w:val="TextBody"/>
        <w:bidi w:val="0"/>
        <w:spacing w:before="240" w:after="0"/>
        <w:jc w:val="left"/>
        <w:rPr>
          <w:rFonts w:ascii="Times New Roman" w:hAnsi="Times New Roman"/>
          <w:sz w:val="20"/>
        </w:rPr>
      </w:pPr>
      <w:r>
        <w:rPr>
          <w:rFonts w:ascii="Times New Roman" w:hAnsi="Times New Roman"/>
          <w:sz w:val="20"/>
        </w:rPr>
        <w:t xml:space="preserve">The New Convertible Notes Indenture includes incurrence based negative covenants, including but not limited to, limitations on debt, limitations on liens, limitations on investments, limitations on mergers, consolidations, and sales of all or substantially all assets, limitations on transactions with affiliates, limitations on restricted payments, limitations on asset sales, limitations on dividends and other payment restrictions affecting any direct or indirect subsidiaries, limitations on future guarantees by subsidiaries without such subsidiaries also guaranteeing the New Convertible Notes, limitations on disposals of assets, limitations on impairment of security, a negative pledge on the assets of the Dutch Entity if it does not guarantee the New Convertible Notes and restrictions on certain liability management priming transactions with respect to the New Convertible Notes. The New Convertible Notes Indenture also includes a covenant requiring minimum liquidity of $15.0 million, to be tested quarterly, a requirement that the Company will not permit more than $60.0 million in aggregate principal amount of the Existing Convertible Notes to remain outstanding as of or following the date that is 90 days prior to the maturity of the Existing Convertible Notes, a covenant that limits the Company’s ability to repurchase, redeem, retire, exchange or otherwise acquire the Existing Convertible Notes other than pursuant to the prices and other conditions set forth in the New Convertible Notes Indenture and a cap of $60.0 million on the amount of cash that can be used to repay the Existing Convertible Notes at the maturity of such notes, subject to increase to the extent of any equity raises by the Company.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certain circumstances and subject to conditions set forth in the New Convertible Notes Indenture, the Company may elect to redeem, equitize or force a mandatory conversion of the New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If certain corporate events constituting a make-whole fundamental change occur (which shall include, among other things, the acquisition by any person or group of more than 50% of the outstanding common stock of the Company or a delisting of the Company’s common stock), the Company shall offer to repurchase all of the outstanding New Convertible Notes for cash at a repurchase price equal to 100% of the aggregate principal amount of the New Convertible Notes then outstanding plus accrued and unpaid interest. If a fundamental change occurs, then the Company will in certain circumstances increase the conversion rate for the New Convertible Notes for a specified period of time on the terms set forth in the New Convertible Notes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does not purport to be complete and is qualified in its entirety by reference to the full text of the New Convertible Notes Indenture, a copy of which is filed as Exhibit 10.1 to this Current Report on Form 8-K, and is incorporated by reference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issuance of the New Convertible Notes and the entry into the New Convertible Notes Indenture, the Company also entered into an Intercreditor Agreement, dated as of October 15, 2025 (the “Intercreditor Agreement”), among Unprocessed Foods, LLC (“Unprocessed Foods”), the lender under the Company’s Loan and Security Agreement (as defined below), as the first lien representative and the first lien collateral agent for the first lien claimholders, Wilmington Trust, National Association, as the initial second lien collateral agent for the initial second lien claimholders and as the initial second lien representative for the initial second lien claimholders, each additional representative and collateral agent from time to time party thereto, the Company, as a grantor, and certain subsidiaries of the Company party thereto, as grantors from time to time, which, among other things, provides for the relative priorities of the security interests in the assets securing the New Convertible Notes, the loans pursuant to the Loan and Security Agreement and certain of the Company’s additional debt, and certain other matters relating to the administration of security interests. The terms of the Intercreditor Agreement expressly subordinate the New Convertible Notes in right of payment and in liens to the obligations pursuant to the Loan and Security Agreement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does not purport to be complete and is qualified in its entirety by reference to the full text of the Intercreditor Agreement, a copy of which is filed as Exhibit 10.3 to this Current Report on Form 8-K, and is incorporated by reference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Loan Agreement Amendment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15, 2025, the Company also entered into that certain First Amendment to Loan and Security Agreement, dated as of October 15, 2025 (the “First Amendment to LSA”), with Unprocessed Foods, which amends that certain Loan and Security Agreement, dated as of May 7, 2025 (the “Loan and Security Agreement”), among the Company, as the borrower, the guarantors from time to time party thereto, Unprocessed Foods, as a lender, and the other lenders from time to time party thereto. Pursuant to the First Amendment to LSA, the Loan and Security Agreement was amended to, among other things, add events of default in connection with events of default under other debt secured by a second priority security interest and with events of default under certain secured debt for borrowed money.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does not purport to be complete and is qualified in its entirety by reference to the full text of the First Amendment to LSA, a copy of which is filed as Exhibit 10.4 to this Current Report on Form 8-K, and is incorporated by reference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Existing Convertible Notes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Following receipt of the requisite consents in the Consent Solicitation, the Company and the Existing Convertible Notes Trustee entered into the Supplemental Indenture to the Existing Convertible Notes Indenture, dated as of October 15, 2025, to eliminate substantially all of the restrictive covenants, certain of the default provisions, and certain other provisions contained in the Existing Convertible Notes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Supplemental Indenture does not purport to be complete and is qualified in its entirety by reference to the full text of the Supplemental Indenture, a copy of which is filed as Exhibit 10.5 to this Current Report on Form 8-K, and is incorporated by reference herein.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Voting and 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By tendering Existing Convertible Notes in the Exchange Offer, each participating holder of Existing Convertible Notes is deemed to have agreed with the Company that it will appear at the special meeting to be held following the Exchange Offer and every stockholder meeting thereafter until the earlier of (i) the date following the date of the Company’s annual meeting in 2026, (ii) the date certain stockholder proposals are approved and (iii) June 19, 2026, or otherwise cause the New Shares received by such holder in the Exchange Offer to be counted as present thereat for purposes of determining a quorum, and be present (in person or by proxy, which includes by remote communication) and vote (or cause to be voted) all of the New Shares received by such holder in the Exchange Offer in favor of certain stockholder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By tendering Existing Convertible Notes in the Exchange Offer, each participating holder of Existing Convertible Notes is deemed to have agreed with the Company that from and after the Early Settlement Date and until 5:00 p.m., New York City time, on October 16, 2025, which is the record date of the special meeting to be held following the Exchange Offer, it will not transfer, sell, exchange, assign or convey any legal or beneficial ownership interest in, or any right, title or interest therein (including any right or power to vote), or otherwise dispose of (whether by sale, liquidation, dissolution, dividend, distribution or otherwise) any New Shares, or enter into any contract, option, or other agreement with respect to any of the foregoing; provided that an exchanging holder of Existing Convertible Notes may sell up to approximately 37.45% of the New Shares received by such holder in the Exchange Offer until 5:00 p.m., New York City time, on October 16, 2025, and, thereafter, will be able to sell all of the New Shares it receives in the Exchange Offer. </w:t>
      </w:r>
    </w:p>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965"/>
        <w:gridCol w:w="4205"/>
      </w:tblGrid>
      <w:tr>
        <w:trPr/>
        <w:tc>
          <w:tcPr>
            <w:tcW w:w="965" w:type="dxa"/>
            <w:tcBorders/>
            <w:vAlign w:val="center"/>
          </w:tcPr>
          <w:p>
            <w:pPr>
              <w:pStyle w:val="TableContents"/>
              <w:bidi w:val="0"/>
              <w:spacing w:before="0" w:after="283"/>
              <w:jc w:val="left"/>
              <w:rPr>
                <w:b/>
              </w:rPr>
            </w:pPr>
            <w:r>
              <w:rPr>
                <w:b/>
              </w:rPr>
              <w:t>Item 1.02</w:t>
            </w:r>
          </w:p>
        </w:tc>
        <w:tc>
          <w:tcPr>
            <w:tcW w:w="4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Cancellation of Existing Convertible Notes Tendered in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On the Early Settlement Date, the Company caused the Tendered Notes accepted for exchange to be delivered to the Existing Convertible Notes Trustee for cancellation. The Tendered Notes represented 96.92% of the previously outstanding Existing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the Explanatory Note and in Item 1.01 of this Current Report on Form 8-K is incorporated into this Item 1.02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of the Transaction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terms of the Transaction Support Agreement, the Transaction Support Agreement automatically terminated on the Early Settlement Date.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the Explanatory Note of this Current Report on Form 8-K is incorporated into this Item 1.02 by reference. </w:t>
      </w:r>
    </w:p>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965"/>
        <w:gridCol w:w="8615"/>
      </w:tblGrid>
      <w:tr>
        <w:trPr/>
        <w:tc>
          <w:tcPr>
            <w:tcW w:w="965" w:type="dxa"/>
            <w:tcBorders/>
            <w:vAlign w:val="center"/>
          </w:tcPr>
          <w:p>
            <w:pPr>
              <w:pStyle w:val="TableContents"/>
              <w:bidi w:val="0"/>
              <w:spacing w:before="0" w:after="283"/>
              <w:jc w:val="left"/>
              <w:rPr>
                <w:b/>
              </w:rPr>
            </w:pPr>
            <w:r>
              <w:rPr>
                <w:b/>
              </w:rPr>
              <w:t>Item 2.03</w:t>
            </w:r>
          </w:p>
        </w:tc>
        <w:tc>
          <w:tcPr>
            <w:tcW w:w="86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Explanatory Note and in Item 1.01 of this Current Report on Form 8-K is incorporated into this Item 2.03 by reference.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965"/>
        <w:gridCol w:w="3395"/>
      </w:tblGrid>
      <w:tr>
        <w:trPr/>
        <w:tc>
          <w:tcPr>
            <w:tcW w:w="96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Exchange Offer, on the Early Settlement Date, in reliance upon the exemption from the registration requirements of the Securities Act provided by Section 4(a)(2) thereof and Rule 506 of Regulation D promulgated thereunder, the Company issued 316,150,176 shares of its common stock to eligible holders of the Existing Convertible Notes accepted for exchange in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the Explanatory Note of this Current Report on Form 8-K is incorporated into this Item 3.02 by reference.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Director Appointments </w:t>
      </w:r>
    </w:p>
    <w:p>
      <w:pPr>
        <w:pStyle w:val="TextBody"/>
        <w:bidi w:val="0"/>
        <w:spacing w:before="120" w:after="0"/>
        <w:jc w:val="left"/>
        <w:rPr>
          <w:rFonts w:ascii="Times New Roman" w:hAnsi="Times New Roman"/>
          <w:sz w:val="20"/>
        </w:rPr>
      </w:pPr>
      <w:r>
        <w:rPr>
          <w:rFonts w:ascii="Times New Roman" w:hAnsi="Times New Roman"/>
          <w:sz w:val="20"/>
        </w:rPr>
        <w:t xml:space="preserve">This Item 5.02 amends disclosure previously reported in the Company’s Form 8-K filed with the Securities and Exchange Commission on September 29, 2025 regarding certain changes to be made to its board of directors (the “Board”) in connection with the settlement of the Exchange Offer. Effective as of the Early Settlement Date, Ethan Brown, Nandita Bakhshi, and C. James Koch resigned from the Board and Alexandre Zyngier, Mr. Koch and Raphael T. Wallander were appointed as Class I (with a term expiring in 2026), Class II (with a term expiring in 2027), and Class III (with a term expiring in 2028) directors, respectively. In connection with these appointments, Mr. Zyngier, Mr. Koch and Mr. Wallander were appointed to serve on the audit committee, risk committee and human capital management and compensation committee, respectively. In addition, Joshua M. Murray was appointed to the nominating and corporate governance committee and appointed as the chair thereof.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13, 2025, the Company issued a press release announcing the early tender results and its election to conduct an early settlement of the Exchange Offer and Consent Solicitation. The full text of the press release is furnished herewith as Exhibit 99.1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General Instruction B.2 of Form 8-K, the information contained or incorporated by reference in this Item 7.01, including the press release furnished herewith as Exhibit 99.1, shall not be deemed “filed” for the purposes of Section 18 of the Securities Exchange Act of 1934, as amended (the “Exchange Act”), or otherwise subject to the liabilities of that section, nor shall it be deemed to be incorporated by reference into any filing under the Securities Act, or the Exchange Act, regardless of any general incorporation language in such filing, except as shall be expressly set forth by specific reference in such a filing. </w:t>
      </w:r>
    </w:p>
    <w:p>
      <w:pPr>
        <w:pStyle w:val="TextBody"/>
        <w:bidi w:val="0"/>
        <w:spacing w:before="360" w:after="0"/>
        <w:jc w:val="left"/>
        <w:rPr>
          <w:rFonts w:ascii="Times New Roman" w:hAnsi="Times New Roman"/>
          <w:b/>
          <w:sz w:val="20"/>
        </w:rPr>
      </w:pPr>
      <w:r>
        <w:rPr>
          <w:rFonts w:ascii="Times New Roman" w:hAnsi="Times New Roman"/>
          <w:b/>
          <w:sz w:val="20"/>
        </w:rPr>
        <w:t xml:space="preserve">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Current Report on Form 8-K constitute “forward-looking statements” within the meaning of the federal securities laws. These statements are based on management’s current opinions, expectations, beliefs, plans, objectives, assumptions or projections regarding future events or future results. Forward-looking statements include statements regarding the Company’s ability to consummate the Exchange Offer and Consent Solicitation.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the Company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or implied herein including risks related to the Company’s ability to realize the anticipated benefits of the Exchange Offer and Consent Solicitation and the risks discussed under the heading “Risk Factors” in the Company’s Annual Report on Form 10-K for the fiscal year ended December 31, 2024 filed with the U.S. Securities and Exchange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Commission (“SEC”) on March 5, 2025, the Company’s Quarterly Report on Form 10-Q for the fiscal quarter ended March 29, 2025 filed with the SEC on May 8, 2025 and the Company’s Quarterly Report on Form 10-Q for the fiscal quarter ended June 28, 2025 filed with the SEC on August 8, 2025, under the heading “Supplementary Risk Factors” in Beyond Meat’s Current Report on Form 8-K filed with the SEC on October 6, 2025, as well as other factors described from time to time in the Company’s filings with the SEC. Such forward-looking statements are made only as of the date of this Current Report on Form 8-K. The Company undertakes no obligation to publicly update or revise any forward-looking statement because of new information, future events or otherwise, except as otherwise required by law. If the Company does update one or more forward-looking statements, no inference should be made that the Company will make additional updates with respect to those or other forward-looking statements.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60690dex101.htm">
              <w:r>
                <w:rPr>
                  <w:rStyle w:val="InternetLink"/>
                </w:rPr>
                <w:t xml:space="preserve">Indenture, dated as of October 15, 2025, by and among Beyond Meat, Inc., the guarantors party thereto from time to time and Wilmington Trust, National Association, as trustee and collateral agent.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60690dex101.htm">
              <w:r>
                <w:rPr>
                  <w:rStyle w:val="InternetLink"/>
                </w:rPr>
                <w:t xml:space="preserve">Form of 7.00% Convertible Senior Secured Second Lien PIK Toggle Notes due 2030 (included as Exhibit A to Exhibit 10.1).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60690dex103.htm">
              <w:r>
                <w:rPr>
                  <w:rStyle w:val="InternetLink"/>
                </w:rPr>
                <w:t xml:space="preserve">Intercreditor Agreement dated October 15, 2025, among Unprocessed Foods, LLC, Wilmington Trust, National Association, the Company and the other grantors referred to therein from time to time.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60690dex104.htm">
              <w:r>
                <w:rPr>
                  <w:rStyle w:val="InternetLink"/>
                </w:rPr>
                <w:t xml:space="preserve">First Amendment to Loan and Security Agreement, dated as of October 15, 2025, between Unprocessed Foods, LLC, as the sole lender, and Beyond Meat, Inc., as the borrower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10.5</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60690dex105.htm">
              <w:r>
                <w:rPr>
                  <w:rStyle w:val="InternetLink"/>
                </w:rPr>
                <w:t xml:space="preserve">First Supplemental Indenture, dated as of October 15, 2025, by and between Beyond Meat, Inc. and U.S. Bank, National Association, as trustee, to the Indenture, dated as of March 5, 2021.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60690dex991.htm">
              <w:r>
                <w:rPr>
                  <w:rStyle w:val="InternetLink"/>
                </w:rPr>
                <w:t xml:space="preserve">Press release of Beyond Meat, Inc. dated October 13, 2025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have been omitted pursuant to Item 601(a)(5) of Regulation S-K. The registrant undertakes to furnish supplemental copies of the omitted schedules upon request by the Securities and Exchange Commission.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380"/>
        <w:gridCol w:w="60"/>
        <w:gridCol w:w="359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b/>
              </w:rPr>
            </w:pPr>
            <w:r>
              <w:rPr>
                <w:b/>
              </w:rPr>
              <w:t>BEYOND MEAT,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Lubi Kutua</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Lubi Kutua</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Chief Financial Officer and Treasurer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October 15, 2025 </w:t>
      </w:r>
    </w:p>
    <w:p>
      <w:pPr>
        <w:pStyle w:val="TextBody"/>
        <w:bidi w:val="0"/>
        <w:spacing w:before="0" w:after="0"/>
        <w:jc w:val="right"/>
        <w:rPr>
          <w:rFonts w:ascii="Times New Roman" w:hAnsi="Times New Roman"/>
          <w:b/>
          <w:sz w:val="20"/>
        </w:rPr>
      </w:pPr>
      <w:bookmarkStart w:id="2" w:name="d60690dex101.htm"/>
      <w:bookmarkStart w:id="3" w:name="ksd60690dex101"/>
      <w:bookmarkEnd w:id="2"/>
      <w:bookmarkEnd w:id="3"/>
      <w:r>
        <w:rPr>
          <w:rFonts w:ascii="Times New Roman" w:hAnsi="Times New Roman"/>
          <w:b/>
          <w:sz w:val="20"/>
        </w:rPr>
        <w:t xml:space="preserve">Exhibit 10.1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BEYOND MEAT, INC., </w:t>
      </w:r>
    </w:p>
    <w:p>
      <w:pPr>
        <w:pStyle w:val="TextBody"/>
        <w:bidi w:val="0"/>
        <w:spacing w:before="240" w:after="0"/>
        <w:jc w:val="center"/>
        <w:rPr>
          <w:rFonts w:ascii="Times New Roman" w:hAnsi="Times New Roman"/>
          <w:sz w:val="20"/>
        </w:rPr>
      </w:pPr>
      <w:r>
        <w:rPr>
          <w:rFonts w:ascii="Times New Roman" w:hAnsi="Times New Roman"/>
          <w:sz w:val="20"/>
        </w:rPr>
        <w:t xml:space="preserve">THE GUARANTORS PARTY HERETO FROM TIME TO TIME,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Collateral Agent </w:t>
      </w:r>
    </w:p>
    <w:p>
      <w:pPr>
        <w:pStyle w:val="TextBody"/>
        <w:bidi w:val="0"/>
        <w:spacing w:before="240" w:after="0"/>
        <w:jc w:val="center"/>
        <w:rPr>
          <w:rFonts w:ascii="Times New Roman" w:hAnsi="Times New Roman"/>
          <w:sz w:val="20"/>
        </w:rPr>
      </w:pPr>
      <w:r>
        <w:rPr>
          <w:rFonts w:ascii="Times New Roman" w:hAnsi="Times New Roman"/>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October 15, 2025 </w:t>
      </w:r>
    </w:p>
    <w:p>
      <w:pPr>
        <w:pStyle w:val="TextBody"/>
        <w:bidi w:val="0"/>
        <w:spacing w:before="240" w:after="0"/>
        <w:jc w:val="center"/>
        <w:rPr>
          <w:rFonts w:ascii="Times New Roman" w:hAnsi="Times New Roman"/>
          <w:sz w:val="20"/>
        </w:rPr>
      </w:pPr>
      <w:r>
        <w:rPr>
          <w:rFonts w:ascii="Times New Roman" w:hAnsi="Times New Roman"/>
          <w:sz w:val="20"/>
        </w:rPr>
        <w:t xml:space="preserve">Convertible Senior Secured Second Lien PIK Toggle Notes due 2030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92"/>
        <w:gridCol w:w="63"/>
        <w:gridCol w:w="8379"/>
        <w:gridCol w:w="123"/>
        <w:gridCol w:w="90"/>
        <w:gridCol w:w="395"/>
        <w:gridCol w:w="63"/>
      </w:tblGrid>
      <w:tr>
        <w:trPr/>
        <w:tc>
          <w:tcPr>
            <w:tcW w:w="1092"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837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09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534" w:type="dxa"/>
            <w:gridSpan w:val="3"/>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9534" w:type="dxa"/>
            <w:gridSpan w:val="3"/>
            <w:tcBorders/>
          </w:tcPr>
          <w:p>
            <w:pPr>
              <w:pStyle w:val="TableContents"/>
              <w:bidi w:val="0"/>
              <w:spacing w:before="0" w:after="283"/>
              <w:jc w:val="left"/>
              <w:rPr/>
            </w:pPr>
            <w:r>
              <w:rPr/>
              <w:t>Article 1. Definitions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092" w:type="dxa"/>
            <w:tcBorders/>
            <w:vAlign w:val="center"/>
          </w:tcPr>
          <w:p>
            <w:pPr>
              <w:pStyle w:val="TableContents"/>
              <w:bidi w:val="0"/>
              <w:spacing w:before="0" w:after="283"/>
              <w:jc w:val="left"/>
              <w:rPr>
                <w:sz w:val="4"/>
                <w:szCs w:val="4"/>
              </w:rPr>
            </w:pPr>
            <w:r>
              <w:rPr>
                <w:sz w:val="4"/>
                <w:szCs w:val="4"/>
              </w:rPr>
            </w:r>
          </w:p>
        </w:tc>
        <w:tc>
          <w:tcPr>
            <w:tcW w:w="8442" w:type="dxa"/>
            <w:gridSpan w:val="2"/>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Definitions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References to Interest</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Financial Calculations or Limited Condition Transactions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534" w:type="dxa"/>
            <w:gridSpan w:val="3"/>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9534" w:type="dxa"/>
            <w:gridSpan w:val="3"/>
            <w:tcBorders/>
          </w:tcPr>
          <w:p>
            <w:pPr>
              <w:pStyle w:val="TableContents"/>
              <w:bidi w:val="0"/>
              <w:spacing w:before="0" w:after="283"/>
              <w:jc w:val="left"/>
              <w:rPr/>
            </w:pPr>
            <w:r>
              <w:rPr/>
              <w:t>Article 2. Issue, Description, Execution, Registration and Exchange of Notes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1092" w:type="dxa"/>
            <w:tcBorders/>
            <w:vAlign w:val="center"/>
          </w:tcPr>
          <w:p>
            <w:pPr>
              <w:pStyle w:val="TableContents"/>
              <w:bidi w:val="0"/>
              <w:spacing w:before="0" w:after="283"/>
              <w:jc w:val="left"/>
              <w:rPr>
                <w:sz w:val="4"/>
                <w:szCs w:val="4"/>
              </w:rPr>
            </w:pPr>
            <w:r>
              <w:rPr>
                <w:sz w:val="4"/>
                <w:szCs w:val="4"/>
              </w:rPr>
            </w:r>
          </w:p>
        </w:tc>
        <w:tc>
          <w:tcPr>
            <w:tcW w:w="8442" w:type="dxa"/>
            <w:gridSpan w:val="2"/>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Designation and Amount</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Form of Notes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Date and Denomination of Notes; Payments of Interest and Defaulted Amounts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Execution, Authentication and Delivery of Notes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Exchange and Registration of Transfer of Notes; Restrictions on Transfer; Depositary</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Mutilated, Destroyed, Lost or Stolen Notes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Temporary Notes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Cancellation of Notes Paid, Converted, Etc.</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CUSIP Numbers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Additional Notes; Repurchases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rHeight w:val="120" w:hRule="atLeast"/>
        </w:trPr>
        <w:tc>
          <w:tcPr>
            <w:tcW w:w="9534" w:type="dxa"/>
            <w:gridSpan w:val="3"/>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9534" w:type="dxa"/>
            <w:gridSpan w:val="3"/>
            <w:tcBorders/>
          </w:tcPr>
          <w:p>
            <w:pPr>
              <w:pStyle w:val="TableContents"/>
              <w:bidi w:val="0"/>
              <w:spacing w:before="0" w:after="283"/>
              <w:jc w:val="left"/>
              <w:rPr/>
            </w:pPr>
            <w:r>
              <w:rPr/>
              <w:t>Article 3. Satisfaction and Discharge</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rHeight w:val="120" w:hRule="atLeast"/>
        </w:trPr>
        <w:tc>
          <w:tcPr>
            <w:tcW w:w="1092" w:type="dxa"/>
            <w:tcBorders/>
            <w:vAlign w:val="center"/>
          </w:tcPr>
          <w:p>
            <w:pPr>
              <w:pStyle w:val="TableContents"/>
              <w:bidi w:val="0"/>
              <w:spacing w:before="0" w:after="283"/>
              <w:jc w:val="left"/>
              <w:rPr>
                <w:sz w:val="4"/>
                <w:szCs w:val="4"/>
              </w:rPr>
            </w:pPr>
            <w:r>
              <w:rPr>
                <w:sz w:val="4"/>
                <w:szCs w:val="4"/>
              </w:rPr>
            </w:r>
          </w:p>
        </w:tc>
        <w:tc>
          <w:tcPr>
            <w:tcW w:w="8442" w:type="dxa"/>
            <w:gridSpan w:val="2"/>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Satisfaction and Discharge</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rHeight w:val="120" w:hRule="atLeast"/>
        </w:trPr>
        <w:tc>
          <w:tcPr>
            <w:tcW w:w="9534" w:type="dxa"/>
            <w:gridSpan w:val="3"/>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9534" w:type="dxa"/>
            <w:gridSpan w:val="3"/>
            <w:tcBorders/>
          </w:tcPr>
          <w:p>
            <w:pPr>
              <w:pStyle w:val="TableContents"/>
              <w:bidi w:val="0"/>
              <w:spacing w:before="0" w:after="283"/>
              <w:jc w:val="left"/>
              <w:rPr/>
            </w:pPr>
            <w:r>
              <w:rPr/>
              <w:t>Article 4. Particular Covenants of the Company</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rHeight w:val="120" w:hRule="atLeast"/>
        </w:trPr>
        <w:tc>
          <w:tcPr>
            <w:tcW w:w="1092" w:type="dxa"/>
            <w:tcBorders/>
            <w:vAlign w:val="center"/>
          </w:tcPr>
          <w:p>
            <w:pPr>
              <w:pStyle w:val="TableContents"/>
              <w:bidi w:val="0"/>
              <w:spacing w:before="0" w:after="283"/>
              <w:jc w:val="left"/>
              <w:rPr>
                <w:sz w:val="4"/>
                <w:szCs w:val="4"/>
              </w:rPr>
            </w:pPr>
            <w:r>
              <w:rPr>
                <w:sz w:val="4"/>
                <w:szCs w:val="4"/>
              </w:rPr>
            </w:r>
          </w:p>
        </w:tc>
        <w:tc>
          <w:tcPr>
            <w:tcW w:w="8442" w:type="dxa"/>
            <w:gridSpan w:val="2"/>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Payment of Principal and Interest</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Maintenance of Office or Agency</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Appointments to Fill Vacancies in Trustee’s Office and Collateral Agent’s Office</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Provisions as to Paying Agent, Conversion Agent and Transfer Agent</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Existence</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4.06</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Reports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4.07</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Stay, Extension and Usury Laws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4.08</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Compliance Certificate</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4.09</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Further Instruments and Acts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Incurrence of Indebtedness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Limitation on Liens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Investments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Restrictive Agreements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Transactions with Affiliates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4.15</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Restricted Payments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4.16</w:t>
            </w:r>
          </w:p>
        </w:tc>
        <w:tc>
          <w:tcPr>
            <w:tcW w:w="63" w:type="dxa"/>
            <w:tcBorders/>
            <w:vAlign w:val="bottom"/>
          </w:tcPr>
          <w:p>
            <w:pPr>
              <w:pStyle w:val="TableContents"/>
              <w:bidi w:val="0"/>
              <w:spacing w:before="0" w:after="283"/>
              <w:jc w:val="left"/>
              <w:rPr/>
            </w:pPr>
            <w:r>
              <w:rPr/>
              <w:t> </w:t>
            </w:r>
          </w:p>
        </w:tc>
        <w:tc>
          <w:tcPr>
            <w:tcW w:w="8379" w:type="dxa"/>
            <w:tcBorders/>
            <w:vAlign w:val="bottom"/>
          </w:tcPr>
          <w:p>
            <w:pPr>
              <w:pStyle w:val="TableContents"/>
              <w:bidi w:val="0"/>
              <w:spacing w:before="0" w:after="283"/>
              <w:jc w:val="left"/>
              <w:rPr/>
            </w:pPr>
            <w:r>
              <w:rPr/>
              <w:t>Asset Dispositions</w:t>
            </w:r>
          </w:p>
        </w:tc>
        <w:tc>
          <w:tcPr>
            <w:tcW w:w="1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10815" w:type="dxa"/>
        <w:jc w:val="center"/>
        <w:tblInd w:w="0" w:type="dxa"/>
        <w:tblLayout w:type="fixed"/>
        <w:tblCellMar>
          <w:top w:w="0" w:type="dxa"/>
          <w:left w:w="0" w:type="dxa"/>
          <w:bottom w:w="0" w:type="dxa"/>
          <w:right w:w="0" w:type="dxa"/>
        </w:tblCellMar>
      </w:tblPr>
      <w:tblGrid>
        <w:gridCol w:w="1040"/>
        <w:gridCol w:w="60"/>
        <w:gridCol w:w="9215"/>
        <w:gridCol w:w="120"/>
        <w:gridCol w:w="60"/>
        <w:gridCol w:w="260"/>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2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4.17</w:t>
            </w:r>
          </w:p>
        </w:tc>
        <w:tc>
          <w:tcPr>
            <w:tcW w:w="60" w:type="dxa"/>
            <w:tcBorders/>
            <w:vAlign w:val="bottom"/>
          </w:tcPr>
          <w:p>
            <w:pPr>
              <w:pStyle w:val="TableContents"/>
              <w:bidi w:val="0"/>
              <w:spacing w:before="0" w:after="283"/>
              <w:jc w:val="left"/>
              <w:rPr/>
            </w:pPr>
            <w:r>
              <w:rPr/>
              <w:t> </w:t>
            </w:r>
          </w:p>
        </w:tc>
        <w:tc>
          <w:tcPr>
            <w:tcW w:w="9215" w:type="dxa"/>
            <w:tcBorders/>
          </w:tcPr>
          <w:p>
            <w:pPr>
              <w:pStyle w:val="TableContents"/>
              <w:bidi w:val="0"/>
              <w:spacing w:before="0" w:after="283"/>
              <w:jc w:val="left"/>
              <w:rPr/>
            </w:pPr>
            <w:r>
              <w:rPr/>
              <w:t>Minimum Liquidity</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64</w:t>
            </w:r>
          </w:p>
        </w:tc>
        <w:tc>
          <w:tcPr>
            <w:tcW w:w="60" w:type="dxa"/>
            <w:tcBorders/>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4.18</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Existing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4.19</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Repurchases of the Existing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4.20</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Cash Repayment of the Existing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4.21</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Liability Management Transactions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4.22</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Negative Pledge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4.23</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Stockholder Approval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r>
      <w:tr>
        <w:trPr>
          <w:trHeight w:val="120" w:hRule="atLeast"/>
        </w:trPr>
        <w:tc>
          <w:tcPr>
            <w:tcW w:w="1031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315" w:type="dxa"/>
            <w:gridSpan w:val="3"/>
            <w:tcBorders/>
          </w:tcPr>
          <w:p>
            <w:pPr>
              <w:pStyle w:val="TableContents"/>
              <w:bidi w:val="0"/>
              <w:spacing w:before="0" w:after="283"/>
              <w:jc w:val="left"/>
              <w:rPr/>
            </w:pPr>
            <w:r>
              <w:rPr/>
              <w:t>Article 5. Lists of Holders and Reports by the Company and the Trustee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27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Lists of 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Preservation and Disclosure of Lists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r>
      <w:tr>
        <w:trPr>
          <w:trHeight w:val="120" w:hRule="atLeast"/>
        </w:trPr>
        <w:tc>
          <w:tcPr>
            <w:tcW w:w="1031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315" w:type="dxa"/>
            <w:gridSpan w:val="3"/>
            <w:tcBorders/>
          </w:tcPr>
          <w:p>
            <w:pPr>
              <w:pStyle w:val="TableContents"/>
              <w:bidi w:val="0"/>
              <w:spacing w:before="0" w:after="283"/>
              <w:jc w:val="left"/>
              <w:rPr/>
            </w:pPr>
            <w:r>
              <w:rPr/>
              <w:t>Article 6. Defaults and Remedies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27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Events of Default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Acceleration; Rescission and Annulment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Additional Interest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Payments of Notes on Default; Suit Therefor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Application of Monies Collected by Trustee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Proceedings by 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Proceedings by Trustee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Remedies Cumulative and Continuing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Direction of Proceedings and Waiver of Defaults by Majority of 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Notice of Defaults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Undertaking to Pay Costs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r>
      <w:tr>
        <w:trPr>
          <w:trHeight w:val="120" w:hRule="atLeast"/>
        </w:trPr>
        <w:tc>
          <w:tcPr>
            <w:tcW w:w="1031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315" w:type="dxa"/>
            <w:gridSpan w:val="3"/>
            <w:tcBorders/>
          </w:tcPr>
          <w:p>
            <w:pPr>
              <w:pStyle w:val="TableContents"/>
              <w:bidi w:val="0"/>
              <w:spacing w:before="0" w:after="283"/>
              <w:jc w:val="left"/>
              <w:rPr/>
            </w:pPr>
            <w:r>
              <w:rPr/>
              <w:t>Article 7. Concerning the Trustee and Collateral Agent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27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Duties and Responsibilities of Trustee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Reliance on Documents, Opinions,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No Responsibility for Recitals,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Trustee, Collateral Agent, Paying Agents, Conversion Agents or Note Registrar May Own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Monies to Be Held in Trust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Compensation and Expenses of Trustee and Collateral Agent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Officer’s Certificate and Opinion of Counsel as Evidence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Eligibility of Trustee and Collateral Agent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Resignation or Removal of Trustee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Acceptance by Successor Trustee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Succession by Merger,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Trustee’s Application for Instructions from the Company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Collateral Agent; Collateral Documents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60" w:type="dxa"/>
            <w:tcBorders/>
            <w:vAlign w:val="bottom"/>
          </w:tcPr>
          <w:p>
            <w:pPr>
              <w:pStyle w:val="TableContents"/>
              <w:bidi w:val="0"/>
              <w:spacing w:before="0" w:after="283"/>
              <w:jc w:val="left"/>
              <w:rPr/>
            </w:pPr>
            <w:r>
              <w:rPr/>
              <w:t> </w:t>
            </w:r>
          </w:p>
        </w:tc>
        <w:tc>
          <w:tcPr>
            <w:tcW w:w="9215" w:type="dxa"/>
            <w:tcBorders/>
            <w:vAlign w:val="bottom"/>
          </w:tcPr>
          <w:p>
            <w:pPr>
              <w:pStyle w:val="TableContents"/>
              <w:bidi w:val="0"/>
              <w:spacing w:before="0" w:after="283"/>
              <w:jc w:val="left"/>
              <w:rPr/>
            </w:pPr>
            <w:r>
              <w:rPr/>
              <w:t>Replacement of Collateral Agent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11115" w:type="dxa"/>
        <w:jc w:val="center"/>
        <w:tblInd w:w="0" w:type="dxa"/>
        <w:tblLayout w:type="fixed"/>
        <w:tblCellMar>
          <w:top w:w="0" w:type="dxa"/>
          <w:left w:w="0" w:type="dxa"/>
          <w:bottom w:w="0" w:type="dxa"/>
          <w:right w:w="0" w:type="dxa"/>
        </w:tblCellMar>
      </w:tblPr>
      <w:tblGrid>
        <w:gridCol w:w="1145"/>
        <w:gridCol w:w="60"/>
        <w:gridCol w:w="9290"/>
        <w:gridCol w:w="120"/>
        <w:gridCol w:w="60"/>
        <w:gridCol w:w="380"/>
        <w:gridCol w:w="60"/>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2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95" w:type="dxa"/>
            <w:gridSpan w:val="3"/>
            <w:tcBorders/>
          </w:tcPr>
          <w:p>
            <w:pPr>
              <w:pStyle w:val="TableContents"/>
              <w:bidi w:val="0"/>
              <w:spacing w:before="0" w:after="283"/>
              <w:jc w:val="left"/>
              <w:rPr/>
            </w:pPr>
            <w:r>
              <w:rPr/>
              <w:t>Article 8. Concerning the Holders</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86</w:t>
            </w:r>
          </w:p>
        </w:tc>
        <w:tc>
          <w:tcPr>
            <w:tcW w:w="60" w:type="dxa"/>
            <w:tcBorders/>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Action by 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Proof of Execution by 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Who Are Deemed Absolute Owners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Company-Owned Notes Disregarded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Revocation of Consents; Future Holders Bound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r>
      <w:tr>
        <w:trPr>
          <w:trHeight w:val="120" w:hRule="atLeast"/>
        </w:trPr>
        <w:tc>
          <w:tcPr>
            <w:tcW w:w="10495"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495" w:type="dxa"/>
            <w:gridSpan w:val="3"/>
            <w:tcBorders/>
          </w:tcPr>
          <w:p>
            <w:pPr>
              <w:pStyle w:val="TableContents"/>
              <w:bidi w:val="0"/>
              <w:spacing w:before="0" w:after="283"/>
              <w:jc w:val="left"/>
              <w:rPr/>
            </w:pPr>
            <w:r>
              <w:rPr/>
              <w:t>Article 9. Holders’ Meetings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Purpose of Meetings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Call of Meetings by Trustee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Call of Meetings by Company or 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Qualifications for Voting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Regulations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Voting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No Delay of Rights by Meeting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90</w:t>
            </w:r>
          </w:p>
        </w:tc>
        <w:tc>
          <w:tcPr>
            <w:tcW w:w="60" w:type="dxa"/>
            <w:tcBorders/>
            <w:vAlign w:val="bottom"/>
          </w:tcPr>
          <w:p>
            <w:pPr>
              <w:pStyle w:val="TableContents"/>
              <w:bidi w:val="0"/>
              <w:spacing w:before="0" w:after="283"/>
              <w:jc w:val="left"/>
              <w:rPr/>
            </w:pPr>
            <w:r>
              <w:rPr/>
              <w:t> </w:t>
            </w:r>
          </w:p>
        </w:tc>
      </w:tr>
      <w:tr>
        <w:trPr>
          <w:trHeight w:val="120" w:hRule="atLeast"/>
        </w:trPr>
        <w:tc>
          <w:tcPr>
            <w:tcW w:w="10495"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495" w:type="dxa"/>
            <w:gridSpan w:val="3"/>
            <w:tcBorders/>
          </w:tcPr>
          <w:p>
            <w:pPr>
              <w:pStyle w:val="TableContents"/>
              <w:bidi w:val="0"/>
              <w:spacing w:before="0" w:after="283"/>
              <w:jc w:val="left"/>
              <w:rPr/>
            </w:pPr>
            <w:r>
              <w:rPr/>
              <w:t>Article 10. Supplemental Indentures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90</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Supplemental Indentures Without Consent of 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Supplemental Indentures with Consent of 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Effect of Supplemental Indentures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Notation on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Evidence of Compliance of Supplemental Indenture to Be Furnished Trustee and Collateral Agent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r>
      <w:tr>
        <w:trPr>
          <w:trHeight w:val="120" w:hRule="atLeast"/>
        </w:trPr>
        <w:tc>
          <w:tcPr>
            <w:tcW w:w="10495"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495" w:type="dxa"/>
            <w:gridSpan w:val="3"/>
            <w:tcBorders/>
          </w:tcPr>
          <w:p>
            <w:pPr>
              <w:pStyle w:val="TableContents"/>
              <w:bidi w:val="0"/>
              <w:spacing w:before="0" w:after="283"/>
              <w:jc w:val="left"/>
              <w:rPr/>
            </w:pPr>
            <w:r>
              <w:rPr/>
              <w:t>Article 11. Consolidation, Merger And Sale of Assets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Company May Consolidate, Etc. on Certain Terms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Qualified Successor Entity to Be Substituted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r>
      <w:tr>
        <w:trPr>
          <w:trHeight w:val="120" w:hRule="atLeast"/>
        </w:trPr>
        <w:tc>
          <w:tcPr>
            <w:tcW w:w="10495"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495" w:type="dxa"/>
            <w:gridSpan w:val="3"/>
            <w:tcBorders/>
          </w:tcPr>
          <w:p>
            <w:pPr>
              <w:pStyle w:val="TableContents"/>
              <w:bidi w:val="0"/>
              <w:spacing w:before="0" w:after="283"/>
              <w:jc w:val="left"/>
              <w:rPr/>
            </w:pPr>
            <w:r>
              <w:rPr/>
              <w:t>Article 12. Immunity of Directors, Officers, Employees and Shareholders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96</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No Personal Liability of Directors, Officers, Employees or Shareholders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96</w:t>
            </w:r>
          </w:p>
        </w:tc>
        <w:tc>
          <w:tcPr>
            <w:tcW w:w="60" w:type="dxa"/>
            <w:tcBorders/>
            <w:vAlign w:val="bottom"/>
          </w:tcPr>
          <w:p>
            <w:pPr>
              <w:pStyle w:val="TableContents"/>
              <w:bidi w:val="0"/>
              <w:spacing w:before="0" w:after="283"/>
              <w:jc w:val="left"/>
              <w:rPr/>
            </w:pPr>
            <w:r>
              <w:rPr/>
              <w:t> </w:t>
            </w:r>
          </w:p>
        </w:tc>
      </w:tr>
      <w:tr>
        <w:trPr>
          <w:trHeight w:val="120" w:hRule="atLeast"/>
        </w:trPr>
        <w:tc>
          <w:tcPr>
            <w:tcW w:w="10495"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495" w:type="dxa"/>
            <w:gridSpan w:val="3"/>
            <w:tcBorders/>
          </w:tcPr>
          <w:p>
            <w:pPr>
              <w:pStyle w:val="TableContents"/>
              <w:bidi w:val="0"/>
              <w:spacing w:before="0" w:after="283"/>
              <w:jc w:val="left"/>
              <w:rPr/>
            </w:pPr>
            <w:r>
              <w:rPr/>
              <w:t>Article 13. Guarantee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96</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Guarantee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Limitation on Guarantor Liability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13.03</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Guarantors May Consolidate, etc., on Certain Terms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13.04</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Stay of Acceleration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13.05</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Execution and Delivery of Guarantee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13.06</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Release of Guarantees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13.07</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Future Guarantors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13.08</w:t>
            </w:r>
          </w:p>
        </w:tc>
        <w:tc>
          <w:tcPr>
            <w:tcW w:w="60" w:type="dxa"/>
            <w:tcBorders/>
            <w:vAlign w:val="bottom"/>
          </w:tcPr>
          <w:p>
            <w:pPr>
              <w:pStyle w:val="TableContents"/>
              <w:bidi w:val="0"/>
              <w:spacing w:before="0" w:after="283"/>
              <w:jc w:val="left"/>
              <w:rPr/>
            </w:pPr>
            <w:r>
              <w:rPr/>
              <w:t> </w:t>
            </w:r>
          </w:p>
        </w:tc>
        <w:tc>
          <w:tcPr>
            <w:tcW w:w="9290" w:type="dxa"/>
            <w:tcBorders/>
            <w:vAlign w:val="bottom"/>
          </w:tcPr>
          <w:p>
            <w:pPr>
              <w:pStyle w:val="TableContents"/>
              <w:bidi w:val="0"/>
              <w:spacing w:before="0" w:after="283"/>
              <w:jc w:val="left"/>
              <w:rPr/>
            </w:pPr>
            <w:r>
              <w:rPr/>
              <w:t>Post-Closing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13440" w:type="dxa"/>
        <w:jc w:val="center"/>
        <w:tblInd w:w="0" w:type="dxa"/>
        <w:tblLayout w:type="fixed"/>
        <w:tblCellMar>
          <w:top w:w="0" w:type="dxa"/>
          <w:left w:w="0" w:type="dxa"/>
          <w:bottom w:w="0" w:type="dxa"/>
          <w:right w:w="0" w:type="dxa"/>
        </w:tblCellMar>
      </w:tblPr>
      <w:tblGrid>
        <w:gridCol w:w="1145"/>
        <w:gridCol w:w="60"/>
        <w:gridCol w:w="11615"/>
        <w:gridCol w:w="120"/>
        <w:gridCol w:w="60"/>
        <w:gridCol w:w="380"/>
        <w:gridCol w:w="60"/>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820" w:type="dxa"/>
            <w:gridSpan w:val="3"/>
            <w:tcBorders/>
          </w:tcPr>
          <w:p>
            <w:pPr>
              <w:pStyle w:val="TableContents"/>
              <w:bidi w:val="0"/>
              <w:spacing w:before="0" w:after="283"/>
              <w:jc w:val="left"/>
              <w:rPr/>
            </w:pPr>
            <w:r>
              <w:rPr/>
              <w:t>Article 14. Conversion of Notes</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102</w:t>
            </w:r>
          </w:p>
        </w:tc>
        <w:tc>
          <w:tcPr>
            <w:tcW w:w="60" w:type="dxa"/>
            <w:tcBorders/>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167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14.01</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Conversion Right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14.02</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Conversion Procedure; Settlement upon Conversion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14.03</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Interest Make-Whole Conversion Rate Adjustment upon Certain Conversions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14.04</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Increased Conversion Rate Applicable to Certain Notes Delivered in Connection with Make-Whole Fundamental Changes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14.05</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Adjustment of Conversion Rate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14.06</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Adjustments of Prices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14.07</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Shares to Be Fully Paid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14.08</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Effect of Recapitalizations, Reclassifications and Changes of the Common Stock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117</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14.09</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Certain 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14.10</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Responsibility of Trustee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14.11</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14.12</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Stockholder Rights Plans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14.13</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Exchange In Lieu Of Conversion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14.14</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Beneficial Ownership Limitation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120</w:t>
            </w:r>
          </w:p>
        </w:tc>
        <w:tc>
          <w:tcPr>
            <w:tcW w:w="60" w:type="dxa"/>
            <w:tcBorders/>
            <w:vAlign w:val="bottom"/>
          </w:tcPr>
          <w:p>
            <w:pPr>
              <w:pStyle w:val="TableContents"/>
              <w:bidi w:val="0"/>
              <w:spacing w:before="0" w:after="283"/>
              <w:jc w:val="left"/>
              <w:rPr/>
            </w:pPr>
            <w:r>
              <w:rPr/>
              <w:t> </w:t>
            </w:r>
          </w:p>
        </w:tc>
      </w:tr>
      <w:tr>
        <w:trPr>
          <w:trHeight w:val="120" w:hRule="atLeast"/>
        </w:trPr>
        <w:tc>
          <w:tcPr>
            <w:tcW w:w="12820"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2820" w:type="dxa"/>
            <w:gridSpan w:val="3"/>
            <w:tcBorders/>
          </w:tcPr>
          <w:p>
            <w:pPr>
              <w:pStyle w:val="TableContents"/>
              <w:bidi w:val="0"/>
              <w:spacing w:before="0" w:after="283"/>
              <w:jc w:val="left"/>
              <w:rPr/>
            </w:pPr>
            <w:r>
              <w:rPr/>
              <w:t>Article 15. Redemptions and Repurchases of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167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15.01</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Repurchase at Option of Holders Upon a Fundamental Change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15.02</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Withdrawal of Fundamental Change Repurchase Notice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15.03</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Deposit of Fundamental Change Repurchase Price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15.04</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Net Proceeds Offer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127</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15.05</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Covenant to Comply with Applicable Laws Upon Repurchase of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15.06</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Optional Redemption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15.07</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Restrictions on Optional Redemption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131</w:t>
            </w:r>
          </w:p>
        </w:tc>
        <w:tc>
          <w:tcPr>
            <w:tcW w:w="60" w:type="dxa"/>
            <w:tcBorders/>
            <w:vAlign w:val="bottom"/>
          </w:tcPr>
          <w:p>
            <w:pPr>
              <w:pStyle w:val="TableContents"/>
              <w:bidi w:val="0"/>
              <w:spacing w:before="0" w:after="283"/>
              <w:jc w:val="left"/>
              <w:rPr/>
            </w:pPr>
            <w:r>
              <w:rPr/>
              <w:t> </w:t>
            </w:r>
          </w:p>
        </w:tc>
      </w:tr>
      <w:tr>
        <w:trPr>
          <w:trHeight w:val="120" w:hRule="atLeast"/>
        </w:trPr>
        <w:tc>
          <w:tcPr>
            <w:tcW w:w="12820"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2820" w:type="dxa"/>
            <w:gridSpan w:val="3"/>
            <w:tcBorders/>
          </w:tcPr>
          <w:p>
            <w:pPr>
              <w:pStyle w:val="TableContents"/>
              <w:bidi w:val="0"/>
              <w:spacing w:before="0" w:after="283"/>
              <w:jc w:val="left"/>
              <w:rPr/>
            </w:pPr>
            <w:r>
              <w:rPr/>
              <w:t>Article 16. Mandatory Conversion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131</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167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16.01</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Mandatory Conversion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16.02</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Notice of Mandatory Conversion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16.03</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Restrictions on Mandatory Conversion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r>
      <w:tr>
        <w:trPr>
          <w:trHeight w:val="120" w:hRule="atLeast"/>
        </w:trPr>
        <w:tc>
          <w:tcPr>
            <w:tcW w:w="12820"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2820" w:type="dxa"/>
            <w:gridSpan w:val="3"/>
            <w:tcBorders/>
          </w:tcPr>
          <w:p>
            <w:pPr>
              <w:pStyle w:val="TableContents"/>
              <w:bidi w:val="0"/>
              <w:spacing w:before="0" w:after="283"/>
              <w:jc w:val="left"/>
              <w:rPr/>
            </w:pPr>
            <w:r>
              <w:rPr/>
              <w:t>Article 17. Mandatory Equitization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167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17.01</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Mandatory Equitization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17.02</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Mandatory Equitization Notice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17.03</w:t>
            </w:r>
          </w:p>
        </w:tc>
        <w:tc>
          <w:tcPr>
            <w:tcW w:w="60" w:type="dxa"/>
            <w:tcBorders/>
            <w:vAlign w:val="bottom"/>
          </w:tcPr>
          <w:p>
            <w:pPr>
              <w:pStyle w:val="TableContents"/>
              <w:bidi w:val="0"/>
              <w:spacing w:before="0" w:after="283"/>
              <w:jc w:val="left"/>
              <w:rPr/>
            </w:pPr>
            <w:r>
              <w:rPr/>
              <w:t> </w:t>
            </w:r>
          </w:p>
        </w:tc>
        <w:tc>
          <w:tcPr>
            <w:tcW w:w="11615" w:type="dxa"/>
            <w:tcBorders/>
            <w:vAlign w:val="bottom"/>
          </w:tcPr>
          <w:p>
            <w:pPr>
              <w:pStyle w:val="TableContents"/>
              <w:bidi w:val="0"/>
              <w:spacing w:before="0" w:after="283"/>
              <w:jc w:val="left"/>
              <w:rPr/>
            </w:pPr>
            <w:r>
              <w:rPr/>
              <w:t>Restrictions on Mandatory Equitization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11370" w:type="dxa"/>
        <w:jc w:val="center"/>
        <w:tblInd w:w="0" w:type="dxa"/>
        <w:tblLayout w:type="fixed"/>
        <w:tblCellMar>
          <w:top w:w="0" w:type="dxa"/>
          <w:left w:w="0" w:type="dxa"/>
          <w:bottom w:w="0" w:type="dxa"/>
          <w:right w:w="0" w:type="dxa"/>
        </w:tblCellMar>
      </w:tblPr>
      <w:tblGrid>
        <w:gridCol w:w="1145"/>
        <w:gridCol w:w="60"/>
        <w:gridCol w:w="9545"/>
        <w:gridCol w:w="120"/>
        <w:gridCol w:w="60"/>
        <w:gridCol w:w="380"/>
        <w:gridCol w:w="60"/>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750" w:type="dxa"/>
            <w:gridSpan w:val="3"/>
            <w:tcBorders/>
          </w:tcPr>
          <w:p>
            <w:pPr>
              <w:pStyle w:val="TableContents"/>
              <w:bidi w:val="0"/>
              <w:spacing w:before="0" w:after="283"/>
              <w:jc w:val="left"/>
              <w:rPr/>
            </w:pPr>
            <w:r>
              <w:rPr/>
              <w:t>Article 18. Miscellaneous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136</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18.01</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Provisions Binding on Company’s Successors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18.02</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Official Acts by Qualified Successor Entity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18.03</w:t>
            </w:r>
          </w:p>
        </w:tc>
        <w:tc>
          <w:tcPr>
            <w:tcW w:w="60" w:type="dxa"/>
            <w:tcBorders/>
            <w:vAlign w:val="bottom"/>
          </w:tcPr>
          <w:p>
            <w:pPr>
              <w:pStyle w:val="TableContents"/>
              <w:bidi w:val="0"/>
              <w:spacing w:before="0" w:after="283"/>
              <w:jc w:val="left"/>
              <w:rPr/>
            </w:pPr>
            <w:r>
              <w:rPr/>
              <w:t> </w:t>
            </w:r>
          </w:p>
        </w:tc>
        <w:tc>
          <w:tcPr>
            <w:tcW w:w="9545" w:type="dxa"/>
            <w:tcBorders/>
          </w:tcPr>
          <w:p>
            <w:pPr>
              <w:pStyle w:val="TableContents"/>
              <w:bidi w:val="0"/>
              <w:spacing w:before="0" w:after="283"/>
              <w:jc w:val="left"/>
              <w:rPr/>
            </w:pPr>
            <w:r>
              <w:rPr/>
              <w:t>Addresses for Notices, Etc.</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136</w:t>
            </w:r>
          </w:p>
        </w:tc>
        <w:tc>
          <w:tcPr>
            <w:tcW w:w="60" w:type="dxa"/>
            <w:tcBorders/>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18.04</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Governing Law; Jurisdiction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137</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18.05</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Evidence of Compliance with Conditions Precedent; Certificates and Opinions of Counsel to Trustee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18.06</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Legal Holidays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18.07</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Benefits of Indenture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18.08</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Table of Contents, Headings,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18.09</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Authenticating Agent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18.10</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Execution in Counterparts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18.11</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Severability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18.12</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Waiver of Jury Trial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18.13</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Force Majeure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18.14</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Calculations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18.15</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U.S.A. PATRIOT Act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18.16</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Withholding Taxes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141</w:t>
            </w:r>
          </w:p>
        </w:tc>
        <w:tc>
          <w:tcPr>
            <w:tcW w:w="60" w:type="dxa"/>
            <w:tcBorders/>
            <w:vAlign w:val="bottom"/>
          </w:tcPr>
          <w:p>
            <w:pPr>
              <w:pStyle w:val="TableContents"/>
              <w:bidi w:val="0"/>
              <w:spacing w:before="0" w:after="283"/>
              <w:jc w:val="left"/>
              <w:rPr/>
            </w:pPr>
            <w:r>
              <w:rPr/>
              <w:t> </w:t>
            </w:r>
          </w:p>
        </w:tc>
      </w:tr>
      <w:tr>
        <w:trPr>
          <w:trHeight w:val="120" w:hRule="atLeast"/>
        </w:trPr>
        <w:tc>
          <w:tcPr>
            <w:tcW w:w="10750"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750" w:type="dxa"/>
            <w:gridSpan w:val="3"/>
            <w:tcBorders/>
          </w:tcPr>
          <w:p>
            <w:pPr>
              <w:pStyle w:val="TableContents"/>
              <w:bidi w:val="0"/>
              <w:spacing w:before="0" w:after="283"/>
              <w:jc w:val="left"/>
              <w:rPr/>
            </w:pPr>
            <w:r>
              <w:rPr/>
              <w:t>Article 19. Security and Collateral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141</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19.01</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Grant of Security Interest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19.02</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Financing Statements; Authorization to File Financing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19.03</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Perfection Other than by Filing,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19.04</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Termination and Automatic Release of Liens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19.05</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Collateral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19.06</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Further Assurances; Limitations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19.07</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Intercreditor Agreement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19.08</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Collateral Documents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19.09</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Release of Collateral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19.10</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Suits to Protect the Collateral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147</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19.11</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Collateral Agent; Authorization of Action to be Taken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147</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19.12</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Authorization of Receipt of Funds by the Trustee Under the Collateral Documents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149</w:t>
            </w:r>
          </w:p>
        </w:tc>
        <w:tc>
          <w:tcPr>
            <w:tcW w:w="60" w:type="dxa"/>
            <w:tcBorders/>
            <w:vAlign w:val="bottom"/>
          </w:tcPr>
          <w:p>
            <w:pPr>
              <w:pStyle w:val="TableContents"/>
              <w:bidi w:val="0"/>
              <w:spacing w:before="0" w:after="283"/>
              <w:jc w:val="left"/>
              <w:rPr/>
            </w:pPr>
            <w:r>
              <w:rPr/>
              <w:t> </w:t>
            </w:r>
          </w:p>
        </w:tc>
      </w:tr>
      <w:tr>
        <w:trPr>
          <w:trHeight w:val="120" w:hRule="atLeast"/>
        </w:trPr>
        <w:tc>
          <w:tcPr>
            <w:tcW w:w="10750"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750" w:type="dxa"/>
            <w:gridSpan w:val="3"/>
            <w:tcBorders/>
          </w:tcPr>
          <w:p>
            <w:pPr>
              <w:pStyle w:val="TableContents"/>
              <w:bidi w:val="0"/>
              <w:spacing w:before="0" w:after="283"/>
              <w:jc w:val="left"/>
              <w:rPr/>
            </w:pPr>
            <w:r>
              <w:rPr/>
              <w:t>Article 20.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149</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20.01</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Covenant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149</w:t>
            </w:r>
          </w:p>
        </w:tc>
        <w:tc>
          <w:tcPr>
            <w:tcW w:w="6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EXHIBIT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43"/>
        <w:gridCol w:w="132"/>
        <w:gridCol w:w="8097"/>
        <w:gridCol w:w="132"/>
        <w:gridCol w:w="60"/>
        <w:gridCol w:w="276"/>
        <w:gridCol w:w="65"/>
      </w:tblGrid>
      <w:tr>
        <w:trPr/>
        <w:tc>
          <w:tcPr>
            <w:tcW w:w="1443"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8097"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443" w:type="dxa"/>
            <w:tcBorders/>
          </w:tcPr>
          <w:p>
            <w:pPr>
              <w:pStyle w:val="TableContents"/>
              <w:bidi w:val="0"/>
              <w:spacing w:before="0" w:after="0"/>
              <w:jc w:val="left"/>
              <w:rPr>
                <w:rFonts w:ascii="Times New Roman" w:hAnsi="Times New Roman"/>
                <w:sz w:val="20"/>
              </w:rPr>
            </w:pPr>
            <w:r>
              <w:rPr>
                <w:rFonts w:ascii="Times New Roman" w:hAnsi="Times New Roman"/>
                <w:sz w:val="20"/>
              </w:rPr>
              <w:t>Schedule 13.08</w:t>
            </w:r>
          </w:p>
        </w:tc>
        <w:tc>
          <w:tcPr>
            <w:tcW w:w="132" w:type="dxa"/>
            <w:tcBorders/>
            <w:vAlign w:val="bottom"/>
          </w:tcPr>
          <w:p>
            <w:pPr>
              <w:pStyle w:val="TableContents"/>
              <w:bidi w:val="0"/>
              <w:spacing w:before="0" w:after="283"/>
              <w:jc w:val="left"/>
              <w:rPr/>
            </w:pPr>
            <w:r>
              <w:rPr/>
              <w:t>  </w:t>
            </w:r>
          </w:p>
        </w:tc>
        <w:tc>
          <w:tcPr>
            <w:tcW w:w="8097" w:type="dxa"/>
            <w:tcBorders/>
          </w:tcPr>
          <w:p>
            <w:pPr>
              <w:pStyle w:val="TableContents"/>
              <w:bidi w:val="0"/>
              <w:spacing w:before="0" w:after="0"/>
              <w:jc w:val="left"/>
              <w:rPr>
                <w:rFonts w:ascii="Times New Roman" w:hAnsi="Times New Roman"/>
                <w:sz w:val="20"/>
              </w:rPr>
            </w:pPr>
            <w:r>
              <w:rPr>
                <w:rFonts w:ascii="Times New Roman" w:hAnsi="Times New Roman"/>
                <w:sz w:val="20"/>
              </w:rPr>
              <w:t>Post-Closing</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right"/>
              <w:rPr/>
            </w:pPr>
            <w:r>
              <w:rPr/>
              <w:t>S-1</w:t>
            </w:r>
          </w:p>
        </w:tc>
        <w:tc>
          <w:tcPr>
            <w:tcW w:w="65" w:type="dxa"/>
            <w:tcBorders/>
            <w:vAlign w:val="bottom"/>
          </w:tcPr>
          <w:p>
            <w:pPr>
              <w:pStyle w:val="TableContents"/>
              <w:bidi w:val="0"/>
              <w:spacing w:before="0" w:after="283"/>
              <w:jc w:val="left"/>
              <w:rPr/>
            </w:pPr>
            <w:r>
              <w:rPr/>
              <w:t> </w:t>
            </w:r>
          </w:p>
        </w:tc>
      </w:tr>
      <w:tr>
        <w:trPr/>
        <w:tc>
          <w:tcPr>
            <w:tcW w:w="1443" w:type="dxa"/>
            <w:tcBorders/>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32" w:type="dxa"/>
            <w:tcBorders/>
            <w:vAlign w:val="bottom"/>
          </w:tcPr>
          <w:p>
            <w:pPr>
              <w:pStyle w:val="TableContents"/>
              <w:bidi w:val="0"/>
              <w:spacing w:before="0" w:after="283"/>
              <w:jc w:val="left"/>
              <w:rPr/>
            </w:pPr>
            <w:r>
              <w:rPr/>
              <w:t>  </w:t>
            </w:r>
          </w:p>
        </w:tc>
        <w:tc>
          <w:tcPr>
            <w:tcW w:w="8097" w:type="dxa"/>
            <w:tcBorders/>
          </w:tcPr>
          <w:p>
            <w:pPr>
              <w:pStyle w:val="TableContents"/>
              <w:bidi w:val="0"/>
              <w:spacing w:before="0" w:after="0"/>
              <w:jc w:val="left"/>
              <w:rPr>
                <w:rFonts w:ascii="Times New Roman" w:hAnsi="Times New Roman"/>
                <w:sz w:val="20"/>
              </w:rPr>
            </w:pPr>
            <w:r>
              <w:rPr>
                <w:rFonts w:ascii="Times New Roman" w:hAnsi="Times New Roman"/>
                <w:sz w:val="20"/>
              </w:rPr>
              <w:t>Form of Note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right"/>
              <w:rPr/>
            </w:pPr>
            <w:r>
              <w:rPr/>
              <w:t>A-1</w:t>
            </w:r>
          </w:p>
        </w:tc>
        <w:tc>
          <w:tcPr>
            <w:tcW w:w="65" w:type="dxa"/>
            <w:tcBorders/>
            <w:vAlign w:val="bottom"/>
          </w:tcPr>
          <w:p>
            <w:pPr>
              <w:pStyle w:val="TableContents"/>
              <w:bidi w:val="0"/>
              <w:spacing w:before="0" w:after="283"/>
              <w:jc w:val="left"/>
              <w:rPr/>
            </w:pPr>
            <w:r>
              <w:rPr/>
              <w:t> </w:t>
            </w:r>
          </w:p>
        </w:tc>
      </w:tr>
      <w:tr>
        <w:trPr/>
        <w:tc>
          <w:tcPr>
            <w:tcW w:w="1443" w:type="dxa"/>
            <w:tcBorders/>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32" w:type="dxa"/>
            <w:tcBorders/>
            <w:vAlign w:val="bottom"/>
          </w:tcPr>
          <w:p>
            <w:pPr>
              <w:pStyle w:val="TableContents"/>
              <w:bidi w:val="0"/>
              <w:spacing w:before="0" w:after="283"/>
              <w:jc w:val="left"/>
              <w:rPr/>
            </w:pPr>
            <w:r>
              <w:rPr/>
              <w:t>  </w:t>
            </w:r>
          </w:p>
        </w:tc>
        <w:tc>
          <w:tcPr>
            <w:tcW w:w="8097" w:type="dxa"/>
            <w:tcBorders/>
          </w:tcPr>
          <w:p>
            <w:pPr>
              <w:pStyle w:val="TableContents"/>
              <w:bidi w:val="0"/>
              <w:spacing w:before="0" w:after="0"/>
              <w:jc w:val="left"/>
              <w:rPr>
                <w:rFonts w:ascii="Times New Roman" w:hAnsi="Times New Roman"/>
                <w:sz w:val="20"/>
              </w:rPr>
            </w:pPr>
            <w:r>
              <w:rPr>
                <w:rFonts w:ascii="Times New Roman" w:hAnsi="Times New Roman"/>
                <w:sz w:val="20"/>
              </w:rPr>
              <w:t>Form of Supplemental Indenture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right"/>
              <w:rPr/>
            </w:pPr>
            <w:r>
              <w:rPr/>
              <w:t>B-1</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INDENTURE, dated as of October 15, 2025 (the “</w:t>
      </w:r>
      <w:r>
        <w:rPr>
          <w:rFonts w:ascii="Times New Roman" w:hAnsi="Times New Roman"/>
          <w:b/>
          <w:sz w:val="20"/>
        </w:rPr>
        <w:t>Issue Date</w:t>
      </w:r>
      <w:r>
        <w:rPr>
          <w:rFonts w:ascii="Times New Roman" w:hAnsi="Times New Roman"/>
          <w:sz w:val="20"/>
        </w:rPr>
        <w:t>”), among BEYOND MEAT, INC., a Delaware corporation, as issuer (the “</w:t>
      </w:r>
      <w:r>
        <w:rPr>
          <w:rFonts w:ascii="Times New Roman" w:hAnsi="Times New Roman"/>
          <w:b/>
          <w:sz w:val="20"/>
        </w:rPr>
        <w:t>Company</w:t>
      </w:r>
      <w:r>
        <w:rPr>
          <w:rFonts w:ascii="Times New Roman" w:hAnsi="Times New Roman"/>
          <w:sz w:val="20"/>
        </w:rPr>
        <w:t>,” as more fully set forth in Section 1.01), the subsidiary guarantors from time to time party hereto (collectively, the “</w:t>
      </w:r>
      <w:r>
        <w:rPr>
          <w:rFonts w:ascii="Times New Roman" w:hAnsi="Times New Roman"/>
          <w:b/>
          <w:sz w:val="20"/>
        </w:rPr>
        <w:t>Guarantors</w:t>
      </w:r>
      <w:r>
        <w:rPr>
          <w:rFonts w:ascii="Times New Roman" w:hAnsi="Times New Roman"/>
          <w:sz w:val="20"/>
        </w:rPr>
        <w:t>”), as more fully set forth in Section 1.01), and WILMINGTON TRUST, NATIONAL ASSOCIATION, a national banking association, as trustee (in such capacity, the “</w:t>
      </w:r>
      <w:r>
        <w:rPr>
          <w:rFonts w:ascii="Times New Roman" w:hAnsi="Times New Roman"/>
          <w:b/>
          <w:sz w:val="20"/>
        </w:rPr>
        <w:t>Trustee</w:t>
      </w:r>
      <w:r>
        <w:rPr>
          <w:rFonts w:ascii="Times New Roman" w:hAnsi="Times New Roman"/>
          <w:sz w:val="20"/>
        </w:rPr>
        <w:t>,” as more fully set forth in Section 1.01) and as collateral agent (in such capacity, the “</w:t>
      </w:r>
      <w:r>
        <w:rPr>
          <w:rFonts w:ascii="Times New Roman" w:hAnsi="Times New Roman"/>
          <w:b/>
          <w:sz w:val="20"/>
        </w:rPr>
        <w:t>Collateral Agent</w:t>
      </w:r>
      <w:r>
        <w:rPr>
          <w:rFonts w:ascii="Times New Roman" w:hAnsi="Times New Roman"/>
          <w:sz w:val="20"/>
        </w:rPr>
        <w:t xml:space="preserve">,” as more fully set forth in Section 1.01). </w:t>
      </w:r>
    </w:p>
    <w:p>
      <w:pPr>
        <w:pStyle w:val="TextBody"/>
        <w:bidi w:val="0"/>
        <w:spacing w:before="48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for its lawful corporate purposes, the Company has duly authorized the issuance of its Convertible Senior Secured Second Lien PIK Toggle Notes due 2030 (the “</w:t>
      </w:r>
      <w:r>
        <w:rPr>
          <w:rFonts w:ascii="Times New Roman" w:hAnsi="Times New Roman"/>
          <w:b/>
          <w:sz w:val="20"/>
        </w:rPr>
        <w:t>Notes</w:t>
      </w:r>
      <w:r>
        <w:rPr>
          <w:rFonts w:ascii="Times New Roman" w:hAnsi="Times New Roman"/>
          <w:sz w:val="20"/>
        </w:rPr>
        <w:t xml:space="preserve">”), initially in an aggregate principal amount up to $208,717,000, and in order to provide the terms and conditions upon which the Notes are to be authenticated, issued and delivered, the Company has duly authorized the execution and delivery of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acts and things necessary to make the Notes, when executed by the Company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THIS INDENTURE WITNESSETH: </w:t>
      </w:r>
    </w:p>
    <w:p>
      <w:pPr>
        <w:pStyle w:val="TextBody"/>
        <w:bidi w:val="0"/>
        <w:spacing w:before="120" w:after="0"/>
        <w:jc w:val="left"/>
        <w:rPr>
          <w:rFonts w:ascii="Times New Roman" w:hAnsi="Times New Roman"/>
          <w:sz w:val="20"/>
        </w:rPr>
      </w:pPr>
      <w:r>
        <w:rPr>
          <w:rFonts w:ascii="Times New Roman" w:hAnsi="Times New Roman"/>
          <w:sz w:val="20"/>
        </w:rPr>
        <w:t xml:space="preserve">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1. </w:t>
      </w:r>
    </w:p>
    <w:p>
      <w:pPr>
        <w:pStyle w:val="TextBody"/>
        <w:bidi w:val="0"/>
        <w:spacing w:before="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i/>
          <w:sz w:val="20"/>
        </w:rPr>
        <w:t xml:space="preserve">Definitions. </w:t>
      </w:r>
      <w:r>
        <w:rPr>
          <w:rFonts w:ascii="Times New Roman" w:hAnsi="Times New Roman"/>
          <w:sz w:val="20"/>
        </w:rPr>
        <w:t xml:space="preserve">The terms defined in this Section 1.01 (except as herein otherwise expressly provided or unless the context otherwise requires) for all purposes of this Indenture and of any indenture supplemental hereto shall have the respective meanings specified in this Section 1.01. All other terms contained in this Indenture, unless otherwise indicated, shall have the meaning provided by the Code to the extent such terms are defined therein. The words “herein,” “hereof,” “hereunder,” and words of similar import refer to this Indenture as a whole and not to any particular Article, Section or other subdivision. The terms defined in this Article include the plural as well as the singular.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Account</w:t>
      </w:r>
      <w:r>
        <w:rPr>
          <w:rFonts w:ascii="Times New Roman" w:hAnsi="Times New Roman"/>
          <w:sz w:val="20"/>
        </w:rPr>
        <w:t xml:space="preserve">” means, as to any Person, any “account” of such Person as “account” is defined in the Code with such additions to such term as may hereafter be made, and includes, without limitation, all accounts receivable and other sums owing to such Person. </w:t>
      </w:r>
    </w:p>
    <w:p>
      <w:pPr>
        <w:pStyle w:val="TextBody"/>
        <w:bidi w:val="0"/>
        <w:spacing w:before="240" w:after="0"/>
        <w:jc w:val="left"/>
        <w:rPr/>
      </w:pPr>
      <w:r>
        <w:rPr/>
        <w:t>“</w:t>
      </w:r>
      <w:r>
        <w:rPr>
          <w:rFonts w:ascii="Times New Roman" w:hAnsi="Times New Roman"/>
          <w:b/>
          <w:sz w:val="20"/>
        </w:rPr>
        <w:t>Additional Interest</w:t>
      </w:r>
      <w:r>
        <w:rPr>
          <w:rFonts w:ascii="Times New Roman" w:hAnsi="Times New Roman"/>
          <w:sz w:val="20"/>
        </w:rPr>
        <w:t xml:space="preserve">” means all amounts, if any, payable pursuant to Section 6.03, as applicable. </w:t>
      </w:r>
    </w:p>
    <w:p>
      <w:pPr>
        <w:pStyle w:val="TextBody"/>
        <w:bidi w:val="0"/>
        <w:spacing w:before="240" w:after="0"/>
        <w:jc w:val="left"/>
        <w:rPr/>
      </w:pPr>
      <w:r>
        <w:rPr/>
        <w:t>“</w:t>
      </w:r>
      <w:r>
        <w:rPr>
          <w:rFonts w:ascii="Times New Roman" w:hAnsi="Times New Roman"/>
          <w:b/>
          <w:sz w:val="20"/>
        </w:rPr>
        <w:t>Additional Notes</w:t>
      </w:r>
      <w:r>
        <w:rPr>
          <w:rFonts w:ascii="Times New Roman" w:hAnsi="Times New Roman"/>
          <w:sz w:val="20"/>
        </w:rPr>
        <w:t xml:space="preserve">” shall have the meaning specified in Section 2.10.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specified Person, another Person that directly, or indirectly through one or more intermediaries, Controls or is Controlled by or is under common Control with such specified Person. Notwithstanding anything to the contrary herein, the determination of whether one Person is an “Affiliate” of another Person for purposes of this Indenture shall be made based on the facts at the time such determination is made or required to be made, as the case may be, hereunder. </w:t>
      </w:r>
    </w:p>
    <w:p>
      <w:pPr>
        <w:pStyle w:val="TextBody"/>
        <w:bidi w:val="0"/>
        <w:spacing w:before="240" w:after="0"/>
        <w:jc w:val="left"/>
        <w:rPr/>
      </w:pPr>
      <w:r>
        <w:rPr/>
        <w:t>“</w:t>
      </w:r>
      <w:r>
        <w:rPr>
          <w:rFonts w:ascii="Times New Roman" w:hAnsi="Times New Roman"/>
          <w:b/>
          <w:sz w:val="20"/>
        </w:rPr>
        <w:t>All-In Yield</w:t>
      </w:r>
      <w:r>
        <w:rPr>
          <w:rFonts w:ascii="Times New Roman" w:hAnsi="Times New Roman"/>
          <w:sz w:val="20"/>
        </w:rPr>
        <w:t xml:space="preserve">” means, as to any Indebtedness, the yield thereof incurred or payable by the applicable borrower generally to all lenders or holders of such Indebtedness, whether in the form of interest rate, premiums, margin, original issue discount, up-front fees, rate floors or otherwise; </w:t>
      </w:r>
      <w:r>
        <w:rPr>
          <w:rFonts w:ascii="Times New Roman" w:hAnsi="Times New Roman"/>
          <w:i/>
          <w:sz w:val="20"/>
        </w:rPr>
        <w:t>provided</w:t>
      </w:r>
      <w:r>
        <w:rPr>
          <w:rFonts w:ascii="Times New Roman" w:hAnsi="Times New Roman"/>
          <w:sz w:val="20"/>
        </w:rPr>
        <w:t xml:space="preserve"> that (a) original issue discount and upfront fees shall be equated to interest rate assuming a four (4) year life to maturity on a straight line basis (or, if less, the stated life to maturity at the time of incurrence of the applicable Indebtedness); and (b) “</w:t>
      </w:r>
      <w:r>
        <w:rPr>
          <w:rFonts w:ascii="Times New Roman" w:hAnsi="Times New Roman"/>
          <w:b/>
          <w:sz w:val="20"/>
        </w:rPr>
        <w:t>All-In Yield</w:t>
      </w:r>
      <w:r>
        <w:rPr>
          <w:rFonts w:ascii="Times New Roman" w:hAnsi="Times New Roman"/>
          <w:sz w:val="20"/>
        </w:rPr>
        <w:t xml:space="preserve">” shall not include bona fide arrangement fees, structuring fees, commitment fees, underwriting fees and any similar fees payable to any lead arranger (not to exceed 2.00%) in connection with the commitment or syndication of such Indebtedness, reasonable consent or amendment fees paid to consenting lenders or holders, ticking fees on undrawn commitments and any other fees not paid or payable generally to all lenders or holders of such Indebtedness. </w:t>
      </w:r>
    </w:p>
    <w:p>
      <w:pPr>
        <w:pStyle w:val="TextBody"/>
        <w:bidi w:val="0"/>
        <w:spacing w:before="240" w:after="0"/>
        <w:jc w:val="left"/>
        <w:rPr/>
      </w:pPr>
      <w:r>
        <w:rPr/>
        <w:t>“</w:t>
      </w:r>
      <w:r>
        <w:rPr>
          <w:rFonts w:ascii="Times New Roman" w:hAnsi="Times New Roman"/>
          <w:b/>
          <w:sz w:val="20"/>
        </w:rPr>
        <w:t>Applicable Intercreditor Agreement</w:t>
      </w:r>
      <w:r>
        <w:rPr>
          <w:rFonts w:ascii="Times New Roman" w:hAnsi="Times New Roman"/>
          <w:sz w:val="20"/>
        </w:rPr>
        <w:t xml:space="preserve">” means, collectively, the Intercreditor Agreement and any Second Lien Pari Passu Intercreditor Agreement. </w:t>
      </w:r>
    </w:p>
    <w:p>
      <w:pPr>
        <w:pStyle w:val="TextBody"/>
        <w:bidi w:val="0"/>
        <w:spacing w:before="240" w:after="0"/>
        <w:jc w:val="left"/>
        <w:rPr/>
      </w:pPr>
      <w:r>
        <w:rPr/>
        <w:t>“</w:t>
      </w:r>
      <w:r>
        <w:rPr>
          <w:rFonts w:ascii="Times New Roman" w:hAnsi="Times New Roman"/>
          <w:b/>
          <w:sz w:val="20"/>
        </w:rPr>
        <w:t>As-Adjusted Coupon Make-Whole Conversion Rate</w:t>
      </w:r>
      <w:r>
        <w:rPr>
          <w:rFonts w:ascii="Times New Roman" w:hAnsi="Times New Roman"/>
          <w:sz w:val="20"/>
        </w:rPr>
        <w:t xml:space="preserve">” means the Conversion Rate, as potentially increased pursuant to Section 14.03. </w:t>
      </w:r>
    </w:p>
    <w:p>
      <w:pPr>
        <w:pStyle w:val="TextBody"/>
        <w:bidi w:val="0"/>
        <w:spacing w:before="240" w:after="0"/>
        <w:jc w:val="left"/>
        <w:rPr/>
      </w:pPr>
      <w:r>
        <w:rPr/>
        <w:t>“</w:t>
      </w:r>
      <w:r>
        <w:rPr>
          <w:rFonts w:ascii="Times New Roman" w:hAnsi="Times New Roman"/>
          <w:b/>
          <w:sz w:val="20"/>
        </w:rPr>
        <w:t>As-Adjusted Table Make-Whole Conversion Rate</w:t>
      </w:r>
      <w:r>
        <w:rPr>
          <w:rFonts w:ascii="Times New Roman" w:hAnsi="Times New Roman"/>
          <w:sz w:val="20"/>
        </w:rPr>
        <w:t xml:space="preserve">” means the Conversion Rate, as potentially increased pursuant to Section 14.04. </w:t>
      </w:r>
    </w:p>
    <w:p>
      <w:pPr>
        <w:pStyle w:val="TextBody"/>
        <w:bidi w:val="0"/>
        <w:spacing w:before="240" w:after="0"/>
        <w:jc w:val="left"/>
        <w:rPr/>
      </w:pPr>
      <w:r>
        <w:rPr/>
        <w:t>“</w:t>
      </w:r>
      <w:r>
        <w:rPr>
          <w:rFonts w:ascii="Times New Roman" w:hAnsi="Times New Roman"/>
          <w:b/>
          <w:sz w:val="20"/>
        </w:rPr>
        <w:t>Asset Disposition</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any sale, conveyance, transfer, lease, assignment or other disposition by the Company or any of its Subsidiaries to any Person other than any Note Party (including by means of a sale and leaseback transaction or a merger or consolidation), in one transaction or a series of related transactions, of any property or assets of the Company or any of its Subsidiaries; or </w:t>
      </w:r>
    </w:p>
    <w:p>
      <w:pPr>
        <w:pStyle w:val="TextBody"/>
        <w:bidi w:val="0"/>
        <w:spacing w:before="240" w:after="0"/>
        <w:jc w:val="left"/>
        <w:rPr>
          <w:rFonts w:ascii="Times New Roman" w:hAnsi="Times New Roman"/>
          <w:sz w:val="20"/>
        </w:rPr>
      </w:pPr>
      <w:r>
        <w:rPr>
          <w:rFonts w:ascii="Times New Roman" w:hAnsi="Times New Roman"/>
          <w:sz w:val="20"/>
        </w:rPr>
        <w:t xml:space="preserve">(b) any issuance of Equity Interests of a Subsidiary (other than Preferred Stock of Subsidiaries issued in compliance with Section 4.10) to any Person other than any Note Party in one transaction or a series of related transactions (the actions described in these clauses (a) and (b), collectively, for purposes of this definition, a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each case, other than: </w:t>
      </w:r>
    </w:p>
    <w:p>
      <w:pPr>
        <w:pStyle w:val="TextBody"/>
        <w:bidi w:val="0"/>
        <w:spacing w:before="120" w:after="0"/>
        <w:jc w:val="left"/>
        <w:rPr>
          <w:rFonts w:ascii="Times New Roman" w:hAnsi="Times New Roman"/>
          <w:sz w:val="20"/>
        </w:rPr>
      </w:pPr>
      <w:r>
        <w:rPr>
          <w:rFonts w:ascii="Times New Roman" w:hAnsi="Times New Roman"/>
          <w:sz w:val="20"/>
        </w:rPr>
        <w:t xml:space="preserve">(i) Transfers of Inventory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 Transfers of worn-out, surplus, destroyed or obsolete equipment or property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(iii) Transfers of assets by any Note Party or any Subsidiary to any other Note Party; </w:t>
      </w:r>
    </w:p>
    <w:p>
      <w:pPr>
        <w:pStyle w:val="TextBody"/>
        <w:bidi w:val="0"/>
        <w:spacing w:before="120" w:after="0"/>
        <w:jc w:val="left"/>
        <w:rPr>
          <w:rFonts w:ascii="Times New Roman" w:hAnsi="Times New Roman"/>
          <w:sz w:val="20"/>
        </w:rPr>
      </w:pPr>
      <w:r>
        <w:rPr>
          <w:rFonts w:ascii="Times New Roman" w:hAnsi="Times New Roman"/>
          <w:sz w:val="20"/>
        </w:rPr>
        <w:t xml:space="preserve">(iv) Transfers consisting of Permitted Liens and Permitted Investments; </w:t>
      </w:r>
    </w:p>
    <w:p>
      <w:pPr>
        <w:pStyle w:val="TextBody"/>
        <w:bidi w:val="0"/>
        <w:spacing w:before="120" w:after="0"/>
        <w:jc w:val="left"/>
        <w:rPr>
          <w:rFonts w:ascii="Times New Roman" w:hAnsi="Times New Roman"/>
          <w:sz w:val="20"/>
        </w:rPr>
      </w:pPr>
      <w:r>
        <w:rPr>
          <w:rFonts w:ascii="Times New Roman" w:hAnsi="Times New Roman"/>
          <w:sz w:val="20"/>
        </w:rPr>
        <w:t xml:space="preserve">(v) Transfers of Accounts (excluding sales or dispositions in a factoring arrangement) in connection with the compromise, settlement or collection thereof in the ordinary course of business and consistent with past practices; </w:t>
      </w:r>
    </w:p>
    <w:p>
      <w:pPr>
        <w:pStyle w:val="TextBody"/>
        <w:bidi w:val="0"/>
        <w:spacing w:before="120" w:after="0"/>
        <w:jc w:val="left"/>
        <w:rPr>
          <w:rFonts w:ascii="Times New Roman" w:hAnsi="Times New Roman"/>
          <w:sz w:val="20"/>
        </w:rPr>
      </w:pPr>
      <w:r>
        <w:rPr>
          <w:rFonts w:ascii="Times New Roman" w:hAnsi="Times New Roman"/>
          <w:sz w:val="20"/>
        </w:rPr>
        <w:t xml:space="preserve">(vi) Transfers resulting from any casualty or other insured damage to, or any taking under power of eminent domain or by condemnation or similar proceeding of, any property or asset of any Note Party, </w:t>
      </w:r>
      <w:r>
        <w:rPr>
          <w:rFonts w:ascii="Times New Roman" w:hAnsi="Times New Roman"/>
          <w:i/>
          <w:sz w:val="20"/>
        </w:rPr>
        <w:t>provided</w:t>
      </w:r>
      <w:r>
        <w:rPr>
          <w:rFonts w:ascii="Times New Roman" w:hAnsi="Times New Roman"/>
          <w:sz w:val="20"/>
        </w:rPr>
        <w:t xml:space="preserve"> that such Transfer is made for fair value and </w:t>
      </w:r>
      <w:r>
        <w:rPr>
          <w:rFonts w:ascii="Times New Roman" w:hAnsi="Times New Roman"/>
          <w:i/>
          <w:sz w:val="20"/>
        </w:rPr>
        <w:t>provided</w:t>
      </w:r>
      <w:r>
        <w:rPr>
          <w:rFonts w:ascii="Times New Roman" w:hAnsi="Times New Roman"/>
          <w:sz w:val="20"/>
        </w:rPr>
        <w:t xml:space="preserve"> that the net proceeds thereof are used solely for reinvestment purposes in order to replace such property or assets within a reasonable period of time; </w:t>
      </w:r>
    </w:p>
    <w:p>
      <w:pPr>
        <w:pStyle w:val="TextBody"/>
        <w:bidi w:val="0"/>
        <w:spacing w:before="120" w:after="0"/>
        <w:jc w:val="left"/>
        <w:rPr>
          <w:rFonts w:ascii="Times New Roman" w:hAnsi="Times New Roman"/>
          <w:sz w:val="20"/>
        </w:rPr>
      </w:pPr>
      <w:r>
        <w:rPr>
          <w:rFonts w:ascii="Times New Roman" w:hAnsi="Times New Roman"/>
          <w:sz w:val="20"/>
        </w:rPr>
        <w:t xml:space="preserve">(vii) surrender or waiver of contract rights on settlement, release, reorganization or surrender of contract, tort or other claim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(viii) leases, subleases, licenses, sublicenses or other occupancy arrangements of property (other than Intellectual Property rights) which, in the aggregate, do not materially detract from the value of any Collateral or materially interfere with the ordinary conduct of the business of any Note Party; </w:t>
      </w:r>
    </w:p>
    <w:p>
      <w:pPr>
        <w:pStyle w:val="TextBody"/>
        <w:bidi w:val="0"/>
        <w:spacing w:before="120" w:after="0"/>
        <w:jc w:val="left"/>
        <w:rPr>
          <w:rFonts w:ascii="Times New Roman" w:hAnsi="Times New Roman"/>
          <w:sz w:val="20"/>
        </w:rPr>
      </w:pPr>
      <w:r>
        <w:rPr>
          <w:rFonts w:ascii="Times New Roman" w:hAnsi="Times New Roman"/>
          <w:sz w:val="20"/>
        </w:rPr>
        <w:t xml:space="preserve">(ix) (A) the lapse, abandonment, cancellation, sale, transfer or other disposition of intellectual property that is, in the reasonable business judgment of any Note Party, no longer material to the conduct of the business of the Note Parties, taken as a whole, and (B) non-exclusive licenses or sublicenses of intellectual property rights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 Transfers consisting of any Note Party’s or its Subsidiaries’ use or transfer of money or Cash Equivalents in a manner that is not prohibited by the terms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(xi) Transfers of Permitted Licenses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(xii) cancellation of any intercompany Indebtedness among the Note Parties; </w:t>
      </w:r>
    </w:p>
    <w:p>
      <w:pPr>
        <w:pStyle w:val="TextBody"/>
        <w:bidi w:val="0"/>
        <w:spacing w:before="120" w:after="0"/>
        <w:jc w:val="left"/>
        <w:rPr>
          <w:rFonts w:ascii="Times New Roman" w:hAnsi="Times New Roman"/>
          <w:sz w:val="20"/>
        </w:rPr>
      </w:pPr>
      <w:r>
        <w:rPr>
          <w:rFonts w:ascii="Times New Roman" w:hAnsi="Times New Roman"/>
          <w:sz w:val="20"/>
        </w:rPr>
        <w:t xml:space="preserve">(xiii) cancellation of any Indebtedness in connection with an exchange of the Existing Notes for the Notes;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other Transfers of assets the aggregate fair market value of which, taken together with all other Transfers under this clause (xiv), does not exceed $2.0 million in any twelve (12) month period. </w:t>
      </w:r>
    </w:p>
    <w:p>
      <w:pPr>
        <w:pStyle w:val="TextBody"/>
        <w:bidi w:val="0"/>
        <w:spacing w:before="240" w:after="0"/>
        <w:jc w:val="left"/>
        <w:rPr/>
      </w:pPr>
      <w:r>
        <w:rPr/>
        <w:t>“</w:t>
      </w:r>
      <w:r>
        <w:rPr>
          <w:rFonts w:ascii="Times New Roman" w:hAnsi="Times New Roman"/>
          <w:b/>
          <w:sz w:val="20"/>
        </w:rPr>
        <w:t>Attribution Parties</w:t>
      </w:r>
      <w:r>
        <w:rPr>
          <w:rFonts w:ascii="Times New Roman" w:hAnsi="Times New Roman"/>
          <w:sz w:val="20"/>
        </w:rPr>
        <w:t xml:space="preserve">” means, collectively, the following Persons: (a) any investment vehicle, including any funds, feeder funds, or managed accounts, currently or from time to time after the Issue Date, directly or indirectly managed or advised by the Economic Interest Holder’s investment manager or any of its affiliates or principals, (b) any direct or indirect affiliates of the Economic Interest Holder, (c) any person acting or who could be deemed to be acting as a Section 13(d) “group” together with the Economic Interest Holder or any Attribution Parties and (d) any other persons whose beneficial ownership of the Common Stock would or could be aggregated with the Economic Interest Holder’s and/or any other Attribution Parties’ for purposes of Section 13(d) or Section 16 of the Exchange Act. For clarity, the purpose of this definition is to subject collectively the Economic Interest Holder of the Notes and all other Attribution Parties to the Beneficial Ownership Limitation. </w:t>
      </w:r>
    </w:p>
    <w:p>
      <w:pPr>
        <w:pStyle w:val="TextBody"/>
        <w:bidi w:val="0"/>
        <w:spacing w:before="240" w:after="0"/>
        <w:jc w:val="left"/>
        <w:rPr/>
      </w:pPr>
      <w:r>
        <w:rPr/>
        <w:t>“</w:t>
      </w:r>
      <w:r>
        <w:rPr>
          <w:rFonts w:ascii="Times New Roman" w:hAnsi="Times New Roman"/>
          <w:b/>
          <w:sz w:val="20"/>
        </w:rPr>
        <w:t>Bankruptcy Code</w:t>
      </w:r>
      <w:r>
        <w:rPr>
          <w:rFonts w:ascii="Times New Roman" w:hAnsi="Times New Roman"/>
          <w:sz w:val="20"/>
        </w:rPr>
        <w:t xml:space="preserve">” means Title 11 of the United States Code entitled “Bankruptcy,” as now and hereafter in effect, or any successor statute. </w:t>
      </w:r>
    </w:p>
    <w:p>
      <w:pPr>
        <w:pStyle w:val="TextBody"/>
        <w:bidi w:val="0"/>
        <w:spacing w:before="240" w:after="0"/>
        <w:jc w:val="left"/>
        <w:rPr/>
      </w:pPr>
      <w:r>
        <w:rPr/>
        <w:t>“</w:t>
      </w:r>
      <w:r>
        <w:rPr>
          <w:rFonts w:ascii="Times New Roman" w:hAnsi="Times New Roman"/>
          <w:b/>
          <w:sz w:val="20"/>
        </w:rPr>
        <w:t>Bankruptcy Law</w:t>
      </w:r>
      <w:r>
        <w:rPr>
          <w:rFonts w:ascii="Times New Roman" w:hAnsi="Times New Roman"/>
          <w:sz w:val="20"/>
        </w:rPr>
        <w:t xml:space="preserve">” means the Bankruptcy Code, or any other United States federal or state bankruptcy, insolvency or similar law, fraudulent transfer or conveyance statute and any related case law. </w:t>
      </w:r>
    </w:p>
    <w:p>
      <w:pPr>
        <w:pStyle w:val="TextBody"/>
        <w:bidi w:val="0"/>
        <w:spacing w:before="240" w:after="0"/>
        <w:jc w:val="left"/>
        <w:rPr/>
      </w:pPr>
      <w:r>
        <w:rPr/>
        <w:t>“</w:t>
      </w:r>
      <w:r>
        <w:rPr>
          <w:rFonts w:ascii="Times New Roman" w:hAnsi="Times New Roman"/>
          <w:b/>
          <w:sz w:val="20"/>
        </w:rPr>
        <w:t>Beneficial</w:t>
      </w:r>
      <w:r>
        <w:rPr>
          <w:rFonts w:ascii="Times New Roman" w:hAnsi="Times New Roman"/>
          <w:sz w:val="20"/>
        </w:rPr>
        <w:t xml:space="preserve"> </w:t>
      </w:r>
      <w:r>
        <w:rPr>
          <w:rFonts w:ascii="Times New Roman" w:hAnsi="Times New Roman"/>
          <w:b/>
          <w:sz w:val="20"/>
        </w:rPr>
        <w:t>Ownership Limitation</w:t>
      </w:r>
      <w:r>
        <w:rPr>
          <w:rFonts w:ascii="Times New Roman" w:hAnsi="Times New Roman"/>
          <w:sz w:val="20"/>
        </w:rPr>
        <w:t xml:space="preserve">” shall have the meaning specified in Section 14.14.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or a committee of such board duly authorized to act for it hereunder. </w:t>
      </w:r>
    </w:p>
    <w:p>
      <w:pPr>
        <w:pStyle w:val="TextBody"/>
        <w:bidi w:val="0"/>
        <w:spacing w:before="240" w:after="0"/>
        <w:jc w:val="left"/>
        <w:rPr/>
      </w:pPr>
      <w:r>
        <w:rPr/>
        <w:t>“</w:t>
      </w:r>
      <w:r>
        <w:rPr>
          <w:rFonts w:ascii="Times New Roman" w:hAnsi="Times New Roman"/>
          <w:b/>
          <w:sz w:val="20"/>
        </w:rPr>
        <w:t>Board Resolution</w:t>
      </w:r>
      <w:r>
        <w:rPr>
          <w:rFonts w:ascii="Times New Roman" w:hAnsi="Times New Roman"/>
          <w:sz w:val="20"/>
        </w:rPr>
        <w:t xml:space="preserve">” means a copy of a resolution certified by the Secretary or an Assistant Secretary of the Company to have been duly adopted by the Board of Directors, and to be in full force and effect on the date of such certification, and delivered to the Trustee. </w:t>
      </w:r>
    </w:p>
    <w:p>
      <w:pPr>
        <w:pStyle w:val="TextBody"/>
        <w:bidi w:val="0"/>
        <w:spacing w:before="240" w:after="0"/>
        <w:jc w:val="left"/>
        <w:rPr/>
      </w:pPr>
      <w:r>
        <w:rPr/>
        <w:t>“</w:t>
      </w:r>
      <w:r>
        <w:rPr>
          <w:rFonts w:ascii="Times New Roman" w:hAnsi="Times New Roman"/>
          <w:b/>
          <w:sz w:val="20"/>
        </w:rPr>
        <w:t>Business Combination Event</w:t>
      </w:r>
      <w:r>
        <w:rPr>
          <w:rFonts w:ascii="Times New Roman" w:hAnsi="Times New Roman"/>
          <w:sz w:val="20"/>
        </w:rPr>
        <w:t xml:space="preserve">” shall have the meaning specified in Section 11.01.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with respect to any Note, any day other than a Saturday, a Sunday or other day on which the commercial banks in New York City are authorized or required by law to close. </w:t>
      </w:r>
    </w:p>
    <w:p>
      <w:pPr>
        <w:pStyle w:val="TextBody"/>
        <w:bidi w:val="0"/>
        <w:spacing w:before="240" w:after="0"/>
        <w:jc w:val="left"/>
        <w:rPr/>
      </w:pPr>
      <w:r>
        <w:rPr/>
        <w:t>“</w:t>
      </w:r>
      <w:r>
        <w:rPr>
          <w:rFonts w:ascii="Times New Roman" w:hAnsi="Times New Roman"/>
          <w:b/>
          <w:sz w:val="20"/>
        </w:rPr>
        <w:t>Cash Equivalents</w:t>
      </w:r>
      <w:r>
        <w:rPr>
          <w:rFonts w:ascii="Times New Roman" w:hAnsi="Times New Roman"/>
          <w:sz w:val="20"/>
        </w:rPr>
        <w:t xml:space="preserve">”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certificates of deposit issued maturing no more than one (1) year after issue; and (d) money market funds at least 95.0% of the assets of which constitute Cash Equivalents of the kinds described in clauses (a) through (c) of this definition. </w:t>
      </w:r>
    </w:p>
    <w:p>
      <w:pPr>
        <w:pStyle w:val="TextBody"/>
        <w:bidi w:val="0"/>
        <w:spacing w:before="240" w:after="0"/>
        <w:jc w:val="left"/>
        <w:rPr/>
      </w:pPr>
      <w:r>
        <w:rPr/>
        <w:t>“</w:t>
      </w:r>
      <w:r>
        <w:rPr>
          <w:rFonts w:ascii="Times New Roman" w:hAnsi="Times New Roman"/>
          <w:b/>
          <w:sz w:val="20"/>
        </w:rPr>
        <w:t>Cash Interest</w:t>
      </w:r>
      <w:r>
        <w:rPr>
          <w:rFonts w:ascii="Times New Roman" w:hAnsi="Times New Roman"/>
          <w:sz w:val="20"/>
        </w:rPr>
        <w:t xml:space="preserve">” shall have the meaning specified in Section 2.03.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Cash Settlement</w:t>
      </w:r>
      <w:r>
        <w:rPr>
          <w:rFonts w:ascii="Times New Roman" w:hAnsi="Times New Roman"/>
          <w:sz w:val="20"/>
        </w:rPr>
        <w:t xml:space="preserve">” shall have the meaning specified in Section 14.02(a). </w:t>
      </w:r>
    </w:p>
    <w:p>
      <w:pPr>
        <w:pStyle w:val="TextBody"/>
        <w:bidi w:val="0"/>
        <w:spacing w:before="240" w:after="0"/>
        <w:jc w:val="left"/>
        <w:rPr/>
      </w:pPr>
      <w:r>
        <w:rPr/>
        <w:t>“</w:t>
      </w:r>
      <w:r>
        <w:rPr>
          <w:rFonts w:ascii="Times New Roman" w:hAnsi="Times New Roman"/>
          <w:b/>
          <w:sz w:val="20"/>
        </w:rPr>
        <w:t>CFC</w:t>
      </w:r>
      <w:r>
        <w:rPr>
          <w:rFonts w:ascii="Times New Roman" w:hAnsi="Times New Roman"/>
          <w:sz w:val="20"/>
        </w:rPr>
        <w:t xml:space="preserve">” means a Foreign Subsidiary that is a “controlled foreign corporation” as defined in Section 957 of the Internal Revenue Code, with respect to which any Note Party is a “United States shareholder” within the meaning of Section 951(b) of the Internal Revenue Code. </w:t>
      </w:r>
    </w:p>
    <w:p>
      <w:pPr>
        <w:pStyle w:val="TextBody"/>
        <w:bidi w:val="0"/>
        <w:spacing w:before="240" w:after="0"/>
        <w:jc w:val="left"/>
        <w:rPr/>
      </w:pPr>
      <w:r>
        <w:rPr/>
        <w:t>“</w:t>
      </w:r>
      <w:r>
        <w:rPr>
          <w:rFonts w:ascii="Times New Roman" w:hAnsi="Times New Roman"/>
          <w:b/>
          <w:sz w:val="20"/>
        </w:rPr>
        <w:t>close of business</w:t>
      </w:r>
      <w:r>
        <w:rPr>
          <w:rFonts w:ascii="Times New Roman" w:hAnsi="Times New Roman"/>
          <w:sz w:val="20"/>
        </w:rPr>
        <w:t xml:space="preserve">” means 5:00 p.m. (New York City time).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Uniform Commercial Code as in effect from time to time in the State of New York; </w:t>
      </w:r>
      <w:r>
        <w:rPr>
          <w:rFonts w:ascii="Times New Roman" w:hAnsi="Times New Roman"/>
          <w:i/>
          <w:sz w:val="20"/>
        </w:rPr>
        <w:t>provided</w:t>
      </w:r>
      <w:r>
        <w:rPr>
          <w:rFonts w:ascii="Times New Roman" w:hAnsi="Times New Roman"/>
          <w:sz w:val="20"/>
        </w:rPr>
        <w:t xml:space="preserve"> that, to the extent that the Code is used to define any term in this Indenture and such term is defined differently in different Articles or Divisions of the Code, the definition of such term contained in Article or Division 9 shall govern;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in the event that, by reason of mandatory provisions of law, any or all of the attachment, perfection, or priority of, or remedies with respect to, the Collateral Agent’s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 </w:t>
      </w:r>
    </w:p>
    <w:p>
      <w:pPr>
        <w:pStyle w:val="TextBody"/>
        <w:bidi w:val="0"/>
        <w:spacing w:before="240" w:after="0"/>
        <w:jc w:val="left"/>
        <w:rPr/>
      </w:pPr>
      <w:r>
        <w:rPr/>
        <w:t>“</w:t>
      </w:r>
      <w:r>
        <w:rPr>
          <w:rFonts w:ascii="Times New Roman" w:hAnsi="Times New Roman"/>
          <w:b/>
          <w:sz w:val="20"/>
        </w:rPr>
        <w:t>Collateral</w:t>
      </w:r>
      <w:r>
        <w:rPr>
          <w:rFonts w:ascii="Times New Roman" w:hAnsi="Times New Roman"/>
          <w:sz w:val="20"/>
        </w:rPr>
        <w:t xml:space="preserve">” means with respect to any Note Party, all of such Person’s right, title and interest in and to the following personal property: (A) all goods, Accounts, Equipment, Inventory, contract rights or rights to payment of money, leases, license agreements, franchise agreements, General Intangibles, Intellectual Property, commercial tort claims, documents, real estate, instruments (including any promissory notes), chattel paper (whether tangible or electronic), cash, deposit accounts, certificates of deposit, fixtures, letter-of-credit rights (whether or not the letter of credit is evidenced by a writing), securities, securities accounts, securities entitlements and all other investment property, supporting obligations, and financial assets, whether now owned or hereafter acquired and wherever located; (B) all books and records, customer lists, credit files, computer files, programs, printouts and other computer materials and records at any time evidencing or relating to any of the foregoing; and (C) to the extent not covered by immediately preceding clauses (A) and (B), all other assets, personal property, claims, interests and rights of such Person, whether tangible or intangible, all proceeds and products of each of the foregoing and all additions, attachments, accessions and improvements to, accessories, substitutions and replacements for, and rents, profits and products of, each of the foregoing, and any and all proceeds of any insurance, indemnity, warranty or guaranty payable to such Person from time to time with respect to any of the foregoing; </w:t>
      </w:r>
      <w:r>
        <w:rPr>
          <w:rFonts w:ascii="Times New Roman" w:hAnsi="Times New Roman"/>
          <w:i/>
          <w:sz w:val="20"/>
        </w:rPr>
        <w:t>provided</w:t>
      </w:r>
      <w:r>
        <w:rPr>
          <w:rFonts w:ascii="Times New Roman" w:hAnsi="Times New Roman"/>
          <w:sz w:val="20"/>
        </w:rPr>
        <w:t xml:space="preserve"> that, notwithstanding the foregoing, the Collateral shall not include Excluded Assets. </w:t>
      </w:r>
    </w:p>
    <w:p>
      <w:pPr>
        <w:pStyle w:val="TextBody"/>
        <w:bidi w:val="0"/>
        <w:spacing w:before="240" w:after="0"/>
        <w:jc w:val="left"/>
        <w:rPr/>
      </w:pPr>
      <w:r>
        <w:rPr/>
        <w:t>“</w:t>
      </w:r>
      <w:r>
        <w:rPr>
          <w:rFonts w:ascii="Times New Roman" w:hAnsi="Times New Roman"/>
          <w:b/>
          <w:sz w:val="20"/>
        </w:rPr>
        <w:t>Collateral Agent</w:t>
      </w:r>
      <w:r>
        <w:rPr>
          <w:rFonts w:ascii="Times New Roman" w:hAnsi="Times New Roman"/>
          <w:sz w:val="20"/>
        </w:rPr>
        <w:t>” means the Person named as the “</w:t>
      </w:r>
      <w:r>
        <w:rPr>
          <w:rFonts w:ascii="Times New Roman" w:hAnsi="Times New Roman"/>
          <w:b/>
          <w:sz w:val="20"/>
        </w:rPr>
        <w:t>Collateral Agent</w:t>
      </w:r>
      <w:r>
        <w:rPr>
          <w:rFonts w:ascii="Times New Roman" w:hAnsi="Times New Roman"/>
          <w:sz w:val="20"/>
        </w:rPr>
        <w:t xml:space="preserve">” in the first paragraph of this Indenture, and its successors and/or permitted assigns in such capacity. </w:t>
      </w:r>
    </w:p>
    <w:p>
      <w:pPr>
        <w:pStyle w:val="TextBody"/>
        <w:bidi w:val="0"/>
        <w:spacing w:before="240" w:after="0"/>
        <w:jc w:val="left"/>
        <w:rPr/>
      </w:pPr>
      <w:r>
        <w:rPr/>
        <w:t>“</w:t>
      </w:r>
      <w:r>
        <w:rPr>
          <w:rFonts w:ascii="Times New Roman" w:hAnsi="Times New Roman"/>
          <w:b/>
          <w:sz w:val="20"/>
        </w:rPr>
        <w:t>Collateral Documents</w:t>
      </w:r>
      <w:r>
        <w:rPr>
          <w:rFonts w:ascii="Times New Roman" w:hAnsi="Times New Roman"/>
          <w:sz w:val="20"/>
        </w:rPr>
        <w:t xml:space="preserve">” means all security agreements, pledge agreements, intercreditor agreements (including, for the avoidance of doubt, the Applicable Intercreditor Agreement), control agreements, collateral assignments, mortgages, deeds of trust or other instruments or other pledges, grants or transfers for security or agreements related thereto executed and delivered by the Company or any Guarantor creating or perfecting (or purporting to create or perfect) a lien upon Collateral (including, without limitation, financing statements under the UCC) in favor of the Collateral Agent, for the benefit of the Secured Parties, in each case, as amended, restated, amended and restated, supplemented, replaced or otherwise modified in accordance with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Combination Settlement</w:t>
      </w:r>
      <w:r>
        <w:rPr>
          <w:rFonts w:ascii="Times New Roman" w:hAnsi="Times New Roman"/>
          <w:sz w:val="20"/>
        </w:rPr>
        <w:t xml:space="preserve">” shall have the meaning specified in Section 14.02(a). </w:t>
      </w:r>
    </w:p>
    <w:p>
      <w:pPr>
        <w:pStyle w:val="TextBody"/>
        <w:bidi w:val="0"/>
        <w:spacing w:before="240" w:after="0"/>
        <w:jc w:val="left"/>
        <w:rPr/>
      </w:pPr>
      <w:r>
        <w:rPr/>
        <w:t>“</w:t>
      </w:r>
      <w:r>
        <w:rPr>
          <w:rFonts w:ascii="Times New Roman" w:hAnsi="Times New Roman"/>
          <w:b/>
          <w:sz w:val="20"/>
        </w:rPr>
        <w:t>Commercial Lending Institution</w:t>
      </w:r>
      <w:r>
        <w:rPr>
          <w:rFonts w:ascii="Times New Roman" w:hAnsi="Times New Roman"/>
          <w:sz w:val="20"/>
        </w:rPr>
        <w:t xml:space="preserve">” means commercial banks engaged in lending in the ordinary course of their respective businesses and includes any investment bank, insurance company, credit union, savings and loan association and any government-owned entity that from time to time extends credit on terms and conditions similar to any of the foregoing.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any successor thereto, and any analogous Governmental Authority.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means the Common Stock of the Company, par value $0.0001 per share, at the date of this Indenture, subject to Section 14.08. </w:t>
      </w:r>
    </w:p>
    <w:p>
      <w:pPr>
        <w:pStyle w:val="TextBody"/>
        <w:bidi w:val="0"/>
        <w:spacing w:before="240" w:after="0"/>
        <w:jc w:val="left"/>
        <w:rPr/>
      </w:pPr>
      <w:r>
        <w:rPr/>
        <w:t>“</w:t>
      </w:r>
      <w:r>
        <w:rPr>
          <w:rFonts w:ascii="Times New Roman" w:hAnsi="Times New Roman"/>
          <w:b/>
          <w:sz w:val="20"/>
        </w:rPr>
        <w:t>Common Stock Change Event</w:t>
      </w:r>
      <w:r>
        <w:rPr>
          <w:rFonts w:ascii="Times New Roman" w:hAnsi="Times New Roman"/>
          <w:sz w:val="20"/>
        </w:rPr>
        <w:t xml:space="preserve">” shall have the meaning specified in Section 14.08. </w:t>
      </w:r>
    </w:p>
    <w:p>
      <w:pPr>
        <w:pStyle w:val="TextBody"/>
        <w:bidi w:val="0"/>
        <w:spacing w:before="240" w:after="0"/>
        <w:jc w:val="left"/>
        <w:rPr/>
      </w:pPr>
      <w:r>
        <w:rPr/>
        <w:t>“</w:t>
      </w:r>
      <w:r>
        <w:rPr>
          <w:rFonts w:ascii="Times New Roman" w:hAnsi="Times New Roman"/>
          <w:b/>
          <w:sz w:val="20"/>
        </w:rPr>
        <w:t>Common Stock Interest</w:t>
      </w:r>
      <w:r>
        <w:rPr>
          <w:rFonts w:ascii="Times New Roman" w:hAnsi="Times New Roman"/>
          <w:sz w:val="20"/>
        </w:rPr>
        <w:t xml:space="preserve">” shall have the meaning specified in Section 2.03.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shall have the meaning specified in the first paragraph of this Indenture, and subject to the provisions of Article 11, shall include its successors and assigns. </w:t>
      </w:r>
    </w:p>
    <w:p>
      <w:pPr>
        <w:pStyle w:val="TextBody"/>
        <w:bidi w:val="0"/>
        <w:spacing w:before="240" w:after="0"/>
        <w:jc w:val="left"/>
        <w:rPr/>
      </w:pPr>
      <w:r>
        <w:rPr/>
        <w:t>“</w:t>
      </w:r>
      <w:r>
        <w:rPr>
          <w:rFonts w:ascii="Times New Roman" w:hAnsi="Times New Roman"/>
          <w:b/>
          <w:sz w:val="20"/>
        </w:rPr>
        <w:t>Company Order</w:t>
      </w:r>
      <w:r>
        <w:rPr>
          <w:rFonts w:ascii="Times New Roman" w:hAnsi="Times New Roman"/>
          <w:sz w:val="20"/>
        </w:rPr>
        <w:t xml:space="preserve">” means a written order of the Company, signed by one of its Officers, and delivered to the Trustee. </w:t>
      </w:r>
    </w:p>
    <w:p>
      <w:pPr>
        <w:pStyle w:val="TextBody"/>
        <w:bidi w:val="0"/>
        <w:spacing w:before="240" w:after="0"/>
        <w:jc w:val="left"/>
        <w:rPr/>
      </w:pPr>
      <w:r>
        <w:rPr/>
        <w:t>“</w:t>
      </w:r>
      <w:r>
        <w:rPr>
          <w:rFonts w:ascii="Times New Roman" w:hAnsi="Times New Roman"/>
          <w:b/>
          <w:sz w:val="20"/>
        </w:rPr>
        <w:t>Contingent Obligations</w:t>
      </w:r>
      <w:r>
        <w:rPr>
          <w:rFonts w:ascii="Times New Roman" w:hAnsi="Times New Roman"/>
          <w:sz w:val="20"/>
        </w:rPr>
        <w:t xml:space="preserve">” means, for any Person, any direct or indirect liability of that Person for (a) any direct or indirect guaranty by such Person of any indebtedness, lease, dividend, letter of credit, credit card or other obligation of another Person and (b) any other obligation endorsed, co-made, discounted or sold with recourse by such Person, or for which that Person is directly or indirectly liable; </w:t>
      </w:r>
      <w:r>
        <w:rPr>
          <w:rFonts w:ascii="Times New Roman" w:hAnsi="Times New Roman"/>
          <w:i/>
          <w:sz w:val="20"/>
        </w:rPr>
        <w:t>provided</w:t>
      </w:r>
      <w:r>
        <w:rPr>
          <w:rFonts w:ascii="Times New Roman" w:hAnsi="Times New Roman"/>
          <w:sz w:val="20"/>
        </w:rPr>
        <w:t xml:space="preserve"> that (i) “</w:t>
      </w:r>
      <w:r>
        <w:rPr>
          <w:rFonts w:ascii="Times New Roman" w:hAnsi="Times New Roman"/>
          <w:b/>
          <w:sz w:val="20"/>
        </w:rPr>
        <w:t>Contingent Obligation</w:t>
      </w:r>
      <w:r>
        <w:rPr>
          <w:rFonts w:ascii="Times New Roman" w:hAnsi="Times New Roman"/>
          <w:sz w:val="20"/>
        </w:rPr>
        <w:t xml:space="preserve">” does not include endorsements in the ordinary course of business and (ii)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 </w:t>
      </w:r>
    </w:p>
    <w:p>
      <w:pPr>
        <w:pStyle w:val="TextBody"/>
        <w:bidi w:val="0"/>
        <w:spacing w:before="240" w:after="0"/>
        <w:jc w:val="left"/>
        <w:rPr/>
      </w:pPr>
      <w:r>
        <w:rPr/>
        <w:t>“</w:t>
      </w:r>
      <w:r>
        <w:rPr>
          <w:rFonts w:ascii="Times New Roman" w:hAnsi="Times New Roman"/>
          <w:b/>
          <w:sz w:val="20"/>
        </w:rPr>
        <w:t>Control</w:t>
      </w:r>
      <w:r>
        <w:rPr>
          <w:rFonts w:ascii="Times New Roman" w:hAnsi="Times New Roman"/>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b/>
          <w:sz w:val="20"/>
        </w:rPr>
        <w:t>Controlling</w:t>
      </w:r>
      <w:r>
        <w:rPr>
          <w:rFonts w:ascii="Times New Roman" w:hAnsi="Times New Roman"/>
          <w:sz w:val="20"/>
        </w:rPr>
        <w:t>” and “</w:t>
      </w:r>
      <w:r>
        <w:rPr>
          <w:rFonts w:ascii="Times New Roman" w:hAnsi="Times New Roman"/>
          <w:b/>
          <w:sz w:val="20"/>
        </w:rPr>
        <w:t>Controlled</w:t>
      </w:r>
      <w:r>
        <w:rPr>
          <w:rFonts w:ascii="Times New Roman" w:hAnsi="Times New Roman"/>
          <w:sz w:val="20"/>
        </w:rPr>
        <w:t xml:space="preserve">” have meanings correlative thereto. </w:t>
      </w:r>
    </w:p>
    <w:p>
      <w:pPr>
        <w:pStyle w:val="TextBody"/>
        <w:bidi w:val="0"/>
        <w:spacing w:before="240" w:after="0"/>
        <w:jc w:val="left"/>
        <w:rPr/>
      </w:pPr>
      <w:r>
        <w:rPr/>
        <w:t>“</w:t>
      </w:r>
      <w:r>
        <w:rPr>
          <w:rFonts w:ascii="Times New Roman" w:hAnsi="Times New Roman"/>
          <w:b/>
          <w:sz w:val="20"/>
        </w:rPr>
        <w:t>Conversion Agent</w:t>
      </w:r>
      <w:r>
        <w:rPr>
          <w:rFonts w:ascii="Times New Roman" w:hAnsi="Times New Roman"/>
          <w:sz w:val="20"/>
        </w:rPr>
        <w:t xml:space="preserve">” shall have the meaning specified in Section 4.02. </w:t>
      </w:r>
    </w:p>
    <w:p>
      <w:pPr>
        <w:pStyle w:val="TextBody"/>
        <w:bidi w:val="0"/>
        <w:spacing w:before="240" w:after="0"/>
        <w:jc w:val="left"/>
        <w:rPr/>
      </w:pPr>
      <w:r>
        <w:rPr/>
        <w:t>“</w:t>
      </w:r>
      <w:r>
        <w:rPr>
          <w:rFonts w:ascii="Times New Roman" w:hAnsi="Times New Roman"/>
          <w:b/>
          <w:sz w:val="20"/>
        </w:rPr>
        <w:t>Conversion Consideration</w:t>
      </w:r>
      <w:r>
        <w:rPr>
          <w:rFonts w:ascii="Times New Roman" w:hAnsi="Times New Roman"/>
          <w:sz w:val="20"/>
        </w:rPr>
        <w:t xml:space="preserve">” shall have the meaning specified in Section 14.13(a). </w:t>
      </w:r>
    </w:p>
    <w:p>
      <w:pPr>
        <w:pStyle w:val="TextBody"/>
        <w:bidi w:val="0"/>
        <w:spacing w:before="240" w:after="0"/>
        <w:jc w:val="left"/>
        <w:rPr/>
      </w:pPr>
      <w:r>
        <w:rPr/>
        <w:t>“</w:t>
      </w:r>
      <w:r>
        <w:rPr>
          <w:rFonts w:ascii="Times New Roman" w:hAnsi="Times New Roman"/>
          <w:b/>
          <w:sz w:val="20"/>
        </w:rPr>
        <w:t>Conversion Date</w:t>
      </w:r>
      <w:r>
        <w:rPr>
          <w:rFonts w:ascii="Times New Roman" w:hAnsi="Times New Roman"/>
          <w:sz w:val="20"/>
        </w:rPr>
        <w:t xml:space="preserve">” shall have the meaning specified in Section 14.02(c).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Conversion Obligation</w:t>
      </w:r>
      <w:r>
        <w:rPr>
          <w:rFonts w:ascii="Times New Roman" w:hAnsi="Times New Roman"/>
          <w:sz w:val="20"/>
        </w:rPr>
        <w:t xml:space="preserve">” shall have the meaning specified in Section 14.01. </w:t>
      </w:r>
    </w:p>
    <w:p>
      <w:pPr>
        <w:pStyle w:val="TextBody"/>
        <w:bidi w:val="0"/>
        <w:spacing w:before="240" w:after="0"/>
        <w:jc w:val="left"/>
        <w:rPr/>
      </w:pPr>
      <w:r>
        <w:rPr/>
        <w:t>“</w:t>
      </w:r>
      <w:r>
        <w:rPr>
          <w:rFonts w:ascii="Times New Roman" w:hAnsi="Times New Roman"/>
          <w:b/>
          <w:sz w:val="20"/>
        </w:rPr>
        <w:t>Conversion Price</w:t>
      </w:r>
      <w:r>
        <w:rPr>
          <w:rFonts w:ascii="Times New Roman" w:hAnsi="Times New Roman"/>
          <w:sz w:val="20"/>
        </w:rPr>
        <w:t xml:space="preserve">” means, as of any time, an amount equal to (A) one thousand dollars ($1,000) divided by (B) the Conversion Rate in effect at such time. </w:t>
      </w:r>
    </w:p>
    <w:p>
      <w:pPr>
        <w:pStyle w:val="TextBody"/>
        <w:bidi w:val="0"/>
        <w:spacing w:before="240" w:after="0"/>
        <w:jc w:val="left"/>
        <w:rPr/>
      </w:pPr>
      <w:r>
        <w:rPr/>
        <w:t>“</w:t>
      </w:r>
      <w:r>
        <w:rPr>
          <w:rFonts w:ascii="Times New Roman" w:hAnsi="Times New Roman"/>
          <w:b/>
          <w:sz w:val="20"/>
        </w:rPr>
        <w:t>Conversion Rate</w:t>
      </w:r>
      <w:r>
        <w:rPr>
          <w:rFonts w:ascii="Times New Roman" w:hAnsi="Times New Roman"/>
          <w:sz w:val="20"/>
        </w:rPr>
        <w:t xml:space="preserve">” initially means a number of shares of Common Stock per $1,000 principal amount of Notes equal to the Initial Base Conversion Rate;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Conversion Rate is subject to adjustment pursuant to Article 14. </w:t>
      </w:r>
    </w:p>
    <w:p>
      <w:pPr>
        <w:pStyle w:val="TextBody"/>
        <w:bidi w:val="0"/>
        <w:spacing w:before="240" w:after="0"/>
        <w:jc w:val="left"/>
        <w:rPr/>
      </w:pPr>
      <w:r>
        <w:rPr/>
        <w:t>“</w:t>
      </w:r>
      <w:r>
        <w:rPr>
          <w:rFonts w:ascii="Times New Roman" w:hAnsi="Times New Roman"/>
          <w:b/>
          <w:sz w:val="20"/>
        </w:rPr>
        <w:t>Copyrights</w:t>
      </w:r>
      <w:r>
        <w:rPr>
          <w:rFonts w:ascii="Times New Roman" w:hAnsi="Times New Roman"/>
          <w:sz w:val="20"/>
        </w:rPr>
        <w:t xml:space="preserve">” means any and all copyright rights, copyright applications, copyright registrations and like protections in each work of authorship and derivative work thereof, whether published or unpublished and whether or not the same also constitutes a trade secret. </w:t>
      </w:r>
    </w:p>
    <w:p>
      <w:pPr>
        <w:pStyle w:val="TextBody"/>
        <w:bidi w:val="0"/>
        <w:spacing w:before="240" w:after="0"/>
        <w:jc w:val="left"/>
        <w:rPr/>
      </w:pPr>
      <w:r>
        <w:rPr/>
        <w:t>“</w:t>
      </w:r>
      <w:r>
        <w:rPr>
          <w:rFonts w:ascii="Times New Roman" w:hAnsi="Times New Roman"/>
          <w:b/>
          <w:sz w:val="20"/>
        </w:rPr>
        <w:t>Corporate Trust Office</w:t>
      </w:r>
      <w:r>
        <w:rPr>
          <w:rFonts w:ascii="Times New Roman" w:hAnsi="Times New Roman"/>
          <w:sz w:val="20"/>
        </w:rPr>
        <w:t xml:space="preserve">” means the designated office of the Trustee at which at any time this Indenture shall be administered, which office at the Issue Date is located at 1100 North Market Street, Wilmington, Delaware 19890, Attention: Beyond Meat Administrator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 </w:t>
      </w:r>
    </w:p>
    <w:p>
      <w:pPr>
        <w:pStyle w:val="TextBody"/>
        <w:bidi w:val="0"/>
        <w:spacing w:before="240" w:after="0"/>
        <w:jc w:val="left"/>
        <w:rPr/>
      </w:pPr>
      <w:r>
        <w:rPr/>
        <w:t>“</w:t>
      </w:r>
      <w:r>
        <w:rPr>
          <w:rFonts w:ascii="Times New Roman" w:hAnsi="Times New Roman"/>
          <w:b/>
          <w:sz w:val="20"/>
        </w:rPr>
        <w:t>Currency Protection Agreement</w:t>
      </w:r>
      <w:r>
        <w:rPr>
          <w:rFonts w:ascii="Times New Roman" w:hAnsi="Times New Roman"/>
          <w:sz w:val="20"/>
        </w:rPr>
        <w:t xml:space="preserve">” means any currency protection agreement entered into with one or more financial institutions in the ordinary course of business that is designed to protect the Person or entity entering into the agreement against fluctuations in currency exchange rates with respect to Indebtedness incurred and not for purposes of speculation. </w:t>
      </w:r>
    </w:p>
    <w:p>
      <w:pPr>
        <w:pStyle w:val="TextBody"/>
        <w:bidi w:val="0"/>
        <w:spacing w:before="240" w:after="0"/>
        <w:jc w:val="left"/>
        <w:rPr/>
      </w:pPr>
      <w:r>
        <w:rPr/>
        <w:t>“</w:t>
      </w:r>
      <w:r>
        <w:rPr>
          <w:rFonts w:ascii="Times New Roman" w:hAnsi="Times New Roman"/>
          <w:b/>
          <w:sz w:val="20"/>
        </w:rPr>
        <w:t>Custodian</w:t>
      </w:r>
      <w:r>
        <w:rPr>
          <w:rFonts w:ascii="Times New Roman" w:hAnsi="Times New Roman"/>
          <w:sz w:val="20"/>
        </w:rPr>
        <w:t xml:space="preserve">” means the Trustee, as custodian for DTC, with respect to the Global Notes, or any successor entity thereto. </w:t>
      </w:r>
    </w:p>
    <w:p>
      <w:pPr>
        <w:pStyle w:val="TextBody"/>
        <w:bidi w:val="0"/>
        <w:spacing w:before="240" w:after="0"/>
        <w:jc w:val="left"/>
        <w:rPr/>
      </w:pPr>
      <w:r>
        <w:rPr/>
        <w:t>“</w:t>
      </w:r>
      <w:r>
        <w:rPr>
          <w:rFonts w:ascii="Times New Roman" w:hAnsi="Times New Roman"/>
          <w:b/>
          <w:sz w:val="20"/>
        </w:rPr>
        <w:t>Daily Conversion Value</w:t>
      </w:r>
      <w:r>
        <w:rPr>
          <w:rFonts w:ascii="Times New Roman" w:hAnsi="Times New Roman"/>
          <w:sz w:val="20"/>
        </w:rPr>
        <w:t xml:space="preserve">” means, for each of the 40 consecutive VWAP Trading Days during the Observation Period, 2.5% of the product of (a) the Conversion Rate on such VWAP Trading Day and (b) the Daily VWAP for such VWAP Trading Day. </w:t>
      </w:r>
    </w:p>
    <w:p>
      <w:pPr>
        <w:pStyle w:val="TextBody"/>
        <w:bidi w:val="0"/>
        <w:spacing w:before="240" w:after="0"/>
        <w:jc w:val="left"/>
        <w:rPr/>
      </w:pPr>
      <w:r>
        <w:rPr/>
        <w:t>“</w:t>
      </w:r>
      <w:r>
        <w:rPr>
          <w:rFonts w:ascii="Times New Roman" w:hAnsi="Times New Roman"/>
          <w:b/>
          <w:sz w:val="20"/>
        </w:rPr>
        <w:t>Daily Measurement Value</w:t>
      </w:r>
      <w:r>
        <w:rPr>
          <w:rFonts w:ascii="Times New Roman" w:hAnsi="Times New Roman"/>
          <w:sz w:val="20"/>
        </w:rPr>
        <w:t xml:space="preserve">” means the Specified Dollar Amount (if any), </w:t>
      </w:r>
      <w:r>
        <w:rPr>
          <w:rFonts w:ascii="Times New Roman" w:hAnsi="Times New Roman"/>
          <w:i/>
          <w:sz w:val="20"/>
        </w:rPr>
        <w:t>divided by</w:t>
      </w:r>
      <w:r>
        <w:rPr>
          <w:rFonts w:ascii="Times New Roman" w:hAnsi="Times New Roman"/>
          <w:sz w:val="20"/>
        </w:rPr>
        <w:t xml:space="preserve"> 40. </w:t>
      </w:r>
    </w:p>
    <w:p>
      <w:pPr>
        <w:pStyle w:val="TextBody"/>
        <w:bidi w:val="0"/>
        <w:spacing w:before="240" w:after="0"/>
        <w:jc w:val="left"/>
        <w:rPr/>
      </w:pPr>
      <w:r>
        <w:rPr/>
        <w:t>“</w:t>
      </w:r>
      <w:r>
        <w:rPr>
          <w:rFonts w:ascii="Times New Roman" w:hAnsi="Times New Roman"/>
          <w:b/>
          <w:sz w:val="20"/>
        </w:rPr>
        <w:t>Daily Settlement Amount</w:t>
      </w:r>
      <w:r>
        <w:rPr>
          <w:rFonts w:ascii="Times New Roman" w:hAnsi="Times New Roman"/>
          <w:sz w:val="20"/>
        </w:rPr>
        <w:t xml:space="preserve">,” for each of the 40 consecutive VWAP Trading Days during the relevant Observation Period, shall consist of: </w:t>
      </w:r>
    </w:p>
    <w:p>
      <w:pPr>
        <w:pStyle w:val="TextBody"/>
        <w:bidi w:val="0"/>
        <w:spacing w:before="120" w:after="0"/>
        <w:jc w:val="left"/>
        <w:rPr>
          <w:rFonts w:ascii="Times New Roman" w:hAnsi="Times New Roman"/>
          <w:sz w:val="20"/>
        </w:rPr>
      </w:pPr>
      <w:r>
        <w:rPr>
          <w:rFonts w:ascii="Times New Roman" w:hAnsi="Times New Roman"/>
          <w:sz w:val="20"/>
        </w:rPr>
        <w:t xml:space="preserve">(a) cash equal to the lesser of (i) the maximum cash amount (excluding cash in lieu of any fractional share) per $1,000 principal amount of Notes to be received upon conversion as specified in the notice specifying the Company’s chosen Settlement Method (or as the Company is otherwise deemed to have elected), if any, </w:t>
      </w:r>
      <w:r>
        <w:rPr>
          <w:rFonts w:ascii="Times New Roman" w:hAnsi="Times New Roman"/>
          <w:i/>
          <w:sz w:val="20"/>
        </w:rPr>
        <w:t>divided by</w:t>
      </w:r>
      <w:r>
        <w:rPr>
          <w:rFonts w:ascii="Times New Roman" w:hAnsi="Times New Roman"/>
          <w:sz w:val="20"/>
        </w:rPr>
        <w:t xml:space="preserve"> 40 and (ii) the daily conversion value for such VWAP Trading Day; and </w:t>
      </w:r>
    </w:p>
    <w:p>
      <w:pPr>
        <w:pStyle w:val="TextBody"/>
        <w:bidi w:val="0"/>
        <w:spacing w:before="240" w:after="0"/>
        <w:jc w:val="left"/>
        <w:rPr>
          <w:rFonts w:ascii="Times New Roman" w:hAnsi="Times New Roman"/>
          <w:sz w:val="20"/>
        </w:rPr>
      </w:pPr>
      <w:r>
        <w:rPr>
          <w:rFonts w:ascii="Times New Roman" w:hAnsi="Times New Roman"/>
          <w:sz w:val="20"/>
        </w:rPr>
        <w:t xml:space="preserve">(b) if such Daily Conversion Value exceeds such Daily Measurement Value, a number of shares of Common Stock equal to (i) the difference between such Daily Conversion Value and such Daily Measurement Value, </w:t>
      </w:r>
      <w:r>
        <w:rPr>
          <w:rFonts w:ascii="Times New Roman" w:hAnsi="Times New Roman"/>
          <w:i/>
          <w:sz w:val="20"/>
        </w:rPr>
        <w:t>divided by</w:t>
      </w:r>
      <w:r>
        <w:rPr>
          <w:rFonts w:ascii="Times New Roman" w:hAnsi="Times New Roman"/>
          <w:sz w:val="20"/>
        </w:rPr>
        <w:t xml:space="preserve"> (ii) the daily VWAP for such VWAP Trading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Daily VWAP</w:t>
      </w:r>
      <w:r>
        <w:rPr>
          <w:rFonts w:ascii="Times New Roman" w:hAnsi="Times New Roman"/>
          <w:sz w:val="20"/>
        </w:rPr>
        <w:t>” means the per share volume-weighted average price as displayed under the heading “Bloomberg VWAP” on Bloomberg page “BYND &lt;equity&gt; AQR” (or its equivalent successor if such page is not available)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method, by a nationally recognized independent investment banking firm retained for this purpose by the Company). The “</w:t>
      </w:r>
      <w:r>
        <w:rPr>
          <w:rFonts w:ascii="Times New Roman" w:hAnsi="Times New Roman"/>
          <w:b/>
          <w:sz w:val="20"/>
        </w:rPr>
        <w:t>Daily VWAP</w:t>
      </w:r>
      <w:r>
        <w:rPr>
          <w:rFonts w:ascii="Times New Roman" w:hAnsi="Times New Roman"/>
          <w:sz w:val="20"/>
        </w:rPr>
        <w:t xml:space="preserve">” will be determined without regard to after-hours trading or any other trading outside of the regular trading session trading hours. </w:t>
      </w:r>
    </w:p>
    <w:p>
      <w:pPr>
        <w:pStyle w:val="TextBody"/>
        <w:bidi w:val="0"/>
        <w:spacing w:before="240" w:after="0"/>
        <w:jc w:val="left"/>
        <w:rPr/>
      </w:pPr>
      <w:r>
        <w:rPr/>
        <w:t>“</w:t>
      </w:r>
      <w:r>
        <w:rPr>
          <w:rFonts w:ascii="Times New Roman" w:hAnsi="Times New Roman"/>
          <w:b/>
          <w:sz w:val="20"/>
        </w:rPr>
        <w:t>Default</w:t>
      </w:r>
      <w:r>
        <w:rPr>
          <w:rFonts w:ascii="Times New Roman" w:hAnsi="Times New Roman"/>
          <w:sz w:val="20"/>
        </w:rPr>
        <w:t xml:space="preserve">” means any event that is, or after notice or passage of time, or both, would be, an Event of Default. </w:t>
      </w:r>
    </w:p>
    <w:p>
      <w:pPr>
        <w:pStyle w:val="TextBody"/>
        <w:bidi w:val="0"/>
        <w:spacing w:before="240" w:after="0"/>
        <w:jc w:val="left"/>
        <w:rPr/>
      </w:pPr>
      <w:r>
        <w:rPr/>
        <w:t>“</w:t>
      </w:r>
      <w:r>
        <w:rPr>
          <w:rFonts w:ascii="Times New Roman" w:hAnsi="Times New Roman"/>
          <w:b/>
          <w:sz w:val="20"/>
        </w:rPr>
        <w:t>Defaulted Amounts</w:t>
      </w:r>
      <w:r>
        <w:rPr>
          <w:rFonts w:ascii="Times New Roman" w:hAnsi="Times New Roman"/>
          <w:sz w:val="20"/>
        </w:rPr>
        <w:t xml:space="preserve">” means any amounts due on any Note (including, without limitation, the Fundamental Change Repurchase Price, principal and interest) that are payable but are not punctually paid or duly provided for. </w:t>
      </w:r>
    </w:p>
    <w:p>
      <w:pPr>
        <w:pStyle w:val="TextBody"/>
        <w:bidi w:val="0"/>
        <w:spacing w:before="240" w:after="0"/>
        <w:jc w:val="left"/>
        <w:rPr/>
      </w:pPr>
      <w:r>
        <w:rPr/>
        <w:t>“</w:t>
      </w:r>
      <w:r>
        <w:rPr>
          <w:rFonts w:ascii="Times New Roman" w:hAnsi="Times New Roman"/>
          <w:b/>
          <w:sz w:val="20"/>
        </w:rPr>
        <w:t>delivered</w:t>
      </w:r>
      <w:r>
        <w:rPr>
          <w:rFonts w:ascii="Times New Roman" w:hAnsi="Times New Roman"/>
          <w:sz w:val="20"/>
        </w:rPr>
        <w:t xml:space="preserve">” with respect to any notice to be delivered, given or mailed to a 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at its address as it appears on the Note Register, in each case in accordance with Section 18.03. Notice so “delivered” shall be deemed to include any notice to be “mailed” or “given,” as applicable, under this Indenture. </w:t>
      </w:r>
    </w:p>
    <w:p>
      <w:pPr>
        <w:pStyle w:val="TextBody"/>
        <w:bidi w:val="0"/>
        <w:spacing w:before="240" w:after="0"/>
        <w:jc w:val="left"/>
        <w:rPr/>
      </w:pPr>
      <w:r>
        <w:rPr/>
        <w:t>“</w:t>
      </w:r>
      <w:r>
        <w:rPr>
          <w:rFonts w:ascii="Times New Roman" w:hAnsi="Times New Roman"/>
          <w:b/>
          <w:sz w:val="20"/>
        </w:rPr>
        <w:t>Depositary</w:t>
      </w:r>
      <w:r>
        <w:rPr>
          <w:rFonts w:ascii="Times New Roman" w:hAnsi="Times New Roman"/>
          <w:sz w:val="20"/>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Times New Roman" w:hAnsi="Times New Roman"/>
          <w:b/>
          <w:sz w:val="20"/>
        </w:rPr>
        <w:t>Depositary</w:t>
      </w:r>
      <w:r>
        <w:rPr>
          <w:rFonts w:ascii="Times New Roman" w:hAnsi="Times New Roman"/>
          <w:sz w:val="20"/>
        </w:rPr>
        <w:t xml:space="preserve">” shall mean or include such successor. </w:t>
      </w:r>
    </w:p>
    <w:p>
      <w:pPr>
        <w:pStyle w:val="TextBody"/>
        <w:bidi w:val="0"/>
        <w:spacing w:before="240" w:after="0"/>
        <w:jc w:val="left"/>
        <w:rPr/>
      </w:pPr>
      <w:r>
        <w:rPr/>
        <w:t>“</w:t>
      </w:r>
      <w:r>
        <w:rPr>
          <w:rFonts w:ascii="Times New Roman" w:hAnsi="Times New Roman"/>
          <w:b/>
          <w:sz w:val="20"/>
        </w:rPr>
        <w:t>Discharge of First Lien Obligations</w:t>
      </w:r>
      <w:r>
        <w:rPr>
          <w:rFonts w:ascii="Times New Roman" w:hAnsi="Times New Roman"/>
          <w:sz w:val="20"/>
        </w:rPr>
        <w:t xml:space="preserve">” shall have the meaning specified in the Intercreditor Agreement as in effect on the Issue Date. </w:t>
      </w:r>
    </w:p>
    <w:p>
      <w:pPr>
        <w:pStyle w:val="TextBody"/>
        <w:bidi w:val="0"/>
        <w:spacing w:before="240" w:after="0"/>
        <w:jc w:val="left"/>
        <w:rPr/>
      </w:pPr>
      <w:r>
        <w:rPr/>
        <w:t>“</w:t>
      </w:r>
      <w:r>
        <w:rPr>
          <w:rFonts w:ascii="Times New Roman" w:hAnsi="Times New Roman"/>
          <w:b/>
          <w:sz w:val="20"/>
        </w:rPr>
        <w:t>Dollar</w:t>
      </w:r>
      <w:r>
        <w:rPr>
          <w:rFonts w:ascii="Times New Roman" w:hAnsi="Times New Roman"/>
          <w:sz w:val="20"/>
        </w:rPr>
        <w:t xml:space="preserve"> </w:t>
      </w:r>
      <w:r>
        <w:rPr>
          <w:rFonts w:ascii="Times New Roman" w:hAnsi="Times New Roman"/>
          <w:b/>
          <w:sz w:val="20"/>
        </w:rPr>
        <w:t>Conversion Price</w:t>
      </w:r>
      <w:r>
        <w:rPr>
          <w:rFonts w:ascii="Times New Roman" w:hAnsi="Times New Roman"/>
          <w:sz w:val="20"/>
        </w:rPr>
        <w:t xml:space="preserve">” means the average Daily VWAPs of Common Stock for the 20 consecutive VWAP Trading Days beginning on, and including, the 21st Scheduled Trading Day immediately preceding the reference date for such calculation. Whenever this Indenture refers to the Dollar Conversion Price as of a particular date without setting forth a particular time on such date, such reference will be deemed to be to the Dollar Conversion Price immediately before the close of business on such date. The Company will make any calculations with respect to the Dollar Conversion Price and the Trustee will have no duty to verify any such calculations. </w:t>
      </w:r>
    </w:p>
    <w:p>
      <w:pPr>
        <w:pStyle w:val="TextBody"/>
        <w:bidi w:val="0"/>
        <w:spacing w:before="240" w:after="0"/>
        <w:jc w:val="left"/>
        <w:rPr/>
      </w:pPr>
      <w:r>
        <w:rPr/>
        <w:t>“</w:t>
      </w:r>
      <w:r>
        <w:rPr>
          <w:rFonts w:ascii="Times New Roman" w:hAnsi="Times New Roman"/>
          <w:b/>
          <w:sz w:val="20"/>
        </w:rPr>
        <w:t>Domestic Subsidiary</w:t>
      </w:r>
      <w:r>
        <w:rPr>
          <w:rFonts w:ascii="Times New Roman" w:hAnsi="Times New Roman"/>
          <w:sz w:val="20"/>
        </w:rPr>
        <w:t xml:space="preserve">” means a Subsidiary that is not a Foreign Subsidiary or a FSHCO. </w:t>
      </w:r>
    </w:p>
    <w:p>
      <w:pPr>
        <w:pStyle w:val="TextBody"/>
        <w:bidi w:val="0"/>
        <w:spacing w:before="240" w:after="0"/>
        <w:jc w:val="left"/>
        <w:rPr/>
      </w:pPr>
      <w:r>
        <w:rPr/>
        <w:t>“</w:t>
      </w:r>
      <w:r>
        <w:rPr>
          <w:rFonts w:ascii="Times New Roman" w:hAnsi="Times New Roman"/>
          <w:b/>
          <w:sz w:val="20"/>
        </w:rPr>
        <w:t>DTC</w:t>
      </w:r>
      <w:r>
        <w:rPr>
          <w:rFonts w:ascii="Times New Roman" w:hAnsi="Times New Roman"/>
          <w:sz w:val="20"/>
        </w:rPr>
        <w:t xml:space="preserve">” means The Depository Trust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Dutch Entity</w:t>
      </w:r>
      <w:r>
        <w:rPr>
          <w:rFonts w:ascii="Times New Roman" w:hAnsi="Times New Roman"/>
          <w:sz w:val="20"/>
        </w:rPr>
        <w:t>” means Beyond Meat EU B.V., a private company with limited liability (</w:t>
      </w:r>
      <w:r>
        <w:rPr>
          <w:rFonts w:ascii="Times New Roman" w:hAnsi="Times New Roman"/>
          <w:i/>
          <w:sz w:val="20"/>
        </w:rPr>
        <w:t>besloten vennootschap met beperkte aansprakelijkheid</w:t>
      </w:r>
      <w:r>
        <w:rPr>
          <w:rFonts w:ascii="Times New Roman" w:hAnsi="Times New Roman"/>
          <w:sz w:val="20"/>
        </w:rPr>
        <w:t xml:space="preserve">) incorporated under the laws of the Netherlands, having its corporate seat in Amsterdam, the Netherlands, its address at Prins Bernhardplein 200, 1097 JB Amsterdam, the Netherlands and registered in the Dutch trade register under number 77010019. </w:t>
      </w:r>
    </w:p>
    <w:p>
      <w:pPr>
        <w:pStyle w:val="TextBody"/>
        <w:bidi w:val="0"/>
        <w:spacing w:before="240" w:after="0"/>
        <w:jc w:val="left"/>
        <w:rPr/>
      </w:pPr>
      <w:r>
        <w:rPr/>
        <w:t>“</w:t>
      </w:r>
      <w:r>
        <w:rPr>
          <w:rFonts w:ascii="Times New Roman" w:hAnsi="Times New Roman"/>
          <w:b/>
          <w:sz w:val="20"/>
        </w:rPr>
        <w:t>Economic Interest Holder</w:t>
      </w:r>
      <w:r>
        <w:rPr>
          <w:rFonts w:ascii="Times New Roman" w:hAnsi="Times New Roman"/>
          <w:sz w:val="20"/>
        </w:rPr>
        <w:t xml:space="preserve">” means (i) with respect to any Physical Note, the Holder thereof and (ii) with respect to any Global Note, the Person holding an interest therein through an account with a Depositary participant (or similar arrangement). </w:t>
      </w:r>
    </w:p>
    <w:p>
      <w:pPr>
        <w:pStyle w:val="TextBody"/>
        <w:bidi w:val="0"/>
        <w:spacing w:before="240" w:after="0"/>
        <w:jc w:val="left"/>
        <w:rPr/>
      </w:pPr>
      <w:r>
        <w:rPr/>
        <w:t>“</w:t>
      </w:r>
      <w:r>
        <w:rPr>
          <w:rFonts w:ascii="Times New Roman" w:hAnsi="Times New Roman"/>
          <w:b/>
          <w:sz w:val="20"/>
        </w:rPr>
        <w:t>Effective Date</w:t>
      </w:r>
      <w:r>
        <w:rPr>
          <w:rFonts w:ascii="Times New Roman" w:hAnsi="Times New Roman"/>
          <w:sz w:val="20"/>
        </w:rPr>
        <w:t xml:space="preserve">” means the first date on which the shares of Common Stock trade on the applicable exchange or in the applicable market, regular way, reflecting the relevant share split or share combination, as applicable. </w:t>
      </w:r>
    </w:p>
    <w:p>
      <w:pPr>
        <w:pStyle w:val="TextBody"/>
        <w:bidi w:val="0"/>
        <w:spacing w:before="240" w:after="0"/>
        <w:jc w:val="left"/>
        <w:rPr/>
      </w:pPr>
      <w:r>
        <w:rPr/>
        <w:t>“</w:t>
      </w:r>
      <w:r>
        <w:rPr>
          <w:rFonts w:ascii="Times New Roman" w:hAnsi="Times New Roman"/>
          <w:b/>
          <w:sz w:val="20"/>
        </w:rPr>
        <w:t>Equipment</w:t>
      </w:r>
      <w:r>
        <w:rPr>
          <w:rFonts w:ascii="Times New Roman" w:hAnsi="Times New Roman"/>
          <w:sz w:val="20"/>
        </w:rPr>
        <w:t xml:space="preserve">” means all “equipment” as defined in the Code with such additions to such term as may hereafter be made, including without limitation, all parts thereof, all accessions thereto and all replacements therefor. </w:t>
      </w:r>
    </w:p>
    <w:p>
      <w:pPr>
        <w:pStyle w:val="TextBody"/>
        <w:bidi w:val="0"/>
        <w:spacing w:before="240" w:after="0"/>
        <w:jc w:val="left"/>
        <w:rPr/>
      </w:pPr>
      <w:r>
        <w:rPr/>
        <w:t>“</w:t>
      </w:r>
      <w:r>
        <w:rPr>
          <w:rFonts w:ascii="Times New Roman" w:hAnsi="Times New Roman"/>
          <w:b/>
          <w:sz w:val="20"/>
        </w:rPr>
        <w:t>Equity Interests</w:t>
      </w:r>
      <w:r>
        <w:rPr>
          <w:rFonts w:ascii="Times New Roman" w:hAnsi="Times New Roman"/>
          <w:sz w:val="20"/>
        </w:rPr>
        <w:t xml:space="preserve">”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 </w:t>
      </w:r>
    </w:p>
    <w:p>
      <w:pPr>
        <w:pStyle w:val="TextBody"/>
        <w:bidi w:val="0"/>
        <w:spacing w:before="240" w:after="0"/>
        <w:jc w:val="left"/>
        <w:rPr/>
      </w:pPr>
      <w:r>
        <w:rPr/>
        <w:t>“</w:t>
      </w:r>
      <w:r>
        <w:rPr>
          <w:rFonts w:ascii="Times New Roman" w:hAnsi="Times New Roman"/>
          <w:b/>
          <w:sz w:val="20"/>
        </w:rPr>
        <w:t>Equity Issuances</w:t>
      </w:r>
      <w:r>
        <w:rPr>
          <w:rFonts w:ascii="Times New Roman" w:hAnsi="Times New Roman"/>
          <w:sz w:val="20"/>
        </w:rPr>
        <w:t xml:space="preserve">” shall have the meaning set forth in Section 14.14(c).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as amended, and the rules and regulations promulgated thereunder.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shall have the meaning specified in Section 6.01. </w:t>
      </w:r>
    </w:p>
    <w:p>
      <w:pPr>
        <w:pStyle w:val="TextBody"/>
        <w:bidi w:val="0"/>
        <w:spacing w:before="240" w:after="0"/>
        <w:jc w:val="left"/>
        <w:rPr/>
      </w:pPr>
      <w:r>
        <w:rPr/>
        <w:t>“</w:t>
      </w:r>
      <w:r>
        <w:rPr>
          <w:rFonts w:ascii="Times New Roman" w:hAnsi="Times New Roman"/>
          <w:b/>
          <w:sz w:val="20"/>
        </w:rPr>
        <w:t>Excess Proceeds</w:t>
      </w:r>
      <w:r>
        <w:rPr>
          <w:rFonts w:ascii="Times New Roman" w:hAnsi="Times New Roman"/>
          <w:sz w:val="20"/>
        </w:rPr>
        <w:t xml:space="preserve">” shall have the meaning set forth in Section 4.16. </w:t>
      </w:r>
    </w:p>
    <w:p>
      <w:pPr>
        <w:pStyle w:val="TextBody"/>
        <w:bidi w:val="0"/>
        <w:spacing w:before="240" w:after="0"/>
        <w:jc w:val="left"/>
        <w:rPr/>
      </w:pPr>
      <w:r>
        <w:rPr/>
        <w:t>“</w:t>
      </w:r>
      <w:r>
        <w:rPr>
          <w:rFonts w:ascii="Times New Roman" w:hAnsi="Times New Roman"/>
          <w:b/>
          <w:sz w:val="20"/>
        </w:rPr>
        <w:t>Excess Shares</w:t>
      </w:r>
      <w:r>
        <w:rPr>
          <w:rFonts w:ascii="Times New Roman" w:hAnsi="Times New Roman"/>
          <w:sz w:val="20"/>
        </w:rPr>
        <w:t xml:space="preserve">” shall have the meaning set forth in Section 14.14(a).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of the Commission promulgated thereunder. </w:t>
      </w:r>
    </w:p>
    <w:p>
      <w:pPr>
        <w:pStyle w:val="TextBody"/>
        <w:bidi w:val="0"/>
        <w:spacing w:before="240" w:after="0"/>
        <w:jc w:val="left"/>
        <w:rPr/>
      </w:pPr>
      <w:r>
        <w:rPr/>
        <w:t>“</w:t>
      </w:r>
      <w:r>
        <w:rPr>
          <w:rFonts w:ascii="Times New Roman" w:hAnsi="Times New Roman"/>
          <w:b/>
          <w:sz w:val="20"/>
        </w:rPr>
        <w:t>Exchange Offer</w:t>
      </w:r>
      <w:r>
        <w:rPr>
          <w:rFonts w:ascii="Times New Roman" w:hAnsi="Times New Roman"/>
          <w:sz w:val="20"/>
        </w:rPr>
        <w:t xml:space="preserve">” means the Company’s offer to exchange any and all of its outstanding Existing Notes for Notes and Common Stock commenced on September 29, 2025. </w:t>
      </w:r>
    </w:p>
    <w:p>
      <w:pPr>
        <w:pStyle w:val="TextBody"/>
        <w:bidi w:val="0"/>
        <w:spacing w:before="240" w:after="0"/>
        <w:jc w:val="left"/>
        <w:rPr/>
      </w:pPr>
      <w:r>
        <w:rPr/>
        <w:t>“</w:t>
      </w:r>
      <w:r>
        <w:rPr>
          <w:rFonts w:ascii="Times New Roman" w:hAnsi="Times New Roman"/>
          <w:b/>
          <w:sz w:val="20"/>
        </w:rPr>
        <w:t>Excluded Accounts</w:t>
      </w:r>
      <w:r>
        <w:rPr>
          <w:rFonts w:ascii="Times New Roman" w:hAnsi="Times New Roman"/>
          <w:sz w:val="20"/>
        </w:rPr>
        <w:t xml:space="preserve">” means (a) trust accounts, (b) payroll accounts, (c) custodial accounts, (d) escrow accounts, (e) tax accounts (including payroll or sales tax) or other similar deposit or securities accounts, (f) stock plan administration accounts and other benefit accounts, (g) solely with respect to any perfection requirements, accounts held outside of the United States (other than any such account that would cause the aggregate amount held on deposit in all such accounts to exceed 30% of the aggregate unrestricted cash on hand of all of the Note Parties for a period of seven (7) consecutive Business Days), (h) collateral accounts in an aggregate amount not to exceed $13.7 million solely to the extent pledged in connection with letters of credit, and (i) other deposit and securities accounts that do not exceed a daily average amount of $ 2.5 million in the aggregate for all such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Excluded Assets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at any time prior to the Discharge of First Lien Obligations: </w:t>
      </w:r>
    </w:p>
    <w:p>
      <w:pPr>
        <w:pStyle w:val="TextBody"/>
        <w:bidi w:val="0"/>
        <w:spacing w:before="120" w:after="0"/>
        <w:jc w:val="left"/>
        <w:rPr>
          <w:rFonts w:ascii="Times New Roman" w:hAnsi="Times New Roman"/>
          <w:sz w:val="20"/>
        </w:rPr>
      </w:pPr>
      <w:r>
        <w:rPr>
          <w:rFonts w:ascii="Times New Roman" w:hAnsi="Times New Roman"/>
          <w:sz w:val="20"/>
        </w:rPr>
        <w:t xml:space="preserve">(i) any fee-owned real property having a fair market value of $1.0 million or less in the aggregate (as determined in good faith by the Company) and any leasehold interests in real property (other than to the extent the security interest in such leasehold interests may be perfected by the filing of UCC-1 financing statements); </w:t>
      </w:r>
    </w:p>
    <w:p>
      <w:pPr>
        <w:pStyle w:val="TextBody"/>
        <w:bidi w:val="0"/>
        <w:spacing w:before="120" w:after="0"/>
        <w:jc w:val="left"/>
        <w:rPr>
          <w:rFonts w:ascii="Times New Roman" w:hAnsi="Times New Roman"/>
          <w:sz w:val="20"/>
        </w:rPr>
      </w:pPr>
      <w:r>
        <w:rPr>
          <w:rFonts w:ascii="Times New Roman" w:hAnsi="Times New Roman"/>
          <w:sz w:val="20"/>
        </w:rPr>
        <w:t xml:space="preserve">(ii) any “intent-to-use” application for registration of a trademark filed pursuant to Section 1(b) of the Lanham Act, 15 U.S.C. §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 </w:t>
      </w:r>
    </w:p>
    <w:p>
      <w:pPr>
        <w:pStyle w:val="TextBody"/>
        <w:bidi w:val="0"/>
        <w:spacing w:before="120" w:after="0"/>
        <w:jc w:val="left"/>
        <w:rPr>
          <w:rFonts w:ascii="Times New Roman" w:hAnsi="Times New Roman"/>
          <w:sz w:val="20"/>
        </w:rPr>
      </w:pPr>
      <w:r>
        <w:rPr>
          <w:rFonts w:ascii="Times New Roman" w:hAnsi="Times New Roman"/>
          <w:sz w:val="20"/>
        </w:rPr>
        <w:t xml:space="preserve">(iii) assets in respect of which pledges and security interests are prohibited by applicable U.S. law, rule or regulation or agreements with any U.S. governmental authority (other than to the extent that such prohibition would be rendered ineffective pursuant to Sections 9-406, 9-407, 9-408, 9-409 or other applicable provisions of the Code of any relevant jurisdiction or any other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(iv) Equity Interests in any entity other than Wholly-Owned Subsidiaries to the extent pledges thereof are not permitted by customary terms in such entity’s organizational or joint venture documents (unless any such restriction would be rendered ineffective pursuant to Sections 9-406, 9-407, 9-408, 9-409 or other applicable provisions of the Code of any relevant jurisdiction or any other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(v) assets subject to certificates of title (including motor vehicles, aircraft and aircraft engines), letter of credit rights with a value of less than $ 1.0 million and commercial tort claims with a value of less than $1.0 million; </w:t>
      </w:r>
    </w:p>
    <w:p>
      <w:pPr>
        <w:pStyle w:val="TextBody"/>
        <w:bidi w:val="0"/>
        <w:spacing w:before="120" w:after="0"/>
        <w:jc w:val="left"/>
        <w:rPr>
          <w:rFonts w:ascii="Times New Roman" w:hAnsi="Times New Roman"/>
          <w:sz w:val="20"/>
        </w:rPr>
      </w:pPr>
      <w:r>
        <w:rPr>
          <w:rFonts w:ascii="Times New Roman" w:hAnsi="Times New Roman"/>
          <w:sz w:val="20"/>
        </w:rPr>
        <w:t xml:space="preserve">(vi) any lease, license, capital lease obligation or other agreement or any property subject to a purchase money security interest or similar agreement to the extent that a grant of a security interest therein would violate or invalidate such lease, license, capital lease obligation or agreement or purchase money arrangement or create a right of termination in favor of any other party thereto (other than a Note Party or any Subsidiary) (other than (x) proceeds and receivables thereof, the assignment of which is expressly deemed effective under the Code notwithstanding such prohibition, (y) to the extent that any such term has been waived or (z) to the extent that any such term would be rendered ineffective pursuant to Sections 9-406, 9-407, 9-408, 9-409 or other applicable provisions of the Code of any relevant jurisdiction or any other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Excluded Accounts; </w:t>
      </w:r>
    </w:p>
    <w:p>
      <w:pPr>
        <w:pStyle w:val="TextBody"/>
        <w:bidi w:val="0"/>
        <w:spacing w:before="120" w:after="0"/>
        <w:jc w:val="left"/>
        <w:rPr>
          <w:rFonts w:ascii="Times New Roman" w:hAnsi="Times New Roman"/>
          <w:sz w:val="20"/>
        </w:rPr>
      </w:pPr>
      <w:r>
        <w:rPr>
          <w:rFonts w:ascii="Times New Roman" w:hAnsi="Times New Roman"/>
          <w:sz w:val="20"/>
        </w:rPr>
        <w:t xml:space="preserve">(viii) Equity Interests in Planet Partnership, LLC, a Delaware limited liability company, unless it is not dissolved or liquidated on or before November 7, 2025 (or such later date as the First Lien Collateral Agent shall agree); </w:t>
      </w:r>
    </w:p>
    <w:p>
      <w:pPr>
        <w:pStyle w:val="TextBody"/>
        <w:bidi w:val="0"/>
        <w:spacing w:before="120" w:after="0"/>
        <w:jc w:val="left"/>
        <w:rPr>
          <w:rFonts w:ascii="Times New Roman" w:hAnsi="Times New Roman"/>
          <w:sz w:val="20"/>
        </w:rPr>
      </w:pPr>
      <w:r>
        <w:rPr>
          <w:rFonts w:ascii="Times New Roman" w:hAnsi="Times New Roman"/>
          <w:sz w:val="20"/>
        </w:rPr>
        <w:t xml:space="preserve">(ix) Equity Interests in any CFC or FSHCO (other than pledges of up to 65% of the issued and outstanding Equity Interests entitled to vote (within the meaning of Treas. Reg. Section 1.956-2(c)(2)) and 100% of the issued and outstanding Equity Interests in any CFC or FSHCO not entitled to vote (within the meaning of Treas. Reg. Section 1.956-2(c)(2)) as contemplated by this Indenture), in each case, other than Equity Interests in any Note Party; </w:t>
      </w:r>
    </w:p>
    <w:p>
      <w:pPr>
        <w:pStyle w:val="TextBody"/>
        <w:bidi w:val="0"/>
        <w:spacing w:before="120" w:after="0"/>
        <w:jc w:val="left"/>
        <w:rPr>
          <w:rFonts w:ascii="Times New Roman" w:hAnsi="Times New Roman"/>
          <w:sz w:val="20"/>
        </w:rPr>
      </w:pPr>
      <w:r>
        <w:rPr>
          <w:rFonts w:ascii="Times New Roman" w:hAnsi="Times New Roman"/>
          <w:sz w:val="20"/>
        </w:rPr>
        <w:t xml:space="preserve">(x) any asset if the pledge thereof or the security interest therein would result in material adverse tax consequences to any Note Party (other than pursuant to Section 956 of the Internal Revenue Code and the regulations thereunder) as reasonably determined by the Company in good faith in consultation with the Collateral Agent; </w:t>
      </w:r>
    </w:p>
    <w:p>
      <w:pPr>
        <w:pStyle w:val="TextBody"/>
        <w:bidi w:val="0"/>
        <w:spacing w:before="120" w:after="0"/>
        <w:jc w:val="left"/>
        <w:rPr>
          <w:rFonts w:ascii="Times New Roman" w:hAnsi="Times New Roman"/>
          <w:sz w:val="20"/>
        </w:rPr>
      </w:pPr>
      <w:r>
        <w:rPr>
          <w:rFonts w:ascii="Times New Roman" w:hAnsi="Times New Roman"/>
          <w:sz w:val="20"/>
        </w:rPr>
        <w:t xml:space="preserve">(xi) those assets as to which the First Lien Claimholders and the Company reasonably agree that the cost of obtaining such a security interest or perfection thereof are excessive in relation to the benefit to the First Lien Claimholders of the security to be afforded thereby; and </w:t>
      </w:r>
    </w:p>
    <w:p>
      <w:pPr>
        <w:pStyle w:val="TextBody"/>
        <w:bidi w:val="0"/>
        <w:spacing w:before="120" w:after="0"/>
        <w:jc w:val="left"/>
        <w:rPr>
          <w:rFonts w:ascii="Times New Roman" w:hAnsi="Times New Roman"/>
          <w:sz w:val="20"/>
        </w:rPr>
      </w:pPr>
      <w:r>
        <w:rPr>
          <w:rFonts w:ascii="Times New Roman" w:hAnsi="Times New Roman"/>
          <w:sz w:val="20"/>
        </w:rPr>
        <w:t xml:space="preserve">(xii) Equity Interests of any Immaterial Subsidiary (unless the Company elects to include such Immaterial Subsidiary as a Guarantor); and </w:t>
      </w:r>
    </w:p>
    <w:p>
      <w:pPr>
        <w:pStyle w:val="TextBody"/>
        <w:bidi w:val="0"/>
        <w:spacing w:before="240" w:after="0"/>
        <w:jc w:val="left"/>
        <w:rPr>
          <w:rFonts w:ascii="Times New Roman" w:hAnsi="Times New Roman"/>
          <w:sz w:val="20"/>
        </w:rPr>
      </w:pPr>
      <w:r>
        <w:rPr>
          <w:rFonts w:ascii="Times New Roman" w:hAnsi="Times New Roman"/>
          <w:sz w:val="20"/>
        </w:rPr>
        <w:t xml:space="preserve">(b) at and after the Discharge of First Lien Obligations: </w:t>
      </w:r>
    </w:p>
    <w:p>
      <w:pPr>
        <w:pStyle w:val="TextBody"/>
        <w:bidi w:val="0"/>
        <w:spacing w:before="120" w:after="0"/>
        <w:jc w:val="left"/>
        <w:rPr>
          <w:rFonts w:ascii="Times New Roman" w:hAnsi="Times New Roman"/>
          <w:sz w:val="20"/>
        </w:rPr>
      </w:pPr>
      <w:r>
        <w:rPr>
          <w:rFonts w:ascii="Times New Roman" w:hAnsi="Times New Roman"/>
          <w:sz w:val="20"/>
        </w:rPr>
        <w:t xml:space="preserve">(i) any fee-owned real property, any leasehold interests in real property and any fixtures affixed to any real property to the extent the security interest in such leasehold interests and fixtures may not be perfected by the filing of UCC-1 financing statements in the jurisdiction of organization of the applicable Note Party; </w:t>
      </w:r>
    </w:p>
    <w:p>
      <w:pPr>
        <w:pStyle w:val="TextBody"/>
        <w:bidi w:val="0"/>
        <w:spacing w:before="120" w:after="0"/>
        <w:jc w:val="left"/>
        <w:rPr>
          <w:rFonts w:ascii="Times New Roman" w:hAnsi="Times New Roman"/>
          <w:sz w:val="20"/>
        </w:rPr>
      </w:pPr>
      <w:r>
        <w:rPr>
          <w:rFonts w:ascii="Times New Roman" w:hAnsi="Times New Roman"/>
          <w:sz w:val="20"/>
        </w:rPr>
        <w:t xml:space="preserve">(ii) any “intent-to-use” application for registration of a trademark filed pursuant to Section 1(b) of the Lanham Act, 15 U.S.C. §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 </w:t>
      </w:r>
    </w:p>
    <w:p>
      <w:pPr>
        <w:pStyle w:val="TextBody"/>
        <w:bidi w:val="0"/>
        <w:spacing w:before="120" w:after="0"/>
        <w:jc w:val="left"/>
        <w:rPr>
          <w:rFonts w:ascii="Times New Roman" w:hAnsi="Times New Roman"/>
          <w:sz w:val="20"/>
        </w:rPr>
      </w:pPr>
      <w:r>
        <w:rPr>
          <w:rFonts w:ascii="Times New Roman" w:hAnsi="Times New Roman"/>
          <w:sz w:val="20"/>
        </w:rPr>
        <w:t xml:space="preserve">(iii) any asset, lease, license, capital lease obligation, franchise, charter, authorization, contract or agreement to which a Note Party is a party, together with any rights or interest thereunder, in each case, if and to the extent pledges and security interests therein (A) are prohibited by applicable U.S. law, rule or regulation or agreements with any U.S. governmental authority (other than to the extent that such prohibition would be rendered ineffective pursuant to Sections 9-406, 9-407, 9-408, 9-409 or other applicable provisions of the Code of any relevant jurisdiction or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law); (B) require any governmental consent that has not been obtained or consent of a third party (that is not a Note Party) that has not been obtained pursuant to any contract or agreement binding on such asset at the time of its acquisition and not entered into in contemplated of such acquisition, (C) in the case of any lease, license, capital lease obligation, franchise, charter, authorization, contract or agreement, are prohibited by or in violation of a term, provision or condition of any such lease, license, capital lease obligation, franchise, charter, authorization, contract or agreement to which a Note Party is a party or create a right of termination in favor of any other party (other than a Note Party), except, in the case of each of the foregoing clauses (A), (B) and (C), to the extent that such prohibition or restriction would be rendered ineffective under the Code, or (D) in the case of any property subject to a lien securing permitted purchase money Indebtedness, finance lease obligation or similar arrangement, but only to the extent that a grant of a security interest therein to secure the Notes would violate or invalidate such purchase money Indebtedness, finance lease obligation or similar arrangement (including as a result of any requirement to obtain the consent, approval, license or authorization of any third party unless such consent has been obtained (and it being understood and agreed that no Note Party shall have any obligation to procure any such consent, approval, license or authorization)) or create a right of termination in favor of any other party thereto (other than a Note Party) after giving effect to the anti-assignment provisions of the Code;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notwithstanding the foregoing, the Collateral includes, at such time as the contractual or legal prohibition shall no longer be applicable, and to the extent severable, any portion of such asset, lease, license, capital lease obligation, franchise, charter, authorization, contract or agreement not subject to the prohibitions specified in clauses (A), (B), (C) or (D) above (in each case, after giving effect to the applicable anti-assignment provisions of the Code or other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(iv) Equity Interests in any entity other than Wholly-Owned Subsidiaries to the extent pledges thereof are not permitted by customary terms in such entity’s organizational or joint venture documents (unless any such restriction would be rendered ineffective pursuant to Sections 9-406, 9-407, 9-408, 9-409 or other applicable provisions of the Code of any relevant jurisdiction or any other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(v) (A) assets subject to certificates of title (including motor vehicles, aircraft and aircraft engines) to the extent that a security interest therein cannot be perfected by the filing of a UCC-1 financing statement in the jurisdiction of organization of the applicable Note Party, (B) letter of credit rights, except to the extent constituting a supporting obligation for other Collateral as to which perfection of the security interest in such other Collateral is accomplished by the filing of a UCC-1 financing statement and (C) commercial tort claims where the amount of the damages reasonably expected to be realized by the applicable Note Party (as determined by the Company in good faith) is not in excess of $10.0 million; </w:t>
      </w:r>
    </w:p>
    <w:p>
      <w:pPr>
        <w:pStyle w:val="TextBody"/>
        <w:bidi w:val="0"/>
        <w:spacing w:before="120" w:after="0"/>
        <w:jc w:val="left"/>
        <w:rPr>
          <w:rFonts w:ascii="Times New Roman" w:hAnsi="Times New Roman"/>
          <w:sz w:val="20"/>
        </w:rPr>
      </w:pPr>
      <w:r>
        <w:rPr>
          <w:rFonts w:ascii="Times New Roman" w:hAnsi="Times New Roman"/>
          <w:sz w:val="20"/>
        </w:rPr>
        <w:t xml:space="preserve">(vi) any after-acquired property (including property acquired through acquisition or merger or amalgamation of another Person) if at the time such acquisition is consummated the granting of a security interest therein or the pledge thereof is prohibited by any enforceable contract or other agreement (in each case, binding on the assets at the time of such consummation and not created or entered into in contemplation thereof) solely to the extent and for so long as such contract or other agreement (or a permitted refinancing or replacement thereof) prohibits such security interest or pledge;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any deposit accounts, securities accounts or commodities accounts (each as defined in the Code); </w:t>
      </w:r>
    </w:p>
    <w:p>
      <w:pPr>
        <w:pStyle w:val="TextBody"/>
        <w:bidi w:val="0"/>
        <w:spacing w:before="120" w:after="0"/>
        <w:jc w:val="left"/>
        <w:rPr>
          <w:rFonts w:ascii="Times New Roman" w:hAnsi="Times New Roman"/>
          <w:sz w:val="20"/>
        </w:rPr>
      </w:pPr>
      <w:r>
        <w:rPr>
          <w:rFonts w:ascii="Times New Roman" w:hAnsi="Times New Roman"/>
          <w:sz w:val="20"/>
        </w:rPr>
        <w:t xml:space="preserve">(viii) (A) margin stock and (B) minority interests or Equity Interests in joint ventures and in Subsidiaries which are not Wholly-Owned Subsidiaries (including Planet Partnership, LLC, a Delaware limited liability company) (other than Equity Interests in any Guarantor), in any such case of this clause (B), to the extent the grant of a Lien on such interest would require a consent, approval, license or authorization from any governmental authority or any other Person (other than a Note Party); </w:t>
      </w:r>
    </w:p>
    <w:p>
      <w:pPr>
        <w:pStyle w:val="TextBody"/>
        <w:bidi w:val="0"/>
        <w:spacing w:before="120" w:after="0"/>
        <w:jc w:val="left"/>
        <w:rPr>
          <w:rFonts w:ascii="Times New Roman" w:hAnsi="Times New Roman"/>
          <w:sz w:val="20"/>
        </w:rPr>
      </w:pPr>
      <w:r>
        <w:rPr>
          <w:rFonts w:ascii="Times New Roman" w:hAnsi="Times New Roman"/>
          <w:sz w:val="20"/>
        </w:rPr>
        <w:t xml:space="preserve">(ix) Equity Interests in any CFC or FSHCO (other than pledges of up to 65% of the issued and outstanding Equity Interests entitled to vote (within the meaning of Treas. Reg. Section 1.956-2(c)(2)) and 100% of the issued and outstanding Equity Interests in any CFC or FSHCO not entitled to vote (within the meaning of Treas. Reg. Section 1.956-2(c)(2))), in each case, other than Equity Interests in any Note Party; </w:t>
      </w:r>
    </w:p>
    <w:p>
      <w:pPr>
        <w:pStyle w:val="TextBody"/>
        <w:bidi w:val="0"/>
        <w:spacing w:before="120" w:after="0"/>
        <w:jc w:val="left"/>
        <w:rPr>
          <w:rFonts w:ascii="Times New Roman" w:hAnsi="Times New Roman"/>
          <w:sz w:val="20"/>
        </w:rPr>
      </w:pPr>
      <w:r>
        <w:rPr>
          <w:rFonts w:ascii="Times New Roman" w:hAnsi="Times New Roman"/>
          <w:sz w:val="20"/>
        </w:rPr>
        <w:t xml:space="preserve">(x) any asset if the pledge thereof or the security interest therein would result in material adverse tax consequences to any Note Party (other than pursuant to Section 956 of the Code and the regulations thereunder) as reasonably determined by the Company in good faith in consultation with the Collateral Agent; </w:t>
      </w:r>
    </w:p>
    <w:p>
      <w:pPr>
        <w:pStyle w:val="TextBody"/>
        <w:bidi w:val="0"/>
        <w:spacing w:before="120" w:after="0"/>
        <w:jc w:val="left"/>
        <w:rPr>
          <w:rFonts w:ascii="Times New Roman" w:hAnsi="Times New Roman"/>
          <w:sz w:val="20"/>
        </w:rPr>
      </w:pPr>
      <w:r>
        <w:rPr>
          <w:rFonts w:ascii="Times New Roman" w:hAnsi="Times New Roman"/>
          <w:sz w:val="20"/>
        </w:rPr>
        <w:t xml:space="preserve">(xi) those assets as to which the Secured Parties and the Company reasonably agree that the cost of obtaining such a security interest or perfection thereof are excessive in relation to the benefit to the Secured Parties of the security to be afforded thereby; and </w:t>
      </w:r>
    </w:p>
    <w:p>
      <w:pPr>
        <w:pStyle w:val="TextBody"/>
        <w:bidi w:val="0"/>
        <w:spacing w:before="120" w:after="0"/>
        <w:jc w:val="left"/>
        <w:rPr>
          <w:rFonts w:ascii="Times New Roman" w:hAnsi="Times New Roman"/>
          <w:sz w:val="20"/>
        </w:rPr>
      </w:pPr>
      <w:r>
        <w:rPr>
          <w:rFonts w:ascii="Times New Roman" w:hAnsi="Times New Roman"/>
          <w:sz w:val="20"/>
        </w:rPr>
        <w:t xml:space="preserve">(xii) Equity Interests of any Subsidiary that is not a Guarantor. </w:t>
      </w:r>
    </w:p>
    <w:p>
      <w:pPr>
        <w:pStyle w:val="TextBody"/>
        <w:bidi w:val="0"/>
        <w:spacing w:before="240" w:after="0"/>
        <w:jc w:val="left"/>
        <w:rPr>
          <w:rFonts w:ascii="Times New Roman" w:hAnsi="Times New Roman"/>
          <w:sz w:val="20"/>
        </w:rPr>
      </w:pPr>
      <w:r>
        <w:rPr>
          <w:rFonts w:ascii="Times New Roman" w:hAnsi="Times New Roman"/>
          <w:sz w:val="20"/>
        </w:rPr>
        <w:t>Notwithstanding the foregoing, “</w:t>
      </w:r>
      <w:r>
        <w:rPr>
          <w:rFonts w:ascii="Times New Roman" w:hAnsi="Times New Roman"/>
          <w:b/>
          <w:sz w:val="20"/>
        </w:rPr>
        <w:t>Excluded Assets</w:t>
      </w:r>
      <w:r>
        <w:rPr>
          <w:rFonts w:ascii="Times New Roman" w:hAnsi="Times New Roman"/>
          <w:sz w:val="20"/>
        </w:rPr>
        <w:t xml:space="preserve">” shall not include any proceeds, products, substitutions or replacements of Excluded Assets (unless such proceeds, products, substitutions or replacements would otherwise constitute Excluded Assets). </w:t>
      </w:r>
    </w:p>
    <w:p>
      <w:pPr>
        <w:pStyle w:val="TextBody"/>
        <w:bidi w:val="0"/>
        <w:spacing w:before="240" w:after="0"/>
        <w:jc w:val="left"/>
        <w:rPr/>
      </w:pPr>
      <w:r>
        <w:rPr/>
        <w:t>“</w:t>
      </w:r>
      <w:r>
        <w:rPr>
          <w:rFonts w:ascii="Times New Roman" w:hAnsi="Times New Roman"/>
          <w:b/>
          <w:sz w:val="20"/>
        </w:rPr>
        <w:t>Excluded Subsidiary</w:t>
      </w:r>
      <w:r>
        <w:rPr>
          <w:rFonts w:ascii="Times New Roman" w:hAnsi="Times New Roman"/>
          <w:sz w:val="20"/>
        </w:rPr>
        <w:t xml:space="preserve">” means any Subsidiary that is designated by the Company, at its option, as an “Excluded Subsidiary” pursuant to an Officer’s Certificate delivered to the Trustee; </w:t>
      </w:r>
      <w:r>
        <w:rPr>
          <w:rFonts w:ascii="Times New Roman" w:hAnsi="Times New Roman"/>
          <w:i/>
          <w:sz w:val="20"/>
        </w:rPr>
        <w:t>provided</w:t>
      </w:r>
      <w:r>
        <w:rPr>
          <w:rFonts w:ascii="Times New Roman" w:hAnsi="Times New Roman"/>
          <w:sz w:val="20"/>
        </w:rPr>
        <w:t xml:space="preserve">, that each such Subsidiary shall be an Excluded Subsidiary only if and only for so long as such Subsidiary is: </w:t>
      </w:r>
    </w:p>
    <w:p>
      <w:pPr>
        <w:pStyle w:val="TextBody"/>
        <w:bidi w:val="0"/>
        <w:spacing w:before="120" w:after="0"/>
        <w:jc w:val="left"/>
        <w:rPr>
          <w:rFonts w:ascii="Times New Roman" w:hAnsi="Times New Roman"/>
          <w:sz w:val="20"/>
        </w:rPr>
      </w:pPr>
      <w:r>
        <w:rPr>
          <w:rFonts w:ascii="Times New Roman" w:hAnsi="Times New Roman"/>
          <w:sz w:val="20"/>
        </w:rPr>
        <w:t xml:space="preserve">(a) an Immaterial Subsidiary; </w:t>
      </w:r>
    </w:p>
    <w:p>
      <w:pPr>
        <w:pStyle w:val="TextBody"/>
        <w:bidi w:val="0"/>
        <w:spacing w:before="240" w:after="0"/>
        <w:jc w:val="left"/>
        <w:rPr>
          <w:rFonts w:ascii="Times New Roman" w:hAnsi="Times New Roman"/>
          <w:sz w:val="20"/>
        </w:rPr>
      </w:pPr>
      <w:r>
        <w:rPr>
          <w:rFonts w:ascii="Times New Roman" w:hAnsi="Times New Roman"/>
          <w:sz w:val="20"/>
        </w:rPr>
        <w:t xml:space="preserve">(b) a joint venture which a Note Party does not Control, </w:t>
      </w:r>
      <w:r>
        <w:rPr>
          <w:rFonts w:ascii="Times New Roman" w:hAnsi="Times New Roman"/>
          <w:i/>
          <w:sz w:val="20"/>
        </w:rPr>
        <w:t>provided</w:t>
      </w:r>
      <w:r>
        <w:rPr>
          <w:rFonts w:ascii="Times New Roman" w:hAnsi="Times New Roman"/>
          <w:sz w:val="20"/>
        </w:rPr>
        <w:t xml:space="preserve"> that, such joint venture shall be an Excluded Subsidiary only to the extent that the organizational documents or other agreements with other equity holders of such joint venture restrict, or do not permit, a Note Guarantee by such joint venture, and such restriction or prohibition has not been waived or the Note Guarantee otherwise consented to by such other equity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 a Wholly-Owned Subsidiary; </w:t>
      </w:r>
    </w:p>
    <w:p>
      <w:pPr>
        <w:pStyle w:val="TextBody"/>
        <w:bidi w:val="0"/>
        <w:spacing w:before="240" w:after="0"/>
        <w:jc w:val="left"/>
        <w:rPr>
          <w:rFonts w:ascii="Times New Roman" w:hAnsi="Times New Roman"/>
          <w:sz w:val="20"/>
        </w:rPr>
      </w:pPr>
      <w:r>
        <w:rPr>
          <w:rFonts w:ascii="Times New Roman" w:hAnsi="Times New Roman"/>
          <w:sz w:val="20"/>
        </w:rPr>
        <w:t xml:space="preserve">(d) a CFC or a direct or indirect Subsidiary of a CFC; </w:t>
      </w:r>
    </w:p>
    <w:p>
      <w:pPr>
        <w:pStyle w:val="TextBody"/>
        <w:bidi w:val="0"/>
        <w:spacing w:before="240" w:after="0"/>
        <w:jc w:val="left"/>
        <w:rPr>
          <w:rFonts w:ascii="Times New Roman" w:hAnsi="Times New Roman"/>
          <w:sz w:val="20"/>
        </w:rPr>
      </w:pPr>
      <w:r>
        <w:rPr>
          <w:rFonts w:ascii="Times New Roman" w:hAnsi="Times New Roman"/>
          <w:sz w:val="20"/>
        </w:rPr>
        <w:t xml:space="preserve">(e) an FSHCO or a direct or indirect Subsidiary of an FSHCO; </w:t>
      </w:r>
    </w:p>
    <w:p>
      <w:pPr>
        <w:pStyle w:val="TextBody"/>
        <w:bidi w:val="0"/>
        <w:spacing w:before="240" w:after="0"/>
        <w:jc w:val="left"/>
        <w:rPr>
          <w:rFonts w:ascii="Times New Roman" w:hAnsi="Times New Roman"/>
          <w:sz w:val="20"/>
        </w:rPr>
      </w:pPr>
      <w:r>
        <w:rPr>
          <w:rFonts w:ascii="Times New Roman" w:hAnsi="Times New Roman"/>
          <w:sz w:val="20"/>
        </w:rPr>
        <w:t xml:space="preserve">(f) any other Subsidiary with respect to which, the providing of a guarantee of the Obligations could reasonably be expected to result in material adverse tax consequences (other than pursuant to Section 956 of the Internal Revenue Code and the regulations thereunder) to the Company or any Subsidiary as determined in good faith by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(g) a Subsidiary organized under the laws of The Netherlands that (A) has a works council installed, which has jurisdiction in respect of the transactions contemplated by this Indenture, the Notes and the Applicable Intercreditor Agreement, and (B) has not received the positive or neutral advice from such works council which contains no condition, which if not fulfilled, would result in a breach of any of the Note Documents;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in the case of each of immediately preceding clauses (d) and (e), such Subsidiary shall not be an Excluded Subsidiary if the Company determines in good faith that such Subsidiary serving as a Guarantor or providing a pledge of its assets could not reasonably be expected to cause an adverse tax cost to the Company or any other Note Party which outweighs the benefits to the 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Company may in its sole discretion elect to exclude any Subsidiary from the definition of Excluded Subsidiary. </w:t>
      </w:r>
    </w:p>
    <w:p>
      <w:pPr>
        <w:pStyle w:val="TextBody"/>
        <w:bidi w:val="0"/>
        <w:spacing w:before="240" w:after="0"/>
        <w:jc w:val="left"/>
        <w:rPr/>
      </w:pPr>
      <w:r>
        <w:rPr/>
        <w:t>“</w:t>
      </w:r>
      <w:r>
        <w:rPr>
          <w:rFonts w:ascii="Times New Roman" w:hAnsi="Times New Roman"/>
          <w:b/>
          <w:sz w:val="20"/>
        </w:rPr>
        <w:t>Ex-Dividend Date</w:t>
      </w:r>
      <w:r>
        <w:rPr>
          <w:rFonts w:ascii="Times New Roman" w:hAnsi="Times New Roman"/>
          <w:sz w:val="20"/>
        </w:rPr>
        <w:t xml:space="preserve">” means the first date on which the shares of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 </w:t>
      </w:r>
    </w:p>
    <w:p>
      <w:pPr>
        <w:pStyle w:val="TextBody"/>
        <w:bidi w:val="0"/>
        <w:spacing w:before="240" w:after="0"/>
        <w:jc w:val="left"/>
        <w:rPr/>
      </w:pPr>
      <w:r>
        <w:rPr/>
        <w:t>“</w:t>
      </w:r>
      <w:r>
        <w:rPr>
          <w:rFonts w:ascii="Times New Roman" w:hAnsi="Times New Roman"/>
          <w:b/>
          <w:sz w:val="20"/>
        </w:rPr>
        <w:t>Existing Notes</w:t>
      </w:r>
      <w:r>
        <w:rPr>
          <w:rFonts w:ascii="Times New Roman" w:hAnsi="Times New Roman"/>
          <w:sz w:val="20"/>
        </w:rPr>
        <w:t xml:space="preserve">” means the 0% Convertible Senior Notes due 2027 issued pursuant to the indenture, dated as of March 5, 2021, between the Company, as issuer, and U.S. Bank National Association, as trustee, in the original principal amount of $1.15 billion. </w:t>
      </w:r>
    </w:p>
    <w:p>
      <w:pPr>
        <w:pStyle w:val="TextBody"/>
        <w:bidi w:val="0"/>
        <w:spacing w:before="240" w:after="0"/>
        <w:jc w:val="left"/>
        <w:rPr/>
      </w:pPr>
      <w:r>
        <w:rPr/>
        <w:t>“</w:t>
      </w:r>
      <w:r>
        <w:rPr>
          <w:rFonts w:ascii="Times New Roman" w:hAnsi="Times New Roman"/>
          <w:b/>
          <w:sz w:val="20"/>
        </w:rPr>
        <w:t>Fair Market Value</w:t>
      </w:r>
      <w:r>
        <w:rPr>
          <w:rFonts w:ascii="Times New Roman" w:hAnsi="Times New Roman"/>
          <w:sz w:val="20"/>
        </w:rPr>
        <w:t xml:space="preserve">” means, with respect to any asset, the price (after taking into account any liabilities relating to such asset) that would be negotiated in an arm’s-length transaction for cash between a willing seller and a willing and able buyer, neither of which is under any compulsion to complete the transaction as such price is determined in good faith by management of the Company. </w:t>
      </w:r>
    </w:p>
    <w:p>
      <w:pPr>
        <w:pStyle w:val="TextBody"/>
        <w:bidi w:val="0"/>
        <w:spacing w:before="240" w:after="0"/>
        <w:jc w:val="left"/>
        <w:rPr/>
      </w:pPr>
      <w:r>
        <w:rPr/>
        <w:t>“</w:t>
      </w:r>
      <w:r>
        <w:rPr>
          <w:rFonts w:ascii="Times New Roman" w:hAnsi="Times New Roman"/>
          <w:b/>
          <w:sz w:val="20"/>
        </w:rPr>
        <w:t>First Lien Claimholders</w:t>
      </w:r>
      <w:r>
        <w:rPr>
          <w:rFonts w:ascii="Times New Roman" w:hAnsi="Times New Roman"/>
          <w:sz w:val="20"/>
        </w:rPr>
        <w:t xml:space="preserve">” means the “Lenders” (as defined in the Loan Agreement). </w:t>
      </w:r>
    </w:p>
    <w:p>
      <w:pPr>
        <w:pStyle w:val="TextBody"/>
        <w:bidi w:val="0"/>
        <w:spacing w:before="240" w:after="0"/>
        <w:jc w:val="left"/>
        <w:rPr/>
      </w:pPr>
      <w:r>
        <w:rPr/>
        <w:t>“</w:t>
      </w:r>
      <w:r>
        <w:rPr>
          <w:rFonts w:ascii="Times New Roman" w:hAnsi="Times New Roman"/>
          <w:b/>
          <w:sz w:val="20"/>
        </w:rPr>
        <w:t>First Lien Collateral</w:t>
      </w:r>
      <w:r>
        <w:rPr>
          <w:rFonts w:ascii="Times New Roman" w:hAnsi="Times New Roman"/>
          <w:sz w:val="20"/>
        </w:rPr>
        <w:t xml:space="preserve">” means any “collateral” or “pledged collateral” or similar term as defined in any First Lien Debt Document or any other assets of the Company or any of the Guarantors with respect to which a Lien is granted or required to be granted pursuant to a First Lien Debt Document as security for any First Lien Obligations and shall include any property or assets subject to replacement Liens or adequate protection Liens in favor of any First Lien Claimholder.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First Lien Debt Documents</w:t>
      </w:r>
      <w:r>
        <w:rPr>
          <w:rFonts w:ascii="Times New Roman" w:hAnsi="Times New Roman"/>
          <w:sz w:val="20"/>
        </w:rPr>
        <w:t xml:space="preserve">” means the Loan Agreement and the other “Loan Documents” as defined in the Loan Agreement and any other document or agreement entered into for the purpose of evidencing, governing, securing or perfecting the First Lien Obligations. </w:t>
      </w:r>
    </w:p>
    <w:p>
      <w:pPr>
        <w:pStyle w:val="TextBody"/>
        <w:bidi w:val="0"/>
        <w:spacing w:before="240" w:after="0"/>
        <w:jc w:val="left"/>
        <w:rPr/>
      </w:pPr>
      <w:r>
        <w:rPr/>
        <w:t>“</w:t>
      </w:r>
      <w:r>
        <w:rPr>
          <w:rFonts w:ascii="Times New Roman" w:hAnsi="Times New Roman"/>
          <w:b/>
          <w:sz w:val="20"/>
        </w:rPr>
        <w:t>First Lien Obligations</w:t>
      </w:r>
      <w:r>
        <w:rPr>
          <w:rFonts w:ascii="Times New Roman" w:hAnsi="Times New Roman"/>
          <w:sz w:val="20"/>
        </w:rPr>
        <w:t xml:space="preserve">” means the “Obligations” (as defined in the First Lien Debt Documents). </w:t>
      </w:r>
    </w:p>
    <w:p>
      <w:pPr>
        <w:pStyle w:val="TextBody"/>
        <w:bidi w:val="0"/>
        <w:spacing w:before="240" w:after="0"/>
        <w:jc w:val="left"/>
        <w:rPr/>
      </w:pPr>
      <w:r>
        <w:rPr/>
        <w:t>“</w:t>
      </w:r>
      <w:r>
        <w:rPr>
          <w:rFonts w:ascii="Times New Roman" w:hAnsi="Times New Roman"/>
          <w:b/>
          <w:sz w:val="20"/>
        </w:rPr>
        <w:t>Floating Mechanic Premium</w:t>
      </w:r>
      <w:r>
        <w:rPr>
          <w:rFonts w:ascii="Times New Roman" w:hAnsi="Times New Roman"/>
          <w:sz w:val="20"/>
        </w:rPr>
        <w:t xml:space="preserve">” shall have the meaning set forth in Section 4.19. </w:t>
      </w:r>
    </w:p>
    <w:p>
      <w:pPr>
        <w:pStyle w:val="TextBody"/>
        <w:bidi w:val="0"/>
        <w:spacing w:before="240" w:after="0"/>
        <w:jc w:val="left"/>
        <w:rPr/>
      </w:pPr>
      <w:r>
        <w:rPr/>
        <w:t>“</w:t>
      </w:r>
      <w:r>
        <w:rPr>
          <w:rFonts w:ascii="Times New Roman" w:hAnsi="Times New Roman"/>
          <w:b/>
          <w:sz w:val="20"/>
        </w:rPr>
        <w:t>Floor Remedy Options</w:t>
      </w:r>
      <w:r>
        <w:rPr>
          <w:rFonts w:ascii="Times New Roman" w:hAnsi="Times New Roman"/>
          <w:sz w:val="20"/>
        </w:rPr>
        <w:t xml:space="preserve">” shall have the meaning set forth in Section 17.01(b). </w:t>
      </w:r>
    </w:p>
    <w:p>
      <w:pPr>
        <w:pStyle w:val="TextBody"/>
        <w:bidi w:val="0"/>
        <w:spacing w:before="240" w:after="0"/>
        <w:jc w:val="left"/>
        <w:rPr/>
      </w:pPr>
      <w:r>
        <w:rPr/>
        <w:t>“</w:t>
      </w:r>
      <w:r>
        <w:rPr>
          <w:rFonts w:ascii="Times New Roman" w:hAnsi="Times New Roman"/>
          <w:b/>
          <w:sz w:val="20"/>
        </w:rPr>
        <w:t>Foreign Subsidiary</w:t>
      </w:r>
      <w:r>
        <w:rPr>
          <w:rFonts w:ascii="Times New Roman" w:hAnsi="Times New Roman"/>
          <w:sz w:val="20"/>
        </w:rPr>
        <w:t xml:space="preserve">” means each Subsidiary of the Company that is (a) organized under the laws of any jurisdiction other than the United States or any state thereof or the District of Columbia or (b) organized in or under the laws of any U.S. possession or territory. </w:t>
      </w:r>
    </w:p>
    <w:p>
      <w:pPr>
        <w:pStyle w:val="TextBody"/>
        <w:bidi w:val="0"/>
        <w:spacing w:before="240" w:after="0"/>
        <w:jc w:val="left"/>
        <w:rPr/>
      </w:pPr>
      <w:r>
        <w:rPr/>
        <w:t>“</w:t>
      </w:r>
      <w:r>
        <w:rPr>
          <w:rFonts w:ascii="Times New Roman" w:hAnsi="Times New Roman"/>
          <w:b/>
          <w:sz w:val="20"/>
        </w:rPr>
        <w:t>Form of Assignment and Transfer</w:t>
      </w:r>
      <w:r>
        <w:rPr>
          <w:rFonts w:ascii="Times New Roman" w:hAnsi="Times New Roman"/>
          <w:sz w:val="20"/>
        </w:rPr>
        <w:t xml:space="preserve">” shall mean the “Form of Assignment and Transfer” attached as Attachment 3 to the Form of Note attached hereto as Exhibit A. </w:t>
      </w:r>
    </w:p>
    <w:p>
      <w:pPr>
        <w:pStyle w:val="TextBody"/>
        <w:bidi w:val="0"/>
        <w:spacing w:before="240" w:after="0"/>
        <w:jc w:val="left"/>
        <w:rPr/>
      </w:pPr>
      <w:r>
        <w:rPr/>
        <w:t>“</w:t>
      </w:r>
      <w:r>
        <w:rPr>
          <w:rFonts w:ascii="Times New Roman" w:hAnsi="Times New Roman"/>
          <w:b/>
          <w:sz w:val="20"/>
        </w:rPr>
        <w:t>Form of Fundamental Change Repurchase Notice</w:t>
      </w:r>
      <w:r>
        <w:rPr>
          <w:rFonts w:ascii="Times New Roman" w:hAnsi="Times New Roman"/>
          <w:sz w:val="20"/>
        </w:rPr>
        <w:t xml:space="preserve">” shall mean the “Form of Fundamental Change Repurchase Notice” attached as Attachment 2 to the Form of Note attached hereto as Exhibit A. </w:t>
      </w:r>
    </w:p>
    <w:p>
      <w:pPr>
        <w:pStyle w:val="TextBody"/>
        <w:bidi w:val="0"/>
        <w:spacing w:before="240" w:after="0"/>
        <w:jc w:val="left"/>
        <w:rPr/>
      </w:pPr>
      <w:r>
        <w:rPr/>
        <w:t>“</w:t>
      </w:r>
      <w:r>
        <w:rPr>
          <w:rFonts w:ascii="Times New Roman" w:hAnsi="Times New Roman"/>
          <w:b/>
          <w:sz w:val="20"/>
        </w:rPr>
        <w:t>Form of Note</w:t>
      </w:r>
      <w:r>
        <w:rPr>
          <w:rFonts w:ascii="Times New Roman" w:hAnsi="Times New Roman"/>
          <w:sz w:val="20"/>
        </w:rPr>
        <w:t xml:space="preserve">” shall mean the “Form of Note” attached hereto as Exhibit A. </w:t>
      </w:r>
    </w:p>
    <w:p>
      <w:pPr>
        <w:pStyle w:val="TextBody"/>
        <w:bidi w:val="0"/>
        <w:spacing w:before="240" w:after="0"/>
        <w:jc w:val="left"/>
        <w:rPr/>
      </w:pPr>
      <w:r>
        <w:rPr/>
        <w:t>“</w:t>
      </w:r>
      <w:r>
        <w:rPr>
          <w:rFonts w:ascii="Times New Roman" w:hAnsi="Times New Roman"/>
          <w:b/>
          <w:sz w:val="20"/>
        </w:rPr>
        <w:t>Form of Notice of Conversion</w:t>
      </w:r>
      <w:r>
        <w:rPr>
          <w:rFonts w:ascii="Times New Roman" w:hAnsi="Times New Roman"/>
          <w:sz w:val="20"/>
        </w:rPr>
        <w:t xml:space="preserve">” shall mean the “Form of Notice of Conversion” attached as Attachment 1 to the Form of Note attached hereto as Exhibit A. </w:t>
      </w:r>
    </w:p>
    <w:p>
      <w:pPr>
        <w:pStyle w:val="TextBody"/>
        <w:bidi w:val="0"/>
        <w:spacing w:before="240" w:after="0"/>
        <w:jc w:val="left"/>
        <w:rPr/>
      </w:pPr>
      <w:r>
        <w:rPr/>
        <w:t>“</w:t>
      </w:r>
      <w:r>
        <w:rPr>
          <w:rFonts w:ascii="Times New Roman" w:hAnsi="Times New Roman"/>
          <w:b/>
          <w:sz w:val="20"/>
        </w:rPr>
        <w:t>FSHCO</w:t>
      </w:r>
      <w:r>
        <w:rPr>
          <w:rFonts w:ascii="Times New Roman" w:hAnsi="Times New Roman"/>
          <w:sz w:val="20"/>
        </w:rPr>
        <w:t xml:space="preserve">” means a Subsidiary that owns (directly or indirectly) no material assets other than Equity Interests (or Equity Interests and debt interests) of one or more CFCs or other FSHCOs.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Fundamental Change</w:t>
      </w:r>
      <w:r>
        <w:rPr>
          <w:rFonts w:ascii="Times New Roman" w:hAnsi="Times New Roman"/>
          <w:sz w:val="20"/>
        </w:rPr>
        <w:t xml:space="preserve">” shall be deemed to have occurred at the time after the Issue Date if any of the following occurs: </w:t>
      </w:r>
    </w:p>
    <w:p>
      <w:pPr>
        <w:pStyle w:val="TextBody"/>
        <w:bidi w:val="0"/>
        <w:spacing w:before="120" w:after="0"/>
        <w:jc w:val="left"/>
        <w:rPr>
          <w:rFonts w:ascii="Times New Roman" w:hAnsi="Times New Roman"/>
          <w:sz w:val="20"/>
        </w:rPr>
      </w:pPr>
      <w:r>
        <w:rPr>
          <w:rFonts w:ascii="Times New Roman" w:hAnsi="Times New Roman"/>
          <w:sz w:val="20"/>
        </w:rPr>
        <w:t xml:space="preserve">(a) a “person” or “group” within the meaning of Section 13(d) of the Exchange Act, other than the Company, its Wholly-Owned Subsidiaries and the employee benefit plans of the Company and its Wholly-Owned Subsidiaries, files a Schedule TO or any schedule, form or report under the Exchange Act disclosing that such person or group has become the direct or indirect “beneficial owner,” as defined in Rule 13d-3 under the Exchange Act, of Common Stock representing more than 50% of the voting power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(b) the consummation of: (A) any recapitalization, reclassification or change of Common Stock (other than changes resulting from a subdivision or combination) as a result of which the Common Stock would be converted into, or exchanged for, stock, other securities, other property or assets; (B) any transaction (whether by means of merger, consolidation,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exchange, combination, acquisition, liquidation or otherwise) pursuant to which the Common Stock will be converted into, acquired for, or constitutes solely the right to receive, cash, securities or other property or assets; or (C) any sale, lease or other transfer in one transaction or a series of transactions of all or substantially all of the consolidated assets of the Company and its Subsidiaries, taken as a whole, to any Person other than one of the Company’s Wholly-Owned Subsidiaries;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transaction described in clause (A) or (B) in which the holders of all classes of the Company’s common equity immediately prior to such transaction own, directly or indirectly, more than 50% of all classes of common equity of the continuing or surviving corporation or transferee or the direct or indirect parent thereof immediately after such transaction in the same proportions vis-à -vis each other as immediately prior to such transaction will not be a fundamental change pursuant to this clause (b); </w:t>
      </w:r>
    </w:p>
    <w:p>
      <w:pPr>
        <w:pStyle w:val="TextBody"/>
        <w:bidi w:val="0"/>
        <w:spacing w:before="240" w:after="0"/>
        <w:jc w:val="left"/>
        <w:rPr>
          <w:rFonts w:ascii="Times New Roman" w:hAnsi="Times New Roman"/>
          <w:sz w:val="20"/>
        </w:rPr>
      </w:pPr>
      <w:r>
        <w:rPr>
          <w:rFonts w:ascii="Times New Roman" w:hAnsi="Times New Roman"/>
          <w:sz w:val="20"/>
        </w:rPr>
        <w:t xml:space="preserve">(c) the Company’s shareholders approve any plan or proposal for the liquidation or dissolution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(d) the Common Stock ceases to be listed on (i) for so long as any Existing Notes remain outstanding, any of The Nasdaq Global Select Market, The Nasdaq Global Market or The New York Stock Exchange (or any of their respective successors) and (ii) thereafter, the exchanges in clause (i) as well as NYSE American and the Nasdaq Capital Market (or any of their respective successors).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transaction or transactions described in clause (a) or clause (b) above will not constitute a Fundamental Change, however, if at least 90% of the consideration received or to be received by the Company’s common shareholders, excluding cash payments for fractional shares and cash payments made in respect of dissenters’ statutory appraisal rights, in connection with such transaction or transactions consists of shares of Common Stock that are listed or quoted (or depositary receipts representing shares of Common Stock, which depositary receipts are listed or quoted) on any of The Nasdaq Global Select Market, The Nasdaq Global Market or The New York Stock Exchange (or any of their respective successors) or will be so listed or quoted when issued or exchanged in connection with such transaction or transactions and such transaction(s) constitutes a Common Stock Change Event whose reference property consists of such consideration.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of “Fundamental Change,” (i) if any transaction in which the Common Stock is replaced by the securities of another entity occurs, following the effective date of such transaction, references to the Company in the definition of “Fundamental Change” above will instead be references to such other entity and (ii) any transaction that constitutes a Fundamental Change pursuant to both clause (a) and clause (b) (excluding the proviso to such clause (b)) of such definition shall be deemed to be a Fundamental Change solely under clause (b) of such definition (subject to such proviso). </w:t>
      </w:r>
    </w:p>
    <w:p>
      <w:pPr>
        <w:pStyle w:val="TextBody"/>
        <w:bidi w:val="0"/>
        <w:spacing w:before="240" w:after="0"/>
        <w:jc w:val="left"/>
        <w:rPr/>
      </w:pPr>
      <w:r>
        <w:rPr/>
        <w:t>“</w:t>
      </w:r>
      <w:r>
        <w:rPr>
          <w:rFonts w:ascii="Times New Roman" w:hAnsi="Times New Roman"/>
          <w:b/>
          <w:sz w:val="20"/>
        </w:rPr>
        <w:t>Fundamental Change Company Notice</w:t>
      </w:r>
      <w:r>
        <w:rPr>
          <w:rFonts w:ascii="Times New Roman" w:hAnsi="Times New Roman"/>
          <w:sz w:val="20"/>
        </w:rPr>
        <w:t xml:space="preserve">” shall have the meaning specified in Section 15.02(a). </w:t>
      </w:r>
    </w:p>
    <w:p>
      <w:pPr>
        <w:pStyle w:val="TextBody"/>
        <w:bidi w:val="0"/>
        <w:spacing w:before="240" w:after="0"/>
        <w:jc w:val="left"/>
        <w:rPr/>
      </w:pPr>
      <w:r>
        <w:rPr/>
        <w:t>“</w:t>
      </w:r>
      <w:r>
        <w:rPr>
          <w:rFonts w:ascii="Times New Roman" w:hAnsi="Times New Roman"/>
          <w:b/>
          <w:sz w:val="20"/>
        </w:rPr>
        <w:t>Fundamental Change Conversion Period</w:t>
      </w:r>
      <w:r>
        <w:rPr>
          <w:rFonts w:ascii="Times New Roman" w:hAnsi="Times New Roman"/>
          <w:sz w:val="20"/>
        </w:rPr>
        <w:t xml:space="preserve">” means the period from, and including, the date on which the Fundamental Change occurs or becomes effective to, and including, the Fundamental Change Repurchase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Fundamental Change Repurchase Date</w:t>
      </w:r>
      <w:r>
        <w:rPr>
          <w:rFonts w:ascii="Times New Roman" w:hAnsi="Times New Roman"/>
          <w:sz w:val="20"/>
        </w:rPr>
        <w:t xml:space="preserve">” shall have the meaning specified in Section 15.02(a). </w:t>
      </w:r>
    </w:p>
    <w:p>
      <w:pPr>
        <w:pStyle w:val="TextBody"/>
        <w:bidi w:val="0"/>
        <w:spacing w:before="240" w:after="0"/>
        <w:jc w:val="left"/>
        <w:rPr/>
      </w:pPr>
      <w:r>
        <w:rPr/>
        <w:t>“</w:t>
      </w:r>
      <w:r>
        <w:rPr>
          <w:rFonts w:ascii="Times New Roman" w:hAnsi="Times New Roman"/>
          <w:b/>
          <w:sz w:val="20"/>
        </w:rPr>
        <w:t>Fundamental Change Repurchase Notice</w:t>
      </w:r>
      <w:r>
        <w:rPr>
          <w:rFonts w:ascii="Times New Roman" w:hAnsi="Times New Roman"/>
          <w:sz w:val="20"/>
        </w:rPr>
        <w:t xml:space="preserve">” shall have the meaning specified in Section 15.02(a). </w:t>
      </w:r>
    </w:p>
    <w:p>
      <w:pPr>
        <w:pStyle w:val="TextBody"/>
        <w:bidi w:val="0"/>
        <w:spacing w:before="240" w:after="0"/>
        <w:jc w:val="left"/>
        <w:rPr/>
      </w:pPr>
      <w:r>
        <w:rPr/>
        <w:t>“</w:t>
      </w:r>
      <w:r>
        <w:rPr>
          <w:rFonts w:ascii="Times New Roman" w:hAnsi="Times New Roman"/>
          <w:b/>
          <w:sz w:val="20"/>
        </w:rPr>
        <w:t>Fundamental Change Repurchase Price</w:t>
      </w:r>
      <w:r>
        <w:rPr>
          <w:rFonts w:ascii="Times New Roman" w:hAnsi="Times New Roman"/>
          <w:sz w:val="20"/>
        </w:rPr>
        <w:t xml:space="preserve">” shall have the meaning specified in Section 15.02(a).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generally accepted accounting principles in the United States of America as in effect from time to time. </w:t>
      </w:r>
    </w:p>
    <w:p>
      <w:pPr>
        <w:pStyle w:val="TextBody"/>
        <w:bidi w:val="0"/>
        <w:spacing w:before="240" w:after="0"/>
        <w:jc w:val="left"/>
        <w:rPr/>
      </w:pPr>
      <w:r>
        <w:rPr/>
        <w:t>“</w:t>
      </w:r>
      <w:r>
        <w:rPr>
          <w:rFonts w:ascii="Times New Roman" w:hAnsi="Times New Roman"/>
          <w:b/>
          <w:sz w:val="20"/>
        </w:rPr>
        <w:t>General Intangibles</w:t>
      </w:r>
      <w:r>
        <w:rPr>
          <w:rFonts w:ascii="Times New Roman" w:hAnsi="Times New Roman"/>
          <w:sz w:val="20"/>
        </w:rPr>
        <w:t xml:space="preserve">” means all “general intangibles” as defined in the Code in effect on the date of this Indenture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 </w:t>
      </w:r>
    </w:p>
    <w:p>
      <w:pPr>
        <w:pStyle w:val="TextBody"/>
        <w:bidi w:val="0"/>
        <w:spacing w:before="240" w:after="0"/>
        <w:jc w:val="left"/>
        <w:rPr/>
      </w:pPr>
      <w:r>
        <w:rPr/>
        <w:t>“</w:t>
      </w:r>
      <w:r>
        <w:rPr>
          <w:rFonts w:ascii="Times New Roman" w:hAnsi="Times New Roman"/>
          <w:b/>
          <w:sz w:val="20"/>
        </w:rPr>
        <w:t>Global Note</w:t>
      </w:r>
      <w:r>
        <w:rPr>
          <w:rFonts w:ascii="Times New Roman" w:hAnsi="Times New Roman"/>
          <w:sz w:val="20"/>
        </w:rPr>
        <w:t xml:space="preserve">” shall have the meaning specified in Section 2.05(b).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 </w:t>
      </w:r>
    </w:p>
    <w:p>
      <w:pPr>
        <w:pStyle w:val="TextBody"/>
        <w:bidi w:val="0"/>
        <w:spacing w:before="240" w:after="0"/>
        <w:jc w:val="left"/>
        <w:rPr/>
      </w:pPr>
      <w:r>
        <w:rPr/>
        <w:t>“</w:t>
      </w:r>
      <w:r>
        <w:rPr>
          <w:rFonts w:ascii="Times New Roman" w:hAnsi="Times New Roman"/>
          <w:b/>
          <w:sz w:val="20"/>
        </w:rPr>
        <w:t>Guaranteed Obligations</w:t>
      </w:r>
      <w:r>
        <w:rPr>
          <w:rFonts w:ascii="Times New Roman" w:hAnsi="Times New Roman"/>
          <w:sz w:val="20"/>
        </w:rPr>
        <w:t xml:space="preserve">” shall have the meaning specified in Section 13.01. </w:t>
      </w:r>
    </w:p>
    <w:p>
      <w:pPr>
        <w:pStyle w:val="TextBody"/>
        <w:bidi w:val="0"/>
        <w:spacing w:before="240" w:after="0"/>
        <w:jc w:val="left"/>
        <w:rPr/>
      </w:pPr>
      <w:r>
        <w:rPr/>
        <w:t>“</w:t>
      </w:r>
      <w:r>
        <w:rPr>
          <w:rFonts w:ascii="Times New Roman" w:hAnsi="Times New Roman"/>
          <w:b/>
          <w:sz w:val="20"/>
        </w:rPr>
        <w:t>Guarantor</w:t>
      </w:r>
      <w:r>
        <w:rPr>
          <w:rFonts w:ascii="Times New Roman" w:hAnsi="Times New Roman"/>
          <w:sz w:val="20"/>
        </w:rPr>
        <w:t xml:space="preserve">” means any existing or future Subsidiary of the Company (other than any Excluded Subsidiary) from time to time that provides a Note Guarantee; </w:t>
      </w:r>
      <w:r>
        <w:rPr>
          <w:rFonts w:ascii="Times New Roman" w:hAnsi="Times New Roman"/>
          <w:i/>
          <w:sz w:val="20"/>
        </w:rPr>
        <w:t>provided</w:t>
      </w:r>
      <w:r>
        <w:rPr>
          <w:rFonts w:ascii="Times New Roman" w:hAnsi="Times New Roman"/>
          <w:sz w:val="20"/>
        </w:rPr>
        <w:t xml:space="preserve"> that upon release or discharge of such Subsidiary from its Note Guarantee in accordance with this Indenture, such Subsidiary shall cease to be a Guarantor.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as applied to any Note, or other similar terms (but excluding the term “beneficial holder”), shall mean any Person in whose name at the time a particular Note is registered on the Note Register. </w:t>
      </w:r>
    </w:p>
    <w:p>
      <w:pPr>
        <w:pStyle w:val="TextBody"/>
        <w:bidi w:val="0"/>
        <w:spacing w:before="240" w:after="0"/>
        <w:jc w:val="left"/>
        <w:rPr/>
      </w:pPr>
      <w:r>
        <w:rPr/>
        <w:t>“</w:t>
      </w:r>
      <w:r>
        <w:rPr>
          <w:rFonts w:ascii="Times New Roman" w:hAnsi="Times New Roman"/>
          <w:b/>
          <w:sz w:val="20"/>
        </w:rPr>
        <w:t>Immaterial Subsidiary</w:t>
      </w:r>
      <w:r>
        <w:rPr>
          <w:rFonts w:ascii="Times New Roman" w:hAnsi="Times New Roman"/>
          <w:sz w:val="20"/>
        </w:rPr>
        <w:t xml:space="preserve">” means any Subsidiary of any Note Party that, as of the date of the most recent financial statements required to be delivered for any fiscal quarter pursuant to this Indenture, does not have, either individually or when taken together with all other Immaterial Subsidiaries, (a) assets in excess of 5.0% of consolidated total assets of the Company and its Subsidiaries or (b) revenues for the period of four (4) consecutive fiscal quarters ending on such date in excess of 5.0% of the consolidated revenues of the Company and its Subsidiaries for such period; </w:t>
      </w:r>
      <w:r>
        <w:rPr>
          <w:rFonts w:ascii="Times New Roman" w:hAnsi="Times New Roman"/>
          <w:i/>
          <w:sz w:val="20"/>
        </w:rPr>
        <w:t>provided</w:t>
      </w:r>
      <w:r>
        <w:rPr>
          <w:rFonts w:ascii="Times New Roman" w:hAnsi="Times New Roman"/>
          <w:sz w:val="20"/>
        </w:rPr>
        <w:t xml:space="preserve"> that at the time of the designation of any Note Party as an Immaterial Subsidiary, (i) classification pursuant to the terms of the negative covenants in this Indenture of any intercompany Indebtedness, guarantees or Liens of or in favor of such Subsidiary existing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time shall be changed to reflect that such Immaterial Subsidiary is no longer a Note Party (it being understood that no Note Party shall be permitted to be designated as an Immaterial Subsidiary if, upon such designation, the Note Parties are not in compliance with the limitations contained in the negative covenants in this Indenture), and (ii) such designation shall constitute an Investment by the Company in such Subsidiary in an amount equal to the fair market value of such Subsidiary. </w:t>
      </w:r>
    </w:p>
    <w:p>
      <w:pPr>
        <w:pStyle w:val="TextBody"/>
        <w:bidi w:val="0"/>
        <w:spacing w:before="240" w:after="0"/>
        <w:jc w:val="left"/>
        <w:rPr/>
      </w:pPr>
      <w:r>
        <w:rPr/>
        <w:t>“</w:t>
      </w:r>
      <w:r>
        <w:rPr>
          <w:rFonts w:ascii="Times New Roman" w:hAnsi="Times New Roman"/>
          <w:b/>
          <w:sz w:val="20"/>
        </w:rPr>
        <w:t>incur</w:t>
      </w:r>
      <w:r>
        <w:rPr>
          <w:rFonts w:ascii="Times New Roman" w:hAnsi="Times New Roman"/>
          <w:sz w:val="20"/>
        </w:rPr>
        <w:t xml:space="preserve">” shall have the meaning specified in Section 4.10.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means, without duplication, (a) liabilities for borrowed money or the deferred price of property or services (including reimbursement and other obligations for surety bonds and letters of credit, but excluding (i) trade accounts payable in the ordinary course of business and trade accounts payable that are not overdue for more than one hundred twenty (120) days, as to which a dispute exists and adequate reserves in conformity with GAAP have been established, (ii) earn-out obligations, (iii) expenses accrued in the ordinary course of business and (iv) purchase price holdbacks in respect of a portion of the purchase price of an asset to satisfy warranty or other unperformed obligations of the respective seller), (b) obligations evidenced by notes, bonds, debentures or similar instruments, (c) capital lease obligations, (d) Contingent Obligations, (e) other short- and long-term obligations under debt agreements, lines of credit and extensions of credit and (f) all Redeemable Capital Stock valued at the greater of its voluntary maximum fixed repurchase price and involuntary maximum fixed repurchase price plus accrued and unpaid dividends; </w:t>
      </w:r>
      <w:r>
        <w:rPr>
          <w:rFonts w:ascii="Times New Roman" w:hAnsi="Times New Roman"/>
          <w:i/>
          <w:sz w:val="20"/>
        </w:rPr>
        <w:t>provided</w:t>
      </w:r>
      <w:r>
        <w:rPr>
          <w:rFonts w:ascii="Times New Roman" w:hAnsi="Times New Roman"/>
          <w:sz w:val="20"/>
        </w:rPr>
        <w:t xml:space="preserve"> that the Indebtedness of any Person shall include the Indebtedness of any partnership or joint venture (other than a joint venture that is itself a corporation or limited liability company or the foreign equivalent thereof) in which such Person is a general partner or a joint venturer, (A) unless such Indebtedness is expressly made non-recourse to such Person or (B) except to the extent such Person’s liability for such Indebtedness is otherwise limited in recourse or amount, but only up to the amount of the value of the assets to which recourse is limited or the amount of such limit. </w:t>
      </w:r>
    </w:p>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xml:space="preserve">” means this instrument as originally executed or, if amended or supplemented as herein provided, as so amended or supplemented. </w:t>
      </w:r>
    </w:p>
    <w:p>
      <w:pPr>
        <w:pStyle w:val="TextBody"/>
        <w:bidi w:val="0"/>
        <w:spacing w:before="240" w:after="0"/>
        <w:jc w:val="left"/>
        <w:rPr/>
      </w:pPr>
      <w:r>
        <w:rPr/>
        <w:t>“</w:t>
      </w:r>
      <w:r>
        <w:rPr>
          <w:rFonts w:ascii="Times New Roman" w:hAnsi="Times New Roman"/>
          <w:b/>
          <w:sz w:val="20"/>
        </w:rPr>
        <w:t>Initial Base Conversion Rate</w:t>
      </w:r>
      <w:r>
        <w:rPr>
          <w:rFonts w:ascii="Times New Roman" w:hAnsi="Times New Roman"/>
          <w:sz w:val="20"/>
        </w:rPr>
        <w:t xml:space="preserve">” means the lesser of (A) 1,029.2716 (which amount is subject to adjustment as described in Section 14.05), and (B): </w:t>
      </w:r>
    </w:p>
    <w:p>
      <w:pPr>
        <w:pStyle w:val="TextBody"/>
        <w:bidi w:val="0"/>
        <w:spacing w:before="120" w:after="0"/>
        <w:jc w:val="left"/>
        <w:rPr>
          <w:rFonts w:ascii="Times New Roman" w:hAnsi="Times New Roman"/>
          <w:sz w:val="20"/>
        </w:rPr>
      </w:pPr>
      <w:r>
        <w:rPr>
          <w:rFonts w:ascii="Times New Roman" w:hAnsi="Times New Roman"/>
          <w:sz w:val="20"/>
        </w:rPr>
        <w:t xml:space="preserve">1,000 / (V x 1.1)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sz w:val="20"/>
        </w:rPr>
        <w:t xml:space="preserve">V = the average of the Daily VWAPs of the Common Stock for the 20 VWAP Trading Day period beginning on the VWAP Trading Day immediately after the Issue Date. </w:t>
      </w:r>
    </w:p>
    <w:p>
      <w:pPr>
        <w:pStyle w:val="TextBody"/>
        <w:bidi w:val="0"/>
        <w:spacing w:before="240" w:after="0"/>
        <w:jc w:val="left"/>
        <w:rPr/>
      </w:pPr>
      <w:r>
        <w:rPr/>
        <w:t>“</w:t>
      </w:r>
      <w:r>
        <w:rPr>
          <w:rFonts w:ascii="Times New Roman" w:hAnsi="Times New Roman"/>
          <w:b/>
          <w:sz w:val="20"/>
        </w:rPr>
        <w:t>Initial Conversion Date</w:t>
      </w:r>
      <w:r>
        <w:rPr>
          <w:rFonts w:ascii="Times New Roman" w:hAnsi="Times New Roman"/>
          <w:sz w:val="20"/>
        </w:rPr>
        <w:t xml:space="preserve">” means the later of (a) the date the Initial Base Conversion Rate has been determined and (b) the earlier of (i) the date of the first special meeting at which the Company seeks the Requisite Shareholder Approval (whether or not such approvals are obtained) and (ii) the date that is sixty-one (61) calendar days following the Issue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Intellectual Property</w:t>
      </w:r>
      <w:r>
        <w:rPr>
          <w:rFonts w:ascii="Times New Roman" w:hAnsi="Times New Roman"/>
          <w:sz w:val="20"/>
        </w:rPr>
        <w:t xml:space="preserve">” means, with respect to any Person, all of such Person’s right, title, and interest in and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its Copyrights, Trademarks and Patents; </w:t>
      </w:r>
    </w:p>
    <w:p>
      <w:pPr>
        <w:pStyle w:val="TextBody"/>
        <w:bidi w:val="0"/>
        <w:spacing w:before="240" w:after="0"/>
        <w:jc w:val="left"/>
        <w:rPr>
          <w:rFonts w:ascii="Times New Roman" w:hAnsi="Times New Roman"/>
          <w:sz w:val="20"/>
        </w:rPr>
      </w:pPr>
      <w:r>
        <w:rPr>
          <w:rFonts w:ascii="Times New Roman" w:hAnsi="Times New Roman"/>
          <w:sz w:val="20"/>
        </w:rPr>
        <w:t xml:space="preserve">(b) any and all trade secrets and trade secret rights, including, without limitation, any rights to unpatented inventions, know-how and operating manuals; </w:t>
      </w:r>
    </w:p>
    <w:p>
      <w:pPr>
        <w:pStyle w:val="TextBody"/>
        <w:bidi w:val="0"/>
        <w:spacing w:before="240" w:after="0"/>
        <w:jc w:val="left"/>
        <w:rPr>
          <w:rFonts w:ascii="Times New Roman" w:hAnsi="Times New Roman"/>
          <w:sz w:val="20"/>
        </w:rPr>
      </w:pPr>
      <w:r>
        <w:rPr>
          <w:rFonts w:ascii="Times New Roman" w:hAnsi="Times New Roman"/>
          <w:sz w:val="20"/>
        </w:rPr>
        <w:t xml:space="preserve">(c) any and all source code; </w:t>
      </w:r>
    </w:p>
    <w:p>
      <w:pPr>
        <w:pStyle w:val="TextBody"/>
        <w:bidi w:val="0"/>
        <w:spacing w:before="240" w:after="0"/>
        <w:jc w:val="left"/>
        <w:rPr>
          <w:rFonts w:ascii="Times New Roman" w:hAnsi="Times New Roman"/>
          <w:sz w:val="20"/>
        </w:rPr>
      </w:pPr>
      <w:r>
        <w:rPr>
          <w:rFonts w:ascii="Times New Roman" w:hAnsi="Times New Roman"/>
          <w:sz w:val="20"/>
        </w:rPr>
        <w:t xml:space="preserve">(d) any and all design rights which may be available to such Person; </w:t>
      </w:r>
    </w:p>
    <w:p>
      <w:pPr>
        <w:pStyle w:val="TextBody"/>
        <w:bidi w:val="0"/>
        <w:spacing w:before="240" w:after="0"/>
        <w:jc w:val="left"/>
        <w:rPr>
          <w:rFonts w:ascii="Times New Roman" w:hAnsi="Times New Roman"/>
          <w:sz w:val="20"/>
        </w:rPr>
      </w:pPr>
      <w:r>
        <w:rPr>
          <w:rFonts w:ascii="Times New Roman" w:hAnsi="Times New Roman"/>
          <w:sz w:val="20"/>
        </w:rPr>
        <w:t xml:space="preserve">(e) any and all claims for damages by way of past, present and future infringement of any of the foregoing, with the right, but not the obligation, to sue for and collect such damages for said use or infringement of the Intellectual Property rights identified above; and </w:t>
      </w:r>
    </w:p>
    <w:p>
      <w:pPr>
        <w:pStyle w:val="TextBody"/>
        <w:bidi w:val="0"/>
        <w:spacing w:before="240" w:after="0"/>
        <w:jc w:val="left"/>
        <w:rPr>
          <w:rFonts w:ascii="Times New Roman" w:hAnsi="Times New Roman"/>
          <w:sz w:val="20"/>
        </w:rPr>
      </w:pPr>
      <w:r>
        <w:rPr>
          <w:rFonts w:ascii="Times New Roman" w:hAnsi="Times New Roman"/>
          <w:sz w:val="20"/>
        </w:rPr>
        <w:t xml:space="preserve">(f) all amendments, renewals and extensions of any of its Copyrights, Trademarks or Patents. </w:t>
      </w:r>
    </w:p>
    <w:p>
      <w:pPr>
        <w:pStyle w:val="TextBody"/>
        <w:bidi w:val="0"/>
        <w:spacing w:before="240" w:after="0"/>
        <w:jc w:val="left"/>
        <w:rPr/>
      </w:pPr>
      <w:r>
        <w:rPr/>
        <w:t>“</w:t>
      </w:r>
      <w:r>
        <w:rPr>
          <w:rFonts w:ascii="Times New Roman" w:hAnsi="Times New Roman"/>
          <w:b/>
          <w:sz w:val="20"/>
        </w:rPr>
        <w:t>Intercompany Debt</w:t>
      </w:r>
      <w:r>
        <w:rPr>
          <w:rFonts w:ascii="Times New Roman" w:hAnsi="Times New Roman"/>
          <w:sz w:val="20"/>
        </w:rPr>
        <w:t xml:space="preserve">” means any Indebtedness between or among the Company, any Note Party and/or any Subsidiary of the Company or any Note Party. </w:t>
      </w:r>
    </w:p>
    <w:p>
      <w:pPr>
        <w:pStyle w:val="TextBody"/>
        <w:bidi w:val="0"/>
        <w:spacing w:before="240" w:after="0"/>
        <w:jc w:val="left"/>
        <w:rPr/>
      </w:pPr>
      <w:r>
        <w:rPr/>
        <w:t>“</w:t>
      </w:r>
      <w:r>
        <w:rPr>
          <w:rFonts w:ascii="Times New Roman" w:hAnsi="Times New Roman"/>
          <w:b/>
          <w:sz w:val="20"/>
        </w:rPr>
        <w:t>Intercreditor Agreement</w:t>
      </w:r>
      <w:r>
        <w:rPr>
          <w:rFonts w:ascii="Times New Roman" w:hAnsi="Times New Roman"/>
          <w:sz w:val="20"/>
        </w:rPr>
        <w:t xml:space="preserve">” shall have the meaning specified in Section 19.07. </w:t>
      </w:r>
    </w:p>
    <w:p>
      <w:pPr>
        <w:pStyle w:val="TextBody"/>
        <w:bidi w:val="0"/>
        <w:spacing w:before="240" w:after="0"/>
        <w:jc w:val="left"/>
        <w:rPr/>
      </w:pPr>
      <w:r>
        <w:rPr/>
        <w:t>“</w:t>
      </w:r>
      <w:r>
        <w:rPr>
          <w:rFonts w:ascii="Times New Roman" w:hAnsi="Times New Roman"/>
          <w:b/>
          <w:sz w:val="20"/>
        </w:rPr>
        <w:t>Interest Determination Notice</w:t>
      </w:r>
      <w:r>
        <w:rPr>
          <w:rFonts w:ascii="Times New Roman" w:hAnsi="Times New Roman"/>
          <w:sz w:val="20"/>
        </w:rPr>
        <w:t xml:space="preserve">” shall have the meaning specified in Section 2.03(b). </w:t>
      </w:r>
    </w:p>
    <w:p>
      <w:pPr>
        <w:pStyle w:val="TextBody"/>
        <w:bidi w:val="0"/>
        <w:spacing w:before="240" w:after="0"/>
        <w:jc w:val="left"/>
        <w:rPr/>
      </w:pPr>
      <w:r>
        <w:rPr/>
        <w:t>“</w:t>
      </w:r>
      <w:r>
        <w:rPr>
          <w:rFonts w:ascii="Times New Roman" w:hAnsi="Times New Roman"/>
          <w:b/>
          <w:sz w:val="20"/>
        </w:rPr>
        <w:t>Interest Payment Date</w:t>
      </w:r>
      <w:r>
        <w:rPr>
          <w:rFonts w:ascii="Times New Roman" w:hAnsi="Times New Roman"/>
          <w:sz w:val="20"/>
        </w:rPr>
        <w:t xml:space="preserve">” means each May 1 and November 1 of each year, beginning on May 1, 2026. </w:t>
      </w:r>
    </w:p>
    <w:p>
      <w:pPr>
        <w:pStyle w:val="TextBody"/>
        <w:bidi w:val="0"/>
        <w:spacing w:before="240" w:after="0"/>
        <w:jc w:val="left"/>
        <w:rPr/>
      </w:pPr>
      <w:r>
        <w:rPr/>
        <w:t>“</w:t>
      </w:r>
      <w:r>
        <w:rPr>
          <w:rFonts w:ascii="Times New Roman" w:hAnsi="Times New Roman"/>
          <w:b/>
          <w:sz w:val="20"/>
        </w:rPr>
        <w:t>Interest Period</w:t>
      </w:r>
      <w:r>
        <w:rPr>
          <w:rFonts w:ascii="Times New Roman" w:hAnsi="Times New Roman"/>
          <w:sz w:val="20"/>
        </w:rPr>
        <w:t xml:space="preserve">” means the period commencing on and including an Interest Payment Date and ending on and including the day immediately preceding the next succeeding Interest Payment Date, with the exception that the first Interest Period shall commence on and include the Issue Date. </w:t>
      </w:r>
    </w:p>
    <w:p>
      <w:pPr>
        <w:pStyle w:val="TextBody"/>
        <w:bidi w:val="0"/>
        <w:spacing w:before="240" w:after="0"/>
        <w:jc w:val="left"/>
        <w:rPr/>
      </w:pPr>
      <w:r>
        <w:rPr/>
        <w:t>“</w:t>
      </w:r>
      <w:r>
        <w:rPr>
          <w:rFonts w:ascii="Times New Roman" w:hAnsi="Times New Roman"/>
          <w:b/>
          <w:sz w:val="20"/>
        </w:rPr>
        <w:t>Internal Revenue Code</w:t>
      </w:r>
      <w:r>
        <w:rPr>
          <w:rFonts w:ascii="Times New Roman" w:hAnsi="Times New Roman"/>
          <w:sz w:val="20"/>
        </w:rPr>
        <w:t xml:space="preserve">” means the U.S. Internal Revenue Code of 1986, and the rules and regulations promulgated thereunder, each as amended or modified from time to time. </w:t>
      </w:r>
    </w:p>
    <w:p>
      <w:pPr>
        <w:pStyle w:val="TextBody"/>
        <w:bidi w:val="0"/>
        <w:spacing w:before="240" w:after="0"/>
        <w:jc w:val="left"/>
        <w:rPr/>
      </w:pPr>
      <w:r>
        <w:rPr/>
        <w:t>“</w:t>
      </w:r>
      <w:r>
        <w:rPr>
          <w:rFonts w:ascii="Times New Roman" w:hAnsi="Times New Roman"/>
          <w:b/>
          <w:sz w:val="20"/>
        </w:rPr>
        <w:t>Inventory</w:t>
      </w:r>
      <w:r>
        <w:rPr>
          <w:rFonts w:ascii="Times New Roman" w:hAnsi="Times New Roman"/>
          <w:sz w:val="20"/>
        </w:rPr>
        <w:t xml:space="preserve">” means all “inventory” as defined in the Code in effect on the date of this Indenture with such additions to such term as may hereafter be made, and includes without limitation all merchandise, raw materials, parts, supplies, packing and shipping materials, work in process and finished products, including without limitation such inventory as is temporarily out of the Company’s custody or possession or in transit and including any returned goods and any documents of title representing any of the above. </w:t>
      </w:r>
    </w:p>
    <w:p>
      <w:pPr>
        <w:pStyle w:val="TextBody"/>
        <w:bidi w:val="0"/>
        <w:spacing w:before="240" w:after="0"/>
        <w:jc w:val="left"/>
        <w:rPr/>
      </w:pPr>
      <w:r>
        <w:rPr/>
        <w:t>“</w:t>
      </w:r>
      <w:r>
        <w:rPr>
          <w:rFonts w:ascii="Times New Roman" w:hAnsi="Times New Roman"/>
          <w:b/>
          <w:sz w:val="20"/>
        </w:rPr>
        <w:t>Investment</w:t>
      </w:r>
      <w:r>
        <w:rPr>
          <w:rFonts w:ascii="Times New Roman" w:hAnsi="Times New Roman"/>
          <w:sz w:val="20"/>
        </w:rPr>
        <w:t xml:space="preserve">” means any beneficial ownership interest in any Person (including stock, partnership, membership, or other ownership interest or other equity securities), and any loan, advance or capital contribution to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Junior Lien Debt</w:t>
      </w:r>
      <w:r>
        <w:rPr>
          <w:rFonts w:ascii="Times New Roman" w:hAnsi="Times New Roman"/>
          <w:sz w:val="20"/>
        </w:rPr>
        <w:t xml:space="preserve">” means any Indebtedness and guarantees thereof that is incurred, issued or guaranteed by the Company and/or any Guarantor which Indebtedness and guarantees are secured by Liens on a basis junior to the Second Lien Obligations. </w:t>
      </w:r>
    </w:p>
    <w:p>
      <w:pPr>
        <w:pStyle w:val="TextBody"/>
        <w:bidi w:val="0"/>
        <w:spacing w:before="240" w:after="0"/>
        <w:jc w:val="left"/>
        <w:rPr/>
      </w:pPr>
      <w:r>
        <w:rPr/>
        <w:t>“</w:t>
      </w:r>
      <w:r>
        <w:rPr>
          <w:rFonts w:ascii="Times New Roman" w:hAnsi="Times New Roman"/>
          <w:b/>
          <w:sz w:val="20"/>
        </w:rPr>
        <w:t>Last Reported Sale Price</w:t>
      </w:r>
      <w:r>
        <w:rPr>
          <w:rFonts w:ascii="Times New Roman" w:hAnsi="Times New Roman"/>
          <w:sz w:val="20"/>
        </w:rPr>
        <w:t>” of the Common Stock on any date means the closing sale price (or if no closing sale price is reported, the average of the bid and ask prices or, if more than one in either case, the average of the average bid and the average ask prices) per share of the Common Stock on that date as reported in composite transactions for the principal U.S. national or regional securities exchange on which the Common Stock is traded. If the Common Stock is not listed for trading on a U.S. national or regional securities exchange on the relevant date, the “</w:t>
      </w:r>
      <w:r>
        <w:rPr>
          <w:rFonts w:ascii="Times New Roman" w:hAnsi="Times New Roman"/>
          <w:b/>
          <w:sz w:val="20"/>
        </w:rPr>
        <w:t>Last Reported Sale Price</w:t>
      </w:r>
      <w:r>
        <w:rPr>
          <w:rFonts w:ascii="Times New Roman" w:hAnsi="Times New Roman"/>
          <w:sz w:val="20"/>
        </w:rPr>
        <w:t>” will be the last quoted bid price per share of the Common Stock in the over-the-counter market on the relevant date as reported by OTC Markets Group Inc. or a similar organization. If the Common Stock is not so quoted, the “</w:t>
      </w:r>
      <w:r>
        <w:rPr>
          <w:rFonts w:ascii="Times New Roman" w:hAnsi="Times New Roman"/>
          <w:b/>
          <w:sz w:val="20"/>
        </w:rPr>
        <w:t>Last Reported Sale Price</w:t>
      </w:r>
      <w:r>
        <w:rPr>
          <w:rFonts w:ascii="Times New Roman" w:hAnsi="Times New Roman"/>
          <w:sz w:val="20"/>
        </w:rPr>
        <w:t xml:space="preserve">” will be the average of the mid-point of the last bid and ask prices per share of the Common Stock on the relevant date from a nationally recognized independent investment banking firm selected by the Company for this purpose. </w:t>
      </w:r>
    </w:p>
    <w:p>
      <w:pPr>
        <w:pStyle w:val="TextBody"/>
        <w:bidi w:val="0"/>
        <w:spacing w:before="240" w:after="0"/>
        <w:jc w:val="left"/>
        <w:rPr/>
      </w:pPr>
      <w:r>
        <w:rPr/>
        <w:t>“</w:t>
      </w:r>
      <w:r>
        <w:rPr>
          <w:rFonts w:ascii="Times New Roman" w:hAnsi="Times New Roman"/>
          <w:b/>
          <w:sz w:val="20"/>
        </w:rPr>
        <w:t>LCT Election</w:t>
      </w:r>
      <w:r>
        <w:rPr>
          <w:rFonts w:ascii="Times New Roman" w:hAnsi="Times New Roman"/>
          <w:sz w:val="20"/>
        </w:rPr>
        <w:t xml:space="preserve">” shall have the meaning specified in Section 1.03. </w:t>
      </w:r>
    </w:p>
    <w:p>
      <w:pPr>
        <w:pStyle w:val="TextBody"/>
        <w:bidi w:val="0"/>
        <w:spacing w:before="240" w:after="0"/>
        <w:jc w:val="left"/>
        <w:rPr/>
      </w:pPr>
      <w:r>
        <w:rPr/>
        <w:t>“</w:t>
      </w:r>
      <w:r>
        <w:rPr>
          <w:rFonts w:ascii="Times New Roman" w:hAnsi="Times New Roman"/>
          <w:b/>
          <w:sz w:val="20"/>
        </w:rPr>
        <w:t>LCT Test Date</w:t>
      </w:r>
      <w:r>
        <w:rPr>
          <w:rFonts w:ascii="Times New Roman" w:hAnsi="Times New Roman"/>
          <w:sz w:val="20"/>
        </w:rPr>
        <w:t xml:space="preserve">” shall have the meaning specified in Section 1.03. </w:t>
      </w:r>
    </w:p>
    <w:p>
      <w:pPr>
        <w:pStyle w:val="TextBody"/>
        <w:bidi w:val="0"/>
        <w:spacing w:before="240" w:after="0"/>
        <w:jc w:val="left"/>
        <w:rPr/>
      </w:pPr>
      <w:r>
        <w:rPr/>
        <w:t>“</w:t>
      </w:r>
      <w:r>
        <w:rPr>
          <w:rFonts w:ascii="Times New Roman" w:hAnsi="Times New Roman"/>
          <w:b/>
          <w:sz w:val="20"/>
        </w:rPr>
        <w:t>Liability Management Exercise</w:t>
      </w:r>
      <w:r>
        <w:rPr>
          <w:rFonts w:ascii="Times New Roman" w:hAnsi="Times New Roman"/>
          <w:sz w:val="20"/>
        </w:rPr>
        <w:t>” means any restructuring, reorganization, rescheduling, recapitalization, reduction, cancellation, termination, elimination, refinancing, retirement, exchange, repurchase or defeasance of the Notes with other indebtedness of the Company or a Subsidiary that is temporally, contractually or structurally senior (including as to right of payment, lien priority or additional collateral) to the Notes (including, for the avoidance of doubt, through any incurrence of Indebtedness by an Affiliate of the Company that is not a Guarantor) (such other indebtedness, a “</w:t>
      </w:r>
      <w:r>
        <w:rPr>
          <w:rFonts w:ascii="Times New Roman" w:hAnsi="Times New Roman"/>
          <w:b/>
          <w:sz w:val="20"/>
        </w:rPr>
        <w:t>Senior Financing</w:t>
      </w:r>
      <w:r>
        <w:rPr>
          <w:rFonts w:ascii="Times New Roman" w:hAnsi="Times New Roman"/>
          <w:sz w:val="20"/>
        </w:rPr>
        <w:t xml:space="preserve">”); unless each holder of Notes has been (or will be) offered a bona fide right to fund, provide, acquire or otherwise participate in such Senior Financing, on a pro rata basis, on not less than five (5) Business Days’ notice prior to the deadline established to elect to participate in such Senior Financing on the same economic terms received by the Holders of Notes (or their Affiliates) participating in such Senior Financing </w:t>
      </w:r>
      <w:r>
        <w:rPr>
          <w:rFonts w:ascii="Times New Roman" w:hAnsi="Times New Roman"/>
          <w:i/>
          <w:sz w:val="20"/>
        </w:rPr>
        <w:t>provided</w:t>
      </w:r>
      <w:r>
        <w:rPr>
          <w:rFonts w:ascii="Times New Roman" w:hAnsi="Times New Roman"/>
          <w:sz w:val="20"/>
        </w:rPr>
        <w:t xml:space="preserve"> that such economic terms shall not include bona fide backstop and similar fees (including fees paid to Holders of Notes as compensation for backstopping any related debt or equity rights offering) incurred, and the reimbursement of counsel fees and other expenses incurred, in connection with such Senior Financing or the negotiation of the transactions in connection with which the Senior Financing is to be (or was) incurred.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means a claim, mortgage, deed of trust, lien, pledge, hypothecation, charge, security interest or other encumbrance of any kind, whether voluntarily incurred or arising by operation of law or otherwise against any property. </w:t>
      </w:r>
    </w:p>
    <w:p>
      <w:pPr>
        <w:pStyle w:val="TextBody"/>
        <w:bidi w:val="0"/>
        <w:spacing w:before="240" w:after="0"/>
        <w:jc w:val="left"/>
        <w:rPr/>
      </w:pPr>
      <w:r>
        <w:rPr/>
        <w:t>“</w:t>
      </w:r>
      <w:r>
        <w:rPr>
          <w:rFonts w:ascii="Times New Roman" w:hAnsi="Times New Roman"/>
          <w:b/>
          <w:sz w:val="20"/>
        </w:rPr>
        <w:t>Limited Condition Transaction</w:t>
      </w:r>
      <w:r>
        <w:rPr>
          <w:rFonts w:ascii="Times New Roman" w:hAnsi="Times New Roman"/>
          <w:sz w:val="20"/>
        </w:rPr>
        <w:t xml:space="preserve">” means (a) any Investment or acquisition (whether by merger, amalgamation, consolidation or other business combination or the acquisition of capital stock or otherwise), whose consummation is not conditioned on the availability of, or on obtaining, third-party financing and (b) any redemption, repurchase, defeasance, satisfaction and discharge or repayment of Indebtedness requiring notice in advance of such redemption, repurchase, defeasance, satisfaction and discharge or repayment.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Liquidity</w:t>
      </w:r>
      <w:r>
        <w:rPr>
          <w:rFonts w:ascii="Times New Roman" w:hAnsi="Times New Roman"/>
          <w:sz w:val="20"/>
        </w:rPr>
        <w:t xml:space="preserve">” means, as of any date of determination, the sum of (a) the principal amount of advances available to be drawn under the Loan Agreement at such time </w:t>
      </w:r>
      <w:r>
        <w:rPr>
          <w:rFonts w:ascii="Times New Roman" w:hAnsi="Times New Roman"/>
          <w:i/>
          <w:sz w:val="20"/>
        </w:rPr>
        <w:t>plus</w:t>
      </w:r>
      <w:r>
        <w:rPr>
          <w:rFonts w:ascii="Times New Roman" w:hAnsi="Times New Roman"/>
          <w:sz w:val="20"/>
        </w:rPr>
        <w:t xml:space="preserve"> (b) unrestricted cash and Cash Equivalents of the Company and its consolidated Subsidiaries as of such date. </w:t>
      </w:r>
    </w:p>
    <w:p>
      <w:pPr>
        <w:pStyle w:val="TextBody"/>
        <w:bidi w:val="0"/>
        <w:spacing w:before="240" w:after="0"/>
        <w:jc w:val="left"/>
        <w:rPr/>
      </w:pPr>
      <w:r>
        <w:rPr/>
        <w:t>“</w:t>
      </w:r>
      <w:r>
        <w:rPr>
          <w:rFonts w:ascii="Times New Roman" w:hAnsi="Times New Roman"/>
          <w:b/>
          <w:sz w:val="20"/>
        </w:rPr>
        <w:t>Liquidity</w:t>
      </w:r>
      <w:r>
        <w:rPr>
          <w:rFonts w:ascii="Times New Roman" w:hAnsi="Times New Roman"/>
          <w:sz w:val="20"/>
        </w:rPr>
        <w:t xml:space="preserve"> </w:t>
      </w:r>
      <w:r>
        <w:rPr>
          <w:rFonts w:ascii="Times New Roman" w:hAnsi="Times New Roman"/>
          <w:b/>
          <w:sz w:val="20"/>
        </w:rPr>
        <w:t>Conditions</w:t>
      </w:r>
      <w:r>
        <w:rPr>
          <w:rFonts w:ascii="Times New Roman" w:hAnsi="Times New Roman"/>
          <w:sz w:val="20"/>
        </w:rPr>
        <w:t xml:space="preserve">” means, as of a given date, with respect to an issuance of Common Stock, that: (a) the Common Stock is listed or quoted on any of The Nasdaq Global Select Market, The Nasdaq Global Market or The New York Stock Exchange; (b) such issuance does not violate the rules of such exchange on which the Common Stock is listed or quoted; (c) no Default or Event of Default has occurred and is continuing under this Indenture; (d) a sufficient number of shares of Common Stock being authorized under the Company’s restated certificate of incorporation (less the amount of any reserves on the books and records of the Transfer Agent for such shares) to permit such issuance and (e) if such shares of Common Stock would constitute “restricted securities,” as such term is used in Rule 144, at the time of the issuance thereof, a resale registration statement will be effective providing for the resale of such common shares by such Holder on a registered basis; </w:t>
      </w:r>
      <w:r>
        <w:rPr>
          <w:rFonts w:ascii="Times New Roman" w:hAnsi="Times New Roman"/>
          <w:i/>
          <w:sz w:val="20"/>
        </w:rPr>
        <w:t>provided</w:t>
      </w:r>
      <w:r>
        <w:rPr>
          <w:rFonts w:ascii="Times New Roman" w:hAnsi="Times New Roman"/>
          <w:sz w:val="20"/>
        </w:rPr>
        <w:t xml:space="preserve"> that such holder receiving the shares has, in advance of such issuance, timely provided the Company with any information and documentation it reasonably requests in connection with such registration. </w:t>
      </w:r>
    </w:p>
    <w:p>
      <w:pPr>
        <w:pStyle w:val="TextBody"/>
        <w:bidi w:val="0"/>
        <w:spacing w:before="240" w:after="0"/>
        <w:jc w:val="left"/>
        <w:rPr/>
      </w:pPr>
      <w:r>
        <w:rPr/>
        <w:t>“</w:t>
      </w:r>
      <w:r>
        <w:rPr>
          <w:rFonts w:ascii="Times New Roman" w:hAnsi="Times New Roman"/>
          <w:b/>
          <w:sz w:val="20"/>
        </w:rPr>
        <w:t>Loan Agreement</w:t>
      </w:r>
      <w:r>
        <w:rPr>
          <w:rFonts w:ascii="Times New Roman" w:hAnsi="Times New Roman"/>
          <w:sz w:val="20"/>
        </w:rPr>
        <w:t xml:space="preserve">” means the Loan and Security Agreement, dated as of May 7, 2025, among Unprocessed Foods, LLC, as a lender, the other lenders party thereto from time to time, the Company, as the borrower, and the guarantors party thereto from time to time, as amended, restated, amended and restated, supplemented, modified, extended, refinanced or replaced from time to time (including, without limitation, with any additional or alternate lender). </w:t>
      </w:r>
    </w:p>
    <w:p>
      <w:pPr>
        <w:pStyle w:val="TextBody"/>
        <w:bidi w:val="0"/>
        <w:spacing w:before="240" w:after="0"/>
        <w:jc w:val="left"/>
        <w:rPr/>
      </w:pPr>
      <w:r>
        <w:rPr/>
        <w:t>“</w:t>
      </w:r>
      <w:r>
        <w:rPr>
          <w:rFonts w:ascii="Times New Roman" w:hAnsi="Times New Roman"/>
          <w:b/>
          <w:sz w:val="20"/>
        </w:rPr>
        <w:t>Make-Whole Fundamental Change</w:t>
      </w:r>
      <w:r>
        <w:rPr>
          <w:rFonts w:ascii="Times New Roman" w:hAnsi="Times New Roman"/>
          <w:sz w:val="20"/>
        </w:rPr>
        <w:t xml:space="preserve">” means a Fundamental Change (determined after giving effect to the proviso immediately after clause (d) of the definition thereof, but without regard to the proviso to clause (b) of such definition). </w:t>
      </w:r>
    </w:p>
    <w:p>
      <w:pPr>
        <w:pStyle w:val="TextBody"/>
        <w:bidi w:val="0"/>
        <w:spacing w:before="240" w:after="0"/>
        <w:jc w:val="left"/>
        <w:rPr/>
      </w:pPr>
      <w:r>
        <w:rPr/>
        <w:t>“</w:t>
      </w:r>
      <w:r>
        <w:rPr>
          <w:rFonts w:ascii="Times New Roman" w:hAnsi="Times New Roman"/>
          <w:b/>
          <w:sz w:val="20"/>
        </w:rPr>
        <w:t>Make-Whole Fundamental Change Conversion Period</w:t>
      </w:r>
      <w:r>
        <w:rPr>
          <w:rFonts w:ascii="Times New Roman" w:hAnsi="Times New Roman"/>
          <w:sz w:val="20"/>
        </w:rPr>
        <w:t xml:space="preserve">” means the period from, and including, the effective date of such Make-Whole Fundamental Change to, and including, the 35th Trading Day after such Make-Whole Fundamental Change effective date (or, if such Make-Whole Fundamental Change also constitutes a Fundamental Change (other than an Exempted Fundamental Change), to, but excluding, the related Fundamental Change Repurchase Date). </w:t>
      </w:r>
    </w:p>
    <w:p>
      <w:pPr>
        <w:pStyle w:val="TextBody"/>
        <w:bidi w:val="0"/>
        <w:spacing w:before="240" w:after="0"/>
        <w:jc w:val="left"/>
        <w:rPr/>
      </w:pPr>
      <w:r>
        <w:rPr/>
        <w:t>“</w:t>
      </w:r>
      <w:r>
        <w:rPr>
          <w:rFonts w:ascii="Times New Roman" w:hAnsi="Times New Roman"/>
          <w:b/>
          <w:sz w:val="20"/>
        </w:rPr>
        <w:t>Mandatory Conversion</w:t>
      </w:r>
      <w:r>
        <w:rPr>
          <w:rFonts w:ascii="Times New Roman" w:hAnsi="Times New Roman"/>
          <w:sz w:val="20"/>
        </w:rPr>
        <w:t xml:space="preserve">” shall have the meaning specified in Section 16.01. </w:t>
      </w:r>
    </w:p>
    <w:p>
      <w:pPr>
        <w:pStyle w:val="TextBody"/>
        <w:bidi w:val="0"/>
        <w:spacing w:before="240" w:after="0"/>
        <w:jc w:val="left"/>
        <w:rPr/>
      </w:pPr>
      <w:r>
        <w:rPr/>
        <w:t>“</w:t>
      </w:r>
      <w:r>
        <w:rPr>
          <w:rFonts w:ascii="Times New Roman" w:hAnsi="Times New Roman"/>
          <w:b/>
          <w:sz w:val="20"/>
        </w:rPr>
        <w:t>Mandatory Conversion Date</w:t>
      </w:r>
      <w:r>
        <w:rPr>
          <w:rFonts w:ascii="Times New Roman" w:hAnsi="Times New Roman"/>
          <w:sz w:val="20"/>
        </w:rPr>
        <w:t xml:space="preserve">” shall have the meaning specified in Section 16.02. </w:t>
      </w:r>
    </w:p>
    <w:p>
      <w:pPr>
        <w:pStyle w:val="TextBody"/>
        <w:bidi w:val="0"/>
        <w:spacing w:before="240" w:after="0"/>
        <w:jc w:val="left"/>
        <w:rPr/>
      </w:pPr>
      <w:r>
        <w:rPr/>
        <w:t>“</w:t>
      </w:r>
      <w:r>
        <w:rPr>
          <w:rFonts w:ascii="Times New Roman" w:hAnsi="Times New Roman"/>
          <w:b/>
          <w:sz w:val="20"/>
        </w:rPr>
        <w:t>Mandatory Conversion Notice</w:t>
      </w:r>
      <w:r>
        <w:rPr>
          <w:rFonts w:ascii="Times New Roman" w:hAnsi="Times New Roman"/>
          <w:sz w:val="20"/>
        </w:rPr>
        <w:t xml:space="preserve">” shall have the meaning specified in Section 16.02. </w:t>
      </w:r>
    </w:p>
    <w:p>
      <w:pPr>
        <w:pStyle w:val="TextBody"/>
        <w:bidi w:val="0"/>
        <w:spacing w:before="240" w:after="0"/>
        <w:jc w:val="left"/>
        <w:rPr/>
      </w:pPr>
      <w:r>
        <w:rPr/>
        <w:t>“</w:t>
      </w:r>
      <w:r>
        <w:rPr>
          <w:rFonts w:ascii="Times New Roman" w:hAnsi="Times New Roman"/>
          <w:b/>
          <w:sz w:val="20"/>
        </w:rPr>
        <w:t>Mandatory Conversion Notice Date</w:t>
      </w:r>
      <w:r>
        <w:rPr>
          <w:rFonts w:ascii="Times New Roman" w:hAnsi="Times New Roman"/>
          <w:sz w:val="20"/>
        </w:rPr>
        <w:t xml:space="preserve">” means the date on which a Mandatory Conversion Notice is delivered pursuant to Section 16.02. </w:t>
      </w:r>
    </w:p>
    <w:p>
      <w:pPr>
        <w:pStyle w:val="TextBody"/>
        <w:bidi w:val="0"/>
        <w:spacing w:before="240" w:after="0"/>
        <w:jc w:val="left"/>
        <w:rPr/>
      </w:pPr>
      <w:r>
        <w:rPr/>
        <w:t>“</w:t>
      </w:r>
      <w:r>
        <w:rPr>
          <w:rFonts w:ascii="Times New Roman" w:hAnsi="Times New Roman"/>
          <w:b/>
          <w:sz w:val="20"/>
        </w:rPr>
        <w:t>Mandatory Equitization</w:t>
      </w:r>
      <w:r>
        <w:rPr>
          <w:rFonts w:ascii="Times New Roman" w:hAnsi="Times New Roman"/>
          <w:sz w:val="20"/>
        </w:rPr>
        <w:t xml:space="preserve">” shall have the meaning specified in Section 17.01.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Mandatory Equitization Date</w:t>
      </w:r>
      <w:r>
        <w:rPr>
          <w:rFonts w:ascii="Times New Roman" w:hAnsi="Times New Roman"/>
          <w:sz w:val="20"/>
        </w:rPr>
        <w:t xml:space="preserve">” shall have the meaning specified in Section 17.02. </w:t>
      </w:r>
    </w:p>
    <w:p>
      <w:pPr>
        <w:pStyle w:val="TextBody"/>
        <w:bidi w:val="0"/>
        <w:spacing w:before="240" w:after="0"/>
        <w:jc w:val="left"/>
        <w:rPr/>
      </w:pPr>
      <w:r>
        <w:rPr/>
        <w:t>“</w:t>
      </w:r>
      <w:r>
        <w:rPr>
          <w:rFonts w:ascii="Times New Roman" w:hAnsi="Times New Roman"/>
          <w:b/>
          <w:sz w:val="20"/>
        </w:rPr>
        <w:t>Mandatory Equitization Determination Period</w:t>
      </w:r>
      <w:r>
        <w:rPr>
          <w:rFonts w:ascii="Times New Roman" w:hAnsi="Times New Roman"/>
          <w:sz w:val="20"/>
        </w:rPr>
        <w:t xml:space="preserve">” shall have the meaning specified in Section 17.01(b). </w:t>
      </w:r>
    </w:p>
    <w:p>
      <w:pPr>
        <w:pStyle w:val="TextBody"/>
        <w:bidi w:val="0"/>
        <w:spacing w:before="240" w:after="0"/>
        <w:jc w:val="left"/>
        <w:rPr/>
      </w:pPr>
      <w:r>
        <w:rPr/>
        <w:t>“</w:t>
      </w:r>
      <w:r>
        <w:rPr>
          <w:rFonts w:ascii="Times New Roman" w:hAnsi="Times New Roman"/>
          <w:b/>
          <w:sz w:val="20"/>
        </w:rPr>
        <w:t>Mandatory Equitization Notice</w:t>
      </w:r>
      <w:r>
        <w:rPr>
          <w:rFonts w:ascii="Times New Roman" w:hAnsi="Times New Roman"/>
          <w:sz w:val="20"/>
        </w:rPr>
        <w:t xml:space="preserve">” shall have the meaning specified in Section 17.02. </w:t>
      </w:r>
    </w:p>
    <w:p>
      <w:pPr>
        <w:pStyle w:val="TextBody"/>
        <w:bidi w:val="0"/>
        <w:spacing w:before="240" w:after="0"/>
        <w:jc w:val="left"/>
        <w:rPr/>
      </w:pPr>
      <w:r>
        <w:rPr/>
        <w:t>“</w:t>
      </w:r>
      <w:r>
        <w:rPr>
          <w:rFonts w:ascii="Times New Roman" w:hAnsi="Times New Roman"/>
          <w:b/>
          <w:sz w:val="20"/>
        </w:rPr>
        <w:t>Mandatory Equitization Notice Date</w:t>
      </w:r>
      <w:r>
        <w:rPr>
          <w:rFonts w:ascii="Times New Roman" w:hAnsi="Times New Roman"/>
          <w:sz w:val="20"/>
        </w:rPr>
        <w:t xml:space="preserve">” means the date on which a Mandatory Equitization Notice is delivered pursuant to Section 17.02. </w:t>
      </w:r>
    </w:p>
    <w:p>
      <w:pPr>
        <w:pStyle w:val="TextBody"/>
        <w:bidi w:val="0"/>
        <w:spacing w:before="240" w:after="0"/>
        <w:jc w:val="left"/>
        <w:rPr/>
      </w:pPr>
      <w:r>
        <w:rPr/>
        <w:t>“</w:t>
      </w:r>
      <w:r>
        <w:rPr>
          <w:rFonts w:ascii="Times New Roman" w:hAnsi="Times New Roman"/>
          <w:b/>
          <w:sz w:val="20"/>
        </w:rPr>
        <w:t>Market Disruption Event</w:t>
      </w:r>
      <w:r>
        <w:rPr>
          <w:rFonts w:ascii="Times New Roman" w:hAnsi="Times New Roman"/>
          <w:sz w:val="20"/>
        </w:rPr>
        <w:t xml:space="preserve">” means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 </w:t>
      </w:r>
    </w:p>
    <w:p>
      <w:pPr>
        <w:pStyle w:val="TextBody"/>
        <w:bidi w:val="0"/>
        <w:spacing w:before="240" w:after="0"/>
        <w:jc w:val="left"/>
        <w:rPr/>
      </w:pPr>
      <w:r>
        <w:rPr/>
        <w:t>“</w:t>
      </w:r>
      <w:r>
        <w:rPr>
          <w:rFonts w:ascii="Times New Roman" w:hAnsi="Times New Roman"/>
          <w:b/>
          <w:sz w:val="20"/>
        </w:rPr>
        <w:t>Material Property</w:t>
      </w:r>
      <w:r>
        <w:rPr>
          <w:rFonts w:ascii="Times New Roman" w:hAnsi="Times New Roman"/>
          <w:sz w:val="20"/>
        </w:rPr>
        <w:t xml:space="preserve">” means assets, including Intellectual Property, owned by the Company and its Subsidiaries that is material to the business, operations, assets or financial condition of the Company and its Subsidiaries, taken as a whole either (a) prior to any applicable transfer or disposition or (b) pro forma for any applicable transfer or disposition, as reasonably determined by the Company in good faith. </w:t>
      </w:r>
    </w:p>
    <w:p>
      <w:pPr>
        <w:pStyle w:val="TextBody"/>
        <w:bidi w:val="0"/>
        <w:spacing w:before="240" w:after="0"/>
        <w:jc w:val="left"/>
        <w:rPr/>
      </w:pPr>
      <w:r>
        <w:rPr/>
        <w:t>“</w:t>
      </w:r>
      <w:r>
        <w:rPr>
          <w:rFonts w:ascii="Times New Roman" w:hAnsi="Times New Roman"/>
          <w:b/>
          <w:sz w:val="20"/>
        </w:rPr>
        <w:t>Maturity Date</w:t>
      </w:r>
      <w:r>
        <w:rPr>
          <w:rFonts w:ascii="Times New Roman" w:hAnsi="Times New Roman"/>
          <w:sz w:val="20"/>
        </w:rPr>
        <w:t xml:space="preserve">” means October 15, 2030.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LLC. </w:t>
      </w:r>
    </w:p>
    <w:p>
      <w:pPr>
        <w:pStyle w:val="TextBody"/>
        <w:bidi w:val="0"/>
        <w:spacing w:before="240" w:after="0"/>
        <w:jc w:val="left"/>
        <w:rPr/>
      </w:pPr>
      <w:r>
        <w:rPr/>
        <w:t>“</w:t>
      </w:r>
      <w:r>
        <w:rPr>
          <w:rFonts w:ascii="Times New Roman" w:hAnsi="Times New Roman"/>
          <w:b/>
          <w:sz w:val="20"/>
        </w:rPr>
        <w:t>Net Available Proceeds</w:t>
      </w:r>
      <w:r>
        <w:rPr>
          <w:rFonts w:ascii="Times New Roman" w:hAnsi="Times New Roman"/>
          <w:sz w:val="20"/>
        </w:rPr>
        <w:t xml:space="preserve">” means, with respect to any Asset Disposition, the proceeds thereof in the form of cash or Cash Equivalents received by the Company or any of its Subsidiaries from such Asset Disposition, net of: </w:t>
      </w:r>
    </w:p>
    <w:p>
      <w:pPr>
        <w:pStyle w:val="TextBody"/>
        <w:bidi w:val="0"/>
        <w:spacing w:before="120" w:after="0"/>
        <w:jc w:val="left"/>
        <w:rPr>
          <w:rFonts w:ascii="Times New Roman" w:hAnsi="Times New Roman"/>
          <w:sz w:val="20"/>
        </w:rPr>
      </w:pPr>
      <w:r>
        <w:rPr>
          <w:rFonts w:ascii="Times New Roman" w:hAnsi="Times New Roman"/>
          <w:sz w:val="20"/>
        </w:rPr>
        <w:t xml:space="preserve">(a) brokerage commissions and other fees and expenses (including fees, discounts and expenses of legal counsel, accountants and investment banks, consultants and placement agents) of such Asset Dispositions; </w:t>
      </w:r>
    </w:p>
    <w:p>
      <w:pPr>
        <w:pStyle w:val="TextBody"/>
        <w:bidi w:val="0"/>
        <w:spacing w:before="240" w:after="0"/>
        <w:jc w:val="left"/>
        <w:rPr>
          <w:rFonts w:ascii="Times New Roman" w:hAnsi="Times New Roman"/>
          <w:sz w:val="20"/>
        </w:rPr>
      </w:pPr>
      <w:r>
        <w:rPr>
          <w:rFonts w:ascii="Times New Roman" w:hAnsi="Times New Roman"/>
          <w:sz w:val="20"/>
        </w:rPr>
        <w:t xml:space="preserve">(b) provisions for taxes payable (including any withholding or other taxes paid or reasonably estimated to be payable in connection with the transfer to the Company of such proceeds from any Subsidiary that received such proceeds) as a result of such Asset Disposition (after taking into account any available tax credits or deductions and any tax sharing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(c) amounts required to be paid to any Person (other than the Company or any Subsidiary) owning a beneficial interest in the assets subject to the Asset Disposition or having a Lien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payments of unassumed liabilities (not constituting Indebtedness) relating to the assets sold at the time of, or within thirty (30) days after the date of, such Asset Disposition; and </w:t>
      </w:r>
    </w:p>
    <w:p>
      <w:pPr>
        <w:pStyle w:val="TextBody"/>
        <w:bidi w:val="0"/>
        <w:spacing w:before="240" w:after="0"/>
        <w:jc w:val="left"/>
        <w:rPr>
          <w:rFonts w:ascii="Times New Roman" w:hAnsi="Times New Roman"/>
          <w:sz w:val="20"/>
        </w:rPr>
      </w:pPr>
      <w:r>
        <w:rPr>
          <w:rFonts w:ascii="Times New Roman" w:hAnsi="Times New Roman"/>
          <w:sz w:val="20"/>
        </w:rPr>
        <w:t xml:space="preserve">(e) appropriate amounts to be provided by the Company or any Subsidiary, as the case may be, as a reserve required in accordance with GAAP against any adjustment in the sale price of such asset or assets or liabilities associated with such Asset Disposition and retained by the Company or any Subsidiary, as the case may be, after such Asset Disposition;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amounts remaining after adjustments, revaluations or liquidations of such reserves shall constitute Net Available Proceeds. </w:t>
      </w:r>
    </w:p>
    <w:p>
      <w:pPr>
        <w:pStyle w:val="TextBody"/>
        <w:bidi w:val="0"/>
        <w:spacing w:before="240" w:after="0"/>
        <w:jc w:val="left"/>
        <w:rPr/>
      </w:pPr>
      <w:r>
        <w:rPr/>
        <w:t>“</w:t>
      </w:r>
      <w:r>
        <w:rPr>
          <w:rFonts w:ascii="Times New Roman" w:hAnsi="Times New Roman"/>
          <w:b/>
          <w:sz w:val="20"/>
        </w:rPr>
        <w:t>Net Proceeds Offer</w:t>
      </w:r>
      <w:r>
        <w:rPr>
          <w:rFonts w:ascii="Times New Roman" w:hAnsi="Times New Roman"/>
          <w:sz w:val="20"/>
        </w:rPr>
        <w:t xml:space="preserve">” shall have the meaning specified in Section 15.04. </w:t>
      </w:r>
    </w:p>
    <w:p>
      <w:pPr>
        <w:pStyle w:val="TextBody"/>
        <w:bidi w:val="0"/>
        <w:spacing w:before="240" w:after="0"/>
        <w:jc w:val="left"/>
        <w:rPr/>
      </w:pPr>
      <w:r>
        <w:rPr/>
        <w:t>“</w:t>
      </w:r>
      <w:r>
        <w:rPr>
          <w:rFonts w:ascii="Times New Roman" w:hAnsi="Times New Roman"/>
          <w:b/>
          <w:sz w:val="20"/>
        </w:rPr>
        <w:t>Net Proceeds Offer Amount</w:t>
      </w:r>
      <w:r>
        <w:rPr>
          <w:rFonts w:ascii="Times New Roman" w:hAnsi="Times New Roman"/>
          <w:sz w:val="20"/>
        </w:rPr>
        <w:t xml:space="preserve">” shall have the meaning specified in Section 15.04. </w:t>
      </w:r>
    </w:p>
    <w:p>
      <w:pPr>
        <w:pStyle w:val="TextBody"/>
        <w:bidi w:val="0"/>
        <w:spacing w:before="240" w:after="0"/>
        <w:jc w:val="left"/>
        <w:rPr/>
      </w:pPr>
      <w:r>
        <w:rPr/>
        <w:t>“</w:t>
      </w:r>
      <w:r>
        <w:rPr>
          <w:rFonts w:ascii="Times New Roman" w:hAnsi="Times New Roman"/>
          <w:b/>
          <w:sz w:val="20"/>
        </w:rPr>
        <w:t>Net Proceeds Offer Period</w:t>
      </w:r>
      <w:r>
        <w:rPr>
          <w:rFonts w:ascii="Times New Roman" w:hAnsi="Times New Roman"/>
          <w:sz w:val="20"/>
        </w:rPr>
        <w:t xml:space="preserve">” shall have the meaning specified in Section 15.04. </w:t>
      </w:r>
    </w:p>
    <w:p>
      <w:pPr>
        <w:pStyle w:val="TextBody"/>
        <w:bidi w:val="0"/>
        <w:spacing w:before="240" w:after="0"/>
        <w:jc w:val="left"/>
        <w:rPr/>
      </w:pPr>
      <w:r>
        <w:rPr/>
        <w:t>“</w:t>
      </w:r>
      <w:r>
        <w:rPr>
          <w:rFonts w:ascii="Times New Roman" w:hAnsi="Times New Roman"/>
          <w:b/>
          <w:sz w:val="20"/>
        </w:rPr>
        <w:t>Net Proceeds Purchase Date</w:t>
      </w:r>
      <w:r>
        <w:rPr>
          <w:rFonts w:ascii="Times New Roman" w:hAnsi="Times New Roman"/>
          <w:sz w:val="20"/>
        </w:rPr>
        <w:t xml:space="preserve">” shall have the meaning specified in Section 15.04. </w:t>
      </w:r>
    </w:p>
    <w:p>
      <w:pPr>
        <w:pStyle w:val="TextBody"/>
        <w:bidi w:val="0"/>
        <w:spacing w:before="240" w:after="0"/>
        <w:jc w:val="left"/>
        <w:rPr/>
      </w:pPr>
      <w:r>
        <w:rPr/>
        <w:t>“</w:t>
      </w:r>
      <w:r>
        <w:rPr>
          <w:rFonts w:ascii="Times New Roman" w:hAnsi="Times New Roman"/>
          <w:b/>
          <w:sz w:val="20"/>
        </w:rPr>
        <w:t>Note</w:t>
      </w:r>
      <w:r>
        <w:rPr>
          <w:rFonts w:ascii="Times New Roman" w:hAnsi="Times New Roman"/>
          <w:sz w:val="20"/>
        </w:rPr>
        <w:t>” or “</w:t>
      </w:r>
      <w:r>
        <w:rPr>
          <w:rFonts w:ascii="Times New Roman" w:hAnsi="Times New Roman"/>
          <w:b/>
          <w:sz w:val="20"/>
        </w:rPr>
        <w:t>Notes</w:t>
      </w:r>
      <w:r>
        <w:rPr>
          <w:rFonts w:ascii="Times New Roman" w:hAnsi="Times New Roman"/>
          <w:sz w:val="20"/>
        </w:rPr>
        <w:t xml:space="preserve">” shall have the meaning specified in the first paragraph of the recitals of this Indenture, and shall include the Note Guarantees as the case may be. </w:t>
      </w:r>
    </w:p>
    <w:p>
      <w:pPr>
        <w:pStyle w:val="TextBody"/>
        <w:bidi w:val="0"/>
        <w:spacing w:before="240" w:after="0"/>
        <w:jc w:val="left"/>
        <w:rPr/>
      </w:pPr>
      <w:r>
        <w:rPr/>
        <w:t>“</w:t>
      </w:r>
      <w:r>
        <w:rPr>
          <w:rFonts w:ascii="Times New Roman" w:hAnsi="Times New Roman"/>
          <w:b/>
          <w:sz w:val="20"/>
        </w:rPr>
        <w:t>Note Documents</w:t>
      </w:r>
      <w:r>
        <w:rPr>
          <w:rFonts w:ascii="Times New Roman" w:hAnsi="Times New Roman"/>
          <w:sz w:val="20"/>
        </w:rPr>
        <w:t xml:space="preserve">” shall mean this Indenture, the Notes, the Perfection Certificate, the Intercreditor Agreement, the Collateral Documents, each document, agreement or instrument executed or issued pursuant to Section 13.07 and 19.06 and each other agreement, instrument, document, notice and certificate executed and delivered by a Note Party to, or in favor of, the Secured Parties in connection with the Obligations that is expressly designated as a Note Document, in each case, as amended, restated, amended and restated, supplemented or otherwise modified from time to time. </w:t>
      </w:r>
    </w:p>
    <w:p>
      <w:pPr>
        <w:pStyle w:val="TextBody"/>
        <w:bidi w:val="0"/>
        <w:spacing w:before="240" w:after="0"/>
        <w:jc w:val="left"/>
        <w:rPr/>
      </w:pPr>
      <w:r>
        <w:rPr/>
        <w:t>“</w:t>
      </w:r>
      <w:r>
        <w:rPr>
          <w:rFonts w:ascii="Times New Roman" w:hAnsi="Times New Roman"/>
          <w:b/>
          <w:sz w:val="20"/>
        </w:rPr>
        <w:t>Note Guarantee</w:t>
      </w:r>
      <w:r>
        <w:rPr>
          <w:rFonts w:ascii="Times New Roman" w:hAnsi="Times New Roman"/>
          <w:sz w:val="20"/>
        </w:rPr>
        <w:t xml:space="preserve">” means the guarantee by each Guarantor of all or any part of the Obligations under this Indenture and the Notes for the benefit of the Holders pursuant to Article 13. </w:t>
      </w:r>
    </w:p>
    <w:p>
      <w:pPr>
        <w:pStyle w:val="TextBody"/>
        <w:bidi w:val="0"/>
        <w:spacing w:before="240" w:after="0"/>
        <w:jc w:val="left"/>
        <w:rPr/>
      </w:pPr>
      <w:r>
        <w:rPr/>
        <w:t>“</w:t>
      </w:r>
      <w:r>
        <w:rPr>
          <w:rFonts w:ascii="Times New Roman" w:hAnsi="Times New Roman"/>
          <w:b/>
          <w:sz w:val="20"/>
        </w:rPr>
        <w:t>Note Party</w:t>
      </w:r>
      <w:r>
        <w:rPr>
          <w:rFonts w:ascii="Times New Roman" w:hAnsi="Times New Roman"/>
          <w:sz w:val="20"/>
        </w:rPr>
        <w:t xml:space="preserve">” means, collectively, the Company, the Guarantors and their respective successors and assigns. </w:t>
      </w:r>
    </w:p>
    <w:p>
      <w:pPr>
        <w:pStyle w:val="TextBody"/>
        <w:bidi w:val="0"/>
        <w:spacing w:before="240" w:after="0"/>
        <w:jc w:val="left"/>
        <w:rPr/>
      </w:pPr>
      <w:r>
        <w:rPr/>
        <w:t>“</w:t>
      </w:r>
      <w:r>
        <w:rPr>
          <w:rFonts w:ascii="Times New Roman" w:hAnsi="Times New Roman"/>
          <w:b/>
          <w:sz w:val="20"/>
        </w:rPr>
        <w:t>Note Register</w:t>
      </w:r>
      <w:r>
        <w:rPr>
          <w:rFonts w:ascii="Times New Roman" w:hAnsi="Times New Roman"/>
          <w:sz w:val="20"/>
        </w:rPr>
        <w:t xml:space="preserve">” shall have the meaning specified in Section 2.05(a). </w:t>
      </w:r>
    </w:p>
    <w:p>
      <w:pPr>
        <w:pStyle w:val="TextBody"/>
        <w:bidi w:val="0"/>
        <w:spacing w:before="240" w:after="0"/>
        <w:jc w:val="left"/>
        <w:rPr/>
      </w:pPr>
      <w:r>
        <w:rPr/>
        <w:t>“</w:t>
      </w:r>
      <w:r>
        <w:rPr>
          <w:rFonts w:ascii="Times New Roman" w:hAnsi="Times New Roman"/>
          <w:b/>
          <w:sz w:val="20"/>
        </w:rPr>
        <w:t>Note Registrar</w:t>
      </w:r>
      <w:r>
        <w:rPr>
          <w:rFonts w:ascii="Times New Roman" w:hAnsi="Times New Roman"/>
          <w:sz w:val="20"/>
        </w:rPr>
        <w:t xml:space="preserve">” shall have the meaning specified in Section 2.05(a). </w:t>
      </w:r>
    </w:p>
    <w:p>
      <w:pPr>
        <w:pStyle w:val="TextBody"/>
        <w:bidi w:val="0"/>
        <w:spacing w:before="240" w:after="0"/>
        <w:jc w:val="left"/>
        <w:rPr/>
      </w:pPr>
      <w:r>
        <w:rPr/>
        <w:t>“</w:t>
      </w:r>
      <w:r>
        <w:rPr>
          <w:rFonts w:ascii="Times New Roman" w:hAnsi="Times New Roman"/>
          <w:b/>
          <w:sz w:val="20"/>
        </w:rPr>
        <w:t>Notice of Conversion</w:t>
      </w:r>
      <w:r>
        <w:rPr>
          <w:rFonts w:ascii="Times New Roman" w:hAnsi="Times New Roman"/>
          <w:sz w:val="20"/>
        </w:rPr>
        <w:t xml:space="preserve">” shall have the meaning specified in Section 14.02(b). </w:t>
      </w:r>
    </w:p>
    <w:p>
      <w:pPr>
        <w:pStyle w:val="TextBody"/>
        <w:bidi w:val="0"/>
        <w:spacing w:before="240" w:after="0"/>
        <w:jc w:val="left"/>
        <w:rPr/>
      </w:pPr>
      <w:r>
        <w:rPr/>
        <w:t>“</w:t>
      </w:r>
      <w:r>
        <w:rPr>
          <w:rFonts w:ascii="Times New Roman" w:hAnsi="Times New Roman"/>
          <w:b/>
          <w:sz w:val="20"/>
        </w:rPr>
        <w:t>Obligations</w:t>
      </w:r>
      <w:r>
        <w:rPr>
          <w:rFonts w:ascii="Times New Roman" w:hAnsi="Times New Roman"/>
          <w:sz w:val="20"/>
        </w:rPr>
        <w:t xml:space="preserve">” means all unpaid principal of and accrued and unpaid interest on the Notes,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of any of the Note Parties to any Secured Party, individually or collectively, existing on the effective date of this Indenture or arising thereafter, direct or indirect, joint or several, absolute or contingent, matured or unmatured, liquidated or unliquidated, secured or unsecured, arising by contract, operation of law or otherwise, in each case of the foregoing, arising or incurred under this Indenture or in respect of any of the Notes issued or redemption or other obligations incurred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Observation Period</w:t>
      </w:r>
      <w:r>
        <w:rPr>
          <w:rFonts w:ascii="Times New Roman" w:hAnsi="Times New Roman"/>
          <w:sz w:val="20"/>
        </w:rPr>
        <w:t xml:space="preserve">” with respect to any Note delivered for conversion means (a) if the relevant Conversion Date occurs prior to the date that is three (3) months prior to the Maturity Date, the 40 consecutive VWAP Trading Day period beginning on, and including, the second VWAP Trading Day immediately succeeding such Conversion Date; and (b) if the relevant Conversion Date occurs on or after the date that is three months prior to the Maturity Date, the 40 consecutive VWAP Trading Days beginning on, and including, the 41st Scheduled Trading Day immediately preceding the Maturity Date. </w:t>
      </w:r>
    </w:p>
    <w:p>
      <w:pPr>
        <w:pStyle w:val="TextBody"/>
        <w:bidi w:val="0"/>
        <w:spacing w:before="240" w:after="0"/>
        <w:jc w:val="left"/>
        <w:rPr/>
      </w:pPr>
      <w:r>
        <w:rPr/>
        <w:t>“</w:t>
      </w:r>
      <w:r>
        <w:rPr>
          <w:rFonts w:ascii="Times New Roman" w:hAnsi="Times New Roman"/>
          <w:b/>
          <w:sz w:val="20"/>
        </w:rPr>
        <w:t>Offering Memorandum</w:t>
      </w:r>
      <w:r>
        <w:rPr>
          <w:rFonts w:ascii="Times New Roman" w:hAnsi="Times New Roman"/>
          <w:sz w:val="20"/>
        </w:rPr>
        <w:t xml:space="preserve">” means the exchange offer memorandum and consent solicitation statement, dated September 29, 2025, related to the Exchange Offer, as modified or supplemented. </w:t>
      </w:r>
    </w:p>
    <w:p>
      <w:pPr>
        <w:pStyle w:val="TextBody"/>
        <w:bidi w:val="0"/>
        <w:spacing w:before="240" w:after="0"/>
        <w:jc w:val="left"/>
        <w:rPr/>
      </w:pPr>
      <w:r>
        <w:rPr/>
        <w:t>“</w:t>
      </w:r>
      <w:r>
        <w:rPr>
          <w:rFonts w:ascii="Times New Roman" w:hAnsi="Times New Roman"/>
          <w:b/>
          <w:sz w:val="20"/>
        </w:rPr>
        <w:t>Officer</w:t>
      </w:r>
      <w:r>
        <w:rPr>
          <w:rFonts w:ascii="Times New Roman" w:hAnsi="Times New Roman"/>
          <w:sz w:val="20"/>
        </w:rPr>
        <w:t xml:space="preserve">” means, with respect to any Person, the Chairman of the Board, the Chief Executive Officer, the President, the Chief Operating Officer, the Chief Financial Officer, the Principal Accounting Officer, the Treasurer, any Assistant Treasurer, the Controller, the Secretary or any Vice-President of such Person.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that meets the requirements of this Indenture and is signed by an Officer of the Company and delivered to the Trustee. Each such certificate shall include the statements provided for in Section 18.05 if and to the extent required by the provisions of such Section. The Officer giving an Officer’s Certificate pursuant to Section 4.08 shall be the Chief Executive Officer, Chief Financial Officer or the Principal Accounting Officer of the Company. </w:t>
      </w:r>
    </w:p>
    <w:p>
      <w:pPr>
        <w:pStyle w:val="TextBody"/>
        <w:bidi w:val="0"/>
        <w:spacing w:before="240" w:after="0"/>
        <w:jc w:val="left"/>
        <w:rPr/>
      </w:pPr>
      <w:r>
        <w:rPr/>
        <w:t>“</w:t>
      </w:r>
      <w:r>
        <w:rPr>
          <w:rFonts w:ascii="Times New Roman" w:hAnsi="Times New Roman"/>
          <w:b/>
          <w:sz w:val="20"/>
        </w:rPr>
        <w:t>open of business</w:t>
      </w:r>
      <w:r>
        <w:rPr>
          <w:rFonts w:ascii="Times New Roman" w:hAnsi="Times New Roman"/>
          <w:sz w:val="20"/>
        </w:rPr>
        <w:t xml:space="preserve">” means 9:00 a.m. (New York City time). </w:t>
      </w:r>
    </w:p>
    <w:p>
      <w:pPr>
        <w:pStyle w:val="TextBody"/>
        <w:bidi w:val="0"/>
        <w:spacing w:before="240" w:after="0"/>
        <w:jc w:val="left"/>
        <w:rPr/>
      </w:pPr>
      <w:r>
        <w:rPr/>
        <w:t>“</w:t>
      </w:r>
      <w:r>
        <w:rPr>
          <w:rFonts w:ascii="Times New Roman" w:hAnsi="Times New Roman"/>
          <w:b/>
          <w:sz w:val="20"/>
        </w:rPr>
        <w:t>Opinion of Counsel</w:t>
      </w:r>
      <w:r>
        <w:rPr>
          <w:rFonts w:ascii="Times New Roman" w:hAnsi="Times New Roman"/>
          <w:sz w:val="20"/>
        </w:rPr>
        <w:t xml:space="preserve">” means an opinion in writing signed by legal counsel, who may be an employee of or counsel to the Company, or other counsel who is reasonably acceptable to the Trustee, that is delivered to the Trustee, which opinion may contain customary exceptions and qualifications as to the matters set forth therein. Each such opinion shall include the statements provided for in Section 18.05 if and to the extent required by the provisions of such Section 18.05. </w:t>
      </w:r>
    </w:p>
    <w:p>
      <w:pPr>
        <w:pStyle w:val="TextBody"/>
        <w:bidi w:val="0"/>
        <w:spacing w:before="240" w:after="0"/>
        <w:jc w:val="left"/>
        <w:rPr/>
      </w:pPr>
      <w:r>
        <w:rPr/>
        <w:t>“</w:t>
      </w:r>
      <w:r>
        <w:rPr>
          <w:rFonts w:ascii="Times New Roman" w:hAnsi="Times New Roman"/>
          <w:b/>
          <w:sz w:val="20"/>
        </w:rPr>
        <w:t>Opt-in Procedures</w:t>
      </w:r>
      <w:r>
        <w:rPr>
          <w:rFonts w:ascii="Times New Roman" w:hAnsi="Times New Roman"/>
          <w:sz w:val="20"/>
        </w:rPr>
        <w:t xml:space="preserve">” shall have the meaning specified in Section 14.14(c). </w:t>
      </w:r>
    </w:p>
    <w:p>
      <w:pPr>
        <w:pStyle w:val="TextBody"/>
        <w:bidi w:val="0"/>
        <w:spacing w:before="240" w:after="0"/>
        <w:jc w:val="left"/>
        <w:rPr/>
      </w:pPr>
      <w:r>
        <w:rPr/>
        <w:t>“</w:t>
      </w:r>
      <w:r>
        <w:rPr>
          <w:rFonts w:ascii="Times New Roman" w:hAnsi="Times New Roman"/>
          <w:b/>
          <w:sz w:val="20"/>
        </w:rPr>
        <w:t>Optional Redemption</w:t>
      </w:r>
      <w:r>
        <w:rPr>
          <w:rFonts w:ascii="Times New Roman" w:hAnsi="Times New Roman"/>
          <w:sz w:val="20"/>
        </w:rPr>
        <w:t xml:space="preserve">” shall have the meaning specified in Section 15.06. </w:t>
      </w:r>
    </w:p>
    <w:p>
      <w:pPr>
        <w:pStyle w:val="TextBody"/>
        <w:bidi w:val="0"/>
        <w:spacing w:before="240" w:after="0"/>
        <w:jc w:val="left"/>
        <w:rPr/>
      </w:pPr>
      <w:r>
        <w:rPr/>
        <w:t>“</w:t>
      </w:r>
      <w:r>
        <w:rPr>
          <w:rFonts w:ascii="Times New Roman" w:hAnsi="Times New Roman"/>
          <w:b/>
          <w:sz w:val="20"/>
        </w:rPr>
        <w:t>Optional Redemption Date</w:t>
      </w:r>
      <w:r>
        <w:rPr>
          <w:rFonts w:ascii="Times New Roman" w:hAnsi="Times New Roman"/>
          <w:sz w:val="20"/>
        </w:rPr>
        <w:t xml:space="preserve">” shall have the meaning specified in Section 15.06. </w:t>
      </w:r>
    </w:p>
    <w:p>
      <w:pPr>
        <w:pStyle w:val="TextBody"/>
        <w:bidi w:val="0"/>
        <w:spacing w:before="240" w:after="0"/>
        <w:jc w:val="left"/>
        <w:rPr/>
      </w:pPr>
      <w:r>
        <w:rPr/>
        <w:t>“</w:t>
      </w:r>
      <w:r>
        <w:rPr>
          <w:rFonts w:ascii="Times New Roman" w:hAnsi="Times New Roman"/>
          <w:b/>
          <w:sz w:val="20"/>
        </w:rPr>
        <w:t>Optional Redemption Notice</w:t>
      </w:r>
      <w:r>
        <w:rPr>
          <w:rFonts w:ascii="Times New Roman" w:hAnsi="Times New Roman"/>
          <w:sz w:val="20"/>
        </w:rPr>
        <w:t xml:space="preserve">” shall have the meaning specified in Section 15.06. </w:t>
      </w:r>
    </w:p>
    <w:p>
      <w:pPr>
        <w:pStyle w:val="TextBody"/>
        <w:bidi w:val="0"/>
        <w:spacing w:before="240" w:after="0"/>
        <w:jc w:val="left"/>
        <w:rPr/>
      </w:pPr>
      <w:r>
        <w:rPr/>
        <w:t>“</w:t>
      </w:r>
      <w:r>
        <w:rPr>
          <w:rFonts w:ascii="Times New Roman" w:hAnsi="Times New Roman"/>
          <w:b/>
          <w:sz w:val="20"/>
        </w:rPr>
        <w:t>Optional Redemption Notice Date</w:t>
      </w:r>
      <w:r>
        <w:rPr>
          <w:rFonts w:ascii="Times New Roman" w:hAnsi="Times New Roman"/>
          <w:sz w:val="20"/>
        </w:rPr>
        <w:t xml:space="preserve">” means the date on which an Optional Redemption Notice is delivered pursuant to Section 15.06.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outstanding</w:t>
      </w:r>
      <w:r>
        <w:rPr>
          <w:rFonts w:ascii="Times New Roman" w:hAnsi="Times New Roman"/>
          <w:sz w:val="20"/>
        </w:rPr>
        <w:t xml:space="preserve">,” when used with reference to Notes, shall, subject to the provisions of Section 8.04, mean, as of any particular time, all Notes authenticated and delivered by the Trustee under this Indenture, except: </w:t>
      </w:r>
    </w:p>
    <w:p>
      <w:pPr>
        <w:pStyle w:val="TextBody"/>
        <w:bidi w:val="0"/>
        <w:spacing w:before="120" w:after="0"/>
        <w:jc w:val="left"/>
        <w:rPr>
          <w:rFonts w:ascii="Times New Roman" w:hAnsi="Times New Roman"/>
          <w:sz w:val="20"/>
        </w:rPr>
      </w:pPr>
      <w:r>
        <w:rPr>
          <w:rFonts w:ascii="Times New Roman" w:hAnsi="Times New Roman"/>
          <w:sz w:val="20"/>
        </w:rPr>
        <w:t xml:space="preserve">(a) Notes theretofore canceled by the Trustee or accepted by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(b) 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 </w:t>
      </w:r>
    </w:p>
    <w:p>
      <w:pPr>
        <w:pStyle w:val="TextBody"/>
        <w:bidi w:val="0"/>
        <w:spacing w:before="240" w:after="0"/>
        <w:jc w:val="left"/>
        <w:rPr>
          <w:rFonts w:ascii="Times New Roman" w:hAnsi="Times New Roman"/>
          <w:sz w:val="20"/>
        </w:rPr>
      </w:pPr>
      <w:r>
        <w:rPr>
          <w:rFonts w:ascii="Times New Roman" w:hAnsi="Times New Roman"/>
          <w:sz w:val="20"/>
        </w:rPr>
        <w:t xml:space="preserve">(c) 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 and </w:t>
      </w:r>
    </w:p>
    <w:p>
      <w:pPr>
        <w:pStyle w:val="TextBody"/>
        <w:bidi w:val="0"/>
        <w:spacing w:before="240" w:after="0"/>
        <w:jc w:val="left"/>
        <w:rPr>
          <w:rFonts w:ascii="Times New Roman" w:hAnsi="Times New Roman"/>
          <w:sz w:val="20"/>
        </w:rPr>
      </w:pPr>
      <w:r>
        <w:rPr>
          <w:rFonts w:ascii="Times New Roman" w:hAnsi="Times New Roman"/>
          <w:sz w:val="20"/>
        </w:rPr>
        <w:t xml:space="preserve">(d) Notes converted or equitized pursuant to Article 14, Article 16 or Article 17 and required to be cancelled pursuant to Section 2.08. </w:t>
      </w:r>
    </w:p>
    <w:p>
      <w:pPr>
        <w:pStyle w:val="TextBody"/>
        <w:bidi w:val="0"/>
        <w:spacing w:before="240" w:after="0"/>
        <w:jc w:val="left"/>
        <w:rPr/>
      </w:pPr>
      <w:r>
        <w:rPr/>
        <w:t>“</w:t>
      </w:r>
      <w:r>
        <w:rPr>
          <w:rFonts w:ascii="Times New Roman" w:hAnsi="Times New Roman"/>
          <w:b/>
          <w:sz w:val="20"/>
        </w:rPr>
        <w:t>Patents</w:t>
      </w:r>
      <w:r>
        <w:rPr>
          <w:rFonts w:ascii="Times New Roman" w:hAnsi="Times New Roman"/>
          <w:sz w:val="20"/>
        </w:rPr>
        <w:t xml:space="preserve">” means all patents, patent applications and like protections including without limitation improvements, divisions, continuations, renewals, reissues, extensions and continuations-in-part of the same. </w:t>
      </w:r>
    </w:p>
    <w:p>
      <w:pPr>
        <w:pStyle w:val="TextBody"/>
        <w:bidi w:val="0"/>
        <w:spacing w:before="240" w:after="0"/>
        <w:jc w:val="left"/>
        <w:rPr/>
      </w:pPr>
      <w:r>
        <w:rPr/>
        <w:t>“</w:t>
      </w:r>
      <w:r>
        <w:rPr>
          <w:rFonts w:ascii="Times New Roman" w:hAnsi="Times New Roman"/>
          <w:b/>
          <w:sz w:val="20"/>
        </w:rPr>
        <w:t>Paying Agent</w:t>
      </w:r>
      <w:r>
        <w:rPr>
          <w:rFonts w:ascii="Times New Roman" w:hAnsi="Times New Roman"/>
          <w:sz w:val="20"/>
        </w:rPr>
        <w:t xml:space="preserve">” shall have the meaning specified in Section 4.02. </w:t>
      </w:r>
    </w:p>
    <w:p>
      <w:pPr>
        <w:pStyle w:val="TextBody"/>
        <w:bidi w:val="0"/>
        <w:spacing w:before="240" w:after="0"/>
        <w:jc w:val="left"/>
        <w:rPr/>
      </w:pPr>
      <w:r>
        <w:rPr/>
        <w:t>“</w:t>
      </w:r>
      <w:r>
        <w:rPr>
          <w:rFonts w:ascii="Times New Roman" w:hAnsi="Times New Roman"/>
          <w:b/>
          <w:sz w:val="20"/>
        </w:rPr>
        <w:t>Perfection Certificate</w:t>
      </w:r>
      <w:r>
        <w:rPr>
          <w:rFonts w:ascii="Times New Roman" w:hAnsi="Times New Roman"/>
          <w:sz w:val="20"/>
        </w:rPr>
        <w:t xml:space="preserve">” means the Perfection Certificate, dated as of the Issue Date, delivered to the Collateral Agent by the Note Parties in connection with this Indenture and any supplement thereto required under the terms of this Indenture. </w:t>
      </w:r>
    </w:p>
    <w:p>
      <w:pPr>
        <w:pStyle w:val="TextBody"/>
        <w:bidi w:val="0"/>
        <w:spacing w:before="240" w:after="0"/>
        <w:jc w:val="left"/>
        <w:rPr/>
      </w:pPr>
      <w:r>
        <w:rPr/>
        <w:t>“</w:t>
      </w:r>
      <w:r>
        <w:rPr>
          <w:rFonts w:ascii="Times New Roman" w:hAnsi="Times New Roman"/>
          <w:b/>
          <w:sz w:val="20"/>
        </w:rPr>
        <w:t>Permitted Business</w:t>
      </w:r>
      <w:r>
        <w:rPr>
          <w:rFonts w:ascii="Times New Roman" w:hAnsi="Times New Roman"/>
          <w:sz w:val="20"/>
        </w:rPr>
        <w:t xml:space="preserve">” means the businesses engaged in by the Company and its Subsidiaries on the Issue Date and businesses that are reasonably related, incidental or ancillary thereto or reasonable extensions thereof. </w:t>
      </w:r>
    </w:p>
    <w:p>
      <w:pPr>
        <w:pStyle w:val="TextBody"/>
        <w:bidi w:val="0"/>
        <w:spacing w:before="240" w:after="0"/>
        <w:jc w:val="left"/>
        <w:rPr/>
      </w:pPr>
      <w:r>
        <w:rPr/>
        <w:t>“</w:t>
      </w:r>
      <w:r>
        <w:rPr>
          <w:rFonts w:ascii="Times New Roman" w:hAnsi="Times New Roman"/>
          <w:b/>
          <w:sz w:val="20"/>
        </w:rPr>
        <w:t>Permitted Debt</w:t>
      </w:r>
      <w:r>
        <w:rPr>
          <w:rFonts w:ascii="Times New Roman" w:hAnsi="Times New Roman"/>
          <w:sz w:val="20"/>
        </w:rPr>
        <w:t xml:space="preserve">” shall have the meaning specified in Section 4.10. </w:t>
      </w:r>
    </w:p>
    <w:p>
      <w:pPr>
        <w:pStyle w:val="TextBody"/>
        <w:bidi w:val="0"/>
        <w:spacing w:before="240" w:after="0"/>
        <w:jc w:val="left"/>
        <w:rPr/>
      </w:pPr>
      <w:r>
        <w:rPr/>
        <w:t>“</w:t>
      </w:r>
      <w:r>
        <w:rPr>
          <w:rFonts w:ascii="Times New Roman" w:hAnsi="Times New Roman"/>
          <w:b/>
          <w:sz w:val="20"/>
        </w:rPr>
        <w:t>Permitted Investments</w:t>
      </w:r>
      <w:r>
        <w:rPr>
          <w:rFonts w:ascii="Times New Roman" w:hAnsi="Times New Roman"/>
          <w:sz w:val="20"/>
        </w:rPr>
        <w:t xml:space="preserve">” shall have the meaning specified in Section 4.12. </w:t>
      </w:r>
    </w:p>
    <w:p>
      <w:pPr>
        <w:pStyle w:val="TextBody"/>
        <w:bidi w:val="0"/>
        <w:spacing w:before="240" w:after="0"/>
        <w:jc w:val="left"/>
        <w:rPr/>
      </w:pPr>
      <w:r>
        <w:rPr/>
        <w:t>“</w:t>
      </w:r>
      <w:r>
        <w:rPr>
          <w:rFonts w:ascii="Times New Roman" w:hAnsi="Times New Roman"/>
          <w:b/>
          <w:sz w:val="20"/>
        </w:rPr>
        <w:t>Permitted Licenses</w:t>
      </w:r>
      <w:r>
        <w:rPr>
          <w:rFonts w:ascii="Times New Roman" w:hAnsi="Times New Roman"/>
          <w:sz w:val="20"/>
        </w:rPr>
        <w:t xml:space="preserve">” means (A) licenses of over-the-counter software that is commercially available to the public, (B) non-exclusive licenses for the use of the Intellectual Property of any Note Party or any Subsidiary entered into in the ordinary course of business and (C) licenses that could not result in a legal transfer of the licensed property but that may be exclusive as to territory only as to discrete geographical areas outside of the United States.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shall have the meaning specified in Section 4.11.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Permitted Refinancing Indebtedness</w:t>
      </w:r>
      <w:r>
        <w:rPr>
          <w:rFonts w:ascii="Times New Roman" w:hAnsi="Times New Roman"/>
          <w:sz w:val="20"/>
        </w:rPr>
        <w:t xml:space="preserve">” means any Indebtedness of the Company or any of its Subsidiaries issued in exchange for, or the net proceeds of which are used to extend, refinance, refund, renew, replace, defease or discharge, other Indebtedness of the Company or any of its Subsidiaries (other than intercompany Indebtedness) (such other Indebtedness, “Refinanced Indebtedness”); </w:t>
      </w:r>
      <w:r>
        <w:rPr>
          <w:rFonts w:ascii="Times New Roman" w:hAnsi="Times New Roman"/>
          <w:i/>
          <w:sz w:val="20"/>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the principal amount (or accreted value, if applicable) of such Permitted Refinancing Indebtedness does not exceed the principal amount of (or accreted value, if applicable), plus accrued interest on, the Refinanced Indebtedness (plus the amount of reasonable fees and expenses, including original issue discount, upfront fees or similar fees incurred in connection therewith including premiums paid, if any, to the holders thereof); </w:t>
      </w:r>
    </w:p>
    <w:p>
      <w:pPr>
        <w:pStyle w:val="TextBody"/>
        <w:bidi w:val="0"/>
        <w:spacing w:before="240" w:after="0"/>
        <w:jc w:val="left"/>
        <w:rPr>
          <w:rFonts w:ascii="Times New Roman" w:hAnsi="Times New Roman"/>
          <w:sz w:val="20"/>
        </w:rPr>
      </w:pPr>
      <w:r>
        <w:rPr>
          <w:rFonts w:ascii="Times New Roman" w:hAnsi="Times New Roman"/>
          <w:sz w:val="20"/>
        </w:rPr>
        <w:t xml:space="preserve">(b) such Permitted Refinancing Indebtedness has a Weighted Average Life to Maturity equal to or greater than the Weighted Average Life to Maturity of the Refinanced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(c) (i) if the Refinanced Indebtedness was subordinated in right of payment to the Notes or the Note Guarantees, as the case may be, then such Permitted Refinancing Indebtedness, by its terms, is subordinated in right of payment to the Notes or the Note Guarantees, as the case may be, at least to the same extent as the Refinanced Indebtedness; (ii) if the Refinanced Indebtedness is unsecured, then the Permitted Refinancing Indebtedness shall be unsecured; and (iii) if the Refinanced Indebtedness is secured, then such Permitted Refinancing Indebtedness shall not be secured by Liens on any additional assets (other than improvements, accessions, proceeds, replacements or dividends or distributions in respect thereof) as compared to the Refinanced Indebtedness and the new Lien securing such Permitted Refinancing Indebtedness shall have no greater priority relative to the Obligations than the Lien securing the Refinanced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(d) the obligors of such Permitted Refinancing Indebtedness do not include any Person that is not an obligor of the Refinanced Indebtedness; and </w:t>
      </w:r>
    </w:p>
    <w:p>
      <w:pPr>
        <w:pStyle w:val="TextBody"/>
        <w:bidi w:val="0"/>
        <w:spacing w:before="240" w:after="0"/>
        <w:jc w:val="left"/>
        <w:rPr>
          <w:rFonts w:ascii="Times New Roman" w:hAnsi="Times New Roman"/>
          <w:sz w:val="20"/>
        </w:rPr>
      </w:pPr>
      <w:r>
        <w:rPr>
          <w:rFonts w:ascii="Times New Roman" w:hAnsi="Times New Roman"/>
          <w:sz w:val="20"/>
        </w:rPr>
        <w:t xml:space="preserve">(e) (i) if the stated maturity of the Indebtedness being refinanced is earlier than the stated maturity of the Notes, the Permitted Refinancing Indebtedness has a stated maturity no earlier than the stated maturity of the Refinanced Indebtedness or (ii) if the stated maturity of the Refinanced Indebtedness is later than the Maturity Date, the Permitted Refinancing Indebtedness has a stated maturity at least ninety-one (91) days later than the Maturity Date.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sole proprietorship, partnership, limited liability company, joint venture, company, trust, unincorporated organization, association, corporation, institution, public benefit corporation, firm, joint stock company, estate, government agency or other entity. </w:t>
      </w:r>
    </w:p>
    <w:p>
      <w:pPr>
        <w:pStyle w:val="TextBody"/>
        <w:bidi w:val="0"/>
        <w:spacing w:before="240" w:after="0"/>
        <w:jc w:val="left"/>
        <w:rPr/>
      </w:pPr>
      <w:r>
        <w:rPr/>
        <w:t>“</w:t>
      </w:r>
      <w:r>
        <w:rPr>
          <w:rFonts w:ascii="Times New Roman" w:hAnsi="Times New Roman"/>
          <w:b/>
          <w:sz w:val="20"/>
        </w:rPr>
        <w:t>Physical Notes</w:t>
      </w:r>
      <w:r>
        <w:rPr>
          <w:rFonts w:ascii="Times New Roman" w:hAnsi="Times New Roman"/>
          <w:sz w:val="20"/>
        </w:rPr>
        <w:t xml:space="preserve">” means permanent certificated Notes in registered form issued in denominations of $1,000 principal amount and integral multiples thereof, or $1.00 and integral multiples thereof after a PIK Payment. </w:t>
      </w:r>
    </w:p>
    <w:p>
      <w:pPr>
        <w:pStyle w:val="TextBody"/>
        <w:bidi w:val="0"/>
        <w:spacing w:before="240" w:after="0"/>
        <w:jc w:val="left"/>
        <w:rPr/>
      </w:pPr>
      <w:r>
        <w:rPr/>
        <w:t>“</w:t>
      </w:r>
      <w:r>
        <w:rPr>
          <w:rFonts w:ascii="Times New Roman" w:hAnsi="Times New Roman"/>
          <w:b/>
          <w:sz w:val="20"/>
        </w:rPr>
        <w:t>Physical Settlement</w:t>
      </w:r>
      <w:r>
        <w:rPr>
          <w:rFonts w:ascii="Times New Roman" w:hAnsi="Times New Roman"/>
          <w:sz w:val="20"/>
        </w:rPr>
        <w:t xml:space="preserve">” shall have the meaning specified in Section 14.02(a). </w:t>
      </w:r>
    </w:p>
    <w:p>
      <w:pPr>
        <w:pStyle w:val="TextBody"/>
        <w:bidi w:val="0"/>
        <w:spacing w:before="240" w:after="0"/>
        <w:jc w:val="left"/>
        <w:rPr/>
      </w:pPr>
      <w:r>
        <w:rPr/>
        <w:t>“</w:t>
      </w:r>
      <w:r>
        <w:rPr>
          <w:rFonts w:ascii="Times New Roman" w:hAnsi="Times New Roman"/>
          <w:b/>
          <w:sz w:val="20"/>
        </w:rPr>
        <w:t>PIK Interest</w:t>
      </w:r>
      <w:r>
        <w:rPr>
          <w:rFonts w:ascii="Times New Roman" w:hAnsi="Times New Roman"/>
          <w:sz w:val="20"/>
        </w:rPr>
        <w:t xml:space="preserve">” means payment of the interest on the Notes through an increase in the principal amount of the outstanding Notes or through the issuance of PIK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PIK Notes</w:t>
      </w:r>
      <w:r>
        <w:rPr>
          <w:rFonts w:ascii="Times New Roman" w:hAnsi="Times New Roman"/>
          <w:sz w:val="20"/>
        </w:rPr>
        <w:t xml:space="preserve">” shall have the meaning specified in Section 2.02(b). </w:t>
      </w:r>
    </w:p>
    <w:p>
      <w:pPr>
        <w:pStyle w:val="TextBody"/>
        <w:bidi w:val="0"/>
        <w:spacing w:before="240" w:after="0"/>
        <w:jc w:val="left"/>
        <w:rPr/>
      </w:pPr>
      <w:r>
        <w:rPr/>
        <w:t>“</w:t>
      </w:r>
      <w:r>
        <w:rPr>
          <w:rFonts w:ascii="Times New Roman" w:hAnsi="Times New Roman"/>
          <w:b/>
          <w:sz w:val="20"/>
        </w:rPr>
        <w:t>PIK Payment</w:t>
      </w:r>
      <w:r>
        <w:rPr>
          <w:rFonts w:ascii="Times New Roman" w:hAnsi="Times New Roman"/>
          <w:sz w:val="20"/>
        </w:rPr>
        <w:t xml:space="preserve">” shall have the meaning specified in Section 2.02(b). </w:t>
      </w:r>
    </w:p>
    <w:p>
      <w:pPr>
        <w:pStyle w:val="TextBody"/>
        <w:bidi w:val="0"/>
        <w:spacing w:before="240" w:after="0"/>
        <w:jc w:val="left"/>
        <w:rPr/>
      </w:pPr>
      <w:r>
        <w:rPr/>
        <w:t>“</w:t>
      </w:r>
      <w:r>
        <w:rPr>
          <w:rFonts w:ascii="Times New Roman" w:hAnsi="Times New Roman"/>
          <w:b/>
          <w:sz w:val="20"/>
        </w:rPr>
        <w:t>Predecessor Note</w:t>
      </w:r>
      <w:r>
        <w:rPr>
          <w:rFonts w:ascii="Times New Roman" w:hAnsi="Times New Roman"/>
          <w:sz w:val="20"/>
        </w:rPr>
        <w:t xml:space="preserve">”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 </w:t>
      </w:r>
    </w:p>
    <w:p>
      <w:pPr>
        <w:pStyle w:val="TextBody"/>
        <w:bidi w:val="0"/>
        <w:spacing w:before="240" w:after="0"/>
        <w:jc w:val="left"/>
        <w:rPr/>
      </w:pPr>
      <w:r>
        <w:rPr/>
        <w:t>“</w:t>
      </w:r>
      <w:r>
        <w:rPr>
          <w:rFonts w:ascii="Times New Roman" w:hAnsi="Times New Roman"/>
          <w:b/>
          <w:sz w:val="20"/>
        </w:rPr>
        <w:t>Preferred Stock</w:t>
      </w:r>
      <w:r>
        <w:rPr>
          <w:rFonts w:ascii="Times New Roman" w:hAnsi="Times New Roman"/>
          <w:sz w:val="20"/>
        </w:rPr>
        <w:t xml:space="preserve">” means, with respect to any Person, any and all preferred or preference stock or other similar equity interests (however designated) of such Person whether outstanding or issued after the Issue Date. </w:t>
      </w:r>
    </w:p>
    <w:p>
      <w:pPr>
        <w:pStyle w:val="TextBody"/>
        <w:bidi w:val="0"/>
        <w:spacing w:before="240" w:after="0"/>
        <w:jc w:val="left"/>
        <w:rPr/>
      </w:pPr>
      <w:r>
        <w:rPr/>
        <w:t>“</w:t>
      </w:r>
      <w:r>
        <w:rPr>
          <w:rFonts w:ascii="Times New Roman" w:hAnsi="Times New Roman"/>
          <w:b/>
          <w:sz w:val="20"/>
        </w:rPr>
        <w:t>Qualified Successor Entity</w:t>
      </w:r>
      <w:r>
        <w:rPr>
          <w:rFonts w:ascii="Times New Roman" w:hAnsi="Times New Roman"/>
          <w:sz w:val="20"/>
        </w:rPr>
        <w:t xml:space="preserve">” means, with respect to a Business Combination Event, a corporation;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limited liability company, limited partnership or other similar entity will also constitute a Qualified Successor Entity with respect to Business Combination Event if either (a) such Business Combination Event is an Exempted Fundamental Change; or (b) both of the following conditions are satisfied: (i) either (x) such limited liability company, limited partnership or other similar entity, as applicable, is treated as a corporation or is a direct or indirect, Wholly-Owned Subsidiary of, and disregarded as an entity separate from, a corporation, in each case for U.S. federal income tax purposes; or (y) the Company has received an opinion of a nationally recognized tax counsel to the effect that such Business Combination Event will not be treated as an exchange under Section 1001 of the Internal Revenue Code, for holders or beneficial owners of the Notes; and (ii) such Business Combination Event constitutes a Common Stock Change Event whose reference property consists solely of any combination of cash in U.S. dollars and shares of common stock or other corporate common equity interests of an entity that is (A) treated as a corporation for U.S. federal income tax purposes, (B) organized under the laws of the United States, any State thereof or the District of Columbia, and (C) the direct or indirect parent of the limited liability company, limited partnership or other similar entity. </w:t>
      </w:r>
    </w:p>
    <w:p>
      <w:pPr>
        <w:pStyle w:val="TextBody"/>
        <w:bidi w:val="0"/>
        <w:spacing w:before="240" w:after="0"/>
        <w:jc w:val="left"/>
        <w:rPr/>
      </w:pPr>
      <w:r>
        <w:rPr/>
        <w:t>“</w:t>
      </w:r>
      <w:r>
        <w:rPr>
          <w:rFonts w:ascii="Times New Roman" w:hAnsi="Times New Roman"/>
          <w:b/>
          <w:sz w:val="20"/>
        </w:rPr>
        <w:t>Record Date</w:t>
      </w:r>
      <w:r>
        <w:rPr>
          <w:rFonts w:ascii="Times New Roman" w:hAnsi="Times New Roman"/>
          <w:sz w:val="20"/>
        </w:rPr>
        <w:t xml:space="preserve">” means, with respect to any dividend, distribution or other transaction or event in which the holders of the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Company’s Board of Directors or a duly authorized committee thereof, statute, contract or otherwise). </w:t>
      </w:r>
    </w:p>
    <w:p>
      <w:pPr>
        <w:pStyle w:val="TextBody"/>
        <w:bidi w:val="0"/>
        <w:spacing w:before="240" w:after="0"/>
        <w:jc w:val="left"/>
        <w:rPr/>
      </w:pPr>
      <w:r>
        <w:rPr/>
        <w:t>“</w:t>
      </w:r>
      <w:r>
        <w:rPr>
          <w:rFonts w:ascii="Times New Roman" w:hAnsi="Times New Roman"/>
          <w:b/>
          <w:sz w:val="20"/>
        </w:rPr>
        <w:t>Redeemable Capital Stock</w:t>
      </w:r>
      <w:r>
        <w:rPr>
          <w:rFonts w:ascii="Times New Roman" w:hAnsi="Times New Roman"/>
          <w:sz w:val="20"/>
        </w:rPr>
        <w:t xml:space="preserve">” means any class or series of capital stock that, either by its terms, by the terms of any security into which it is convertible or exchangeable, or by contract or otherwise, is, or upon the happening of an event or passage of time would be, required to be redeemed on or prior to the date which is ninety-one (91) days after the Maturity Date or is redeemable at the option of the holder thereof at any time prior to such date, or is convertible into or exchangeable for debt securities at any time prior to such date; </w:t>
      </w:r>
      <w:r>
        <w:rPr>
          <w:rFonts w:ascii="Times New Roman" w:hAnsi="Times New Roman"/>
          <w:i/>
          <w:sz w:val="20"/>
        </w:rPr>
        <w:t xml:space="preserve">provided </w:t>
      </w:r>
      <w:r>
        <w:rPr>
          <w:rFonts w:ascii="Times New Roman" w:hAnsi="Times New Roman"/>
          <w:sz w:val="20"/>
        </w:rPr>
        <w:t xml:space="preserve">that any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that would not constitute Redeemable Capital Stock but for provisions thereof giving holders thereof the right to require such Person to repurchase or redeem such capital stock upon the occurrence of any “asset sale” or “change of control” occurring prior to the Maturity Date will not constitute Redeemable Capital Stock if the “asset sale” or “change of control” provisions applicable to such capital stock are no more favorable to the holders of such capital stock than the provisions described in Section 15.02 and Section 15.04 and such capital stock specifically provides that such Person will not repurchase or redeem any such stock pursuant to such provision prior to the Company’s repurchase of such notes as are required to be repurchased pursuant to Section 15.02 and Section 15.04. </w:t>
      </w:r>
    </w:p>
    <w:p>
      <w:pPr>
        <w:pStyle w:val="TextBody"/>
        <w:bidi w:val="0"/>
        <w:spacing w:before="240" w:after="0"/>
        <w:jc w:val="left"/>
        <w:rPr/>
      </w:pPr>
      <w:r>
        <w:rPr/>
        <w:t>“</w:t>
      </w:r>
      <w:r>
        <w:rPr>
          <w:rFonts w:ascii="Times New Roman" w:hAnsi="Times New Roman"/>
          <w:b/>
          <w:sz w:val="20"/>
        </w:rPr>
        <w:t>Redemption Premium</w:t>
      </w:r>
      <w:r>
        <w:rPr>
          <w:rFonts w:ascii="Times New Roman" w:hAnsi="Times New Roman"/>
          <w:sz w:val="20"/>
        </w:rPr>
        <w:t xml:space="preserve">” shall have the meaning specified in Section 6.02. </w:t>
      </w:r>
    </w:p>
    <w:p>
      <w:pPr>
        <w:pStyle w:val="TextBody"/>
        <w:bidi w:val="0"/>
        <w:spacing w:before="240" w:after="0"/>
        <w:jc w:val="left"/>
        <w:rPr/>
      </w:pPr>
      <w:r>
        <w:rPr/>
        <w:t>“</w:t>
      </w:r>
      <w:r>
        <w:rPr>
          <w:rFonts w:ascii="Times New Roman" w:hAnsi="Times New Roman"/>
          <w:b/>
          <w:sz w:val="20"/>
        </w:rPr>
        <w:t>Reference Property</w:t>
      </w:r>
      <w:r>
        <w:rPr>
          <w:rFonts w:ascii="Times New Roman" w:hAnsi="Times New Roman"/>
          <w:sz w:val="20"/>
        </w:rPr>
        <w:t xml:space="preserve">” shall have the meaning specified in Section 14.08(a). </w:t>
      </w:r>
    </w:p>
    <w:p>
      <w:pPr>
        <w:pStyle w:val="TextBody"/>
        <w:bidi w:val="0"/>
        <w:spacing w:before="240" w:after="0"/>
        <w:jc w:val="left"/>
        <w:rPr/>
      </w:pPr>
      <w:r>
        <w:rPr/>
        <w:t>“</w:t>
      </w:r>
      <w:r>
        <w:rPr>
          <w:rFonts w:ascii="Times New Roman" w:hAnsi="Times New Roman"/>
          <w:b/>
          <w:sz w:val="20"/>
        </w:rPr>
        <w:t>Reference Property Unit</w:t>
      </w:r>
      <w:r>
        <w:rPr>
          <w:rFonts w:ascii="Times New Roman" w:hAnsi="Times New Roman"/>
          <w:sz w:val="20"/>
        </w:rPr>
        <w:t xml:space="preserve">” shall have the meaning specified in Section 14.08(a). </w:t>
      </w:r>
    </w:p>
    <w:p>
      <w:pPr>
        <w:pStyle w:val="TextBody"/>
        <w:bidi w:val="0"/>
        <w:spacing w:before="240" w:after="0"/>
        <w:jc w:val="left"/>
        <w:rPr/>
      </w:pPr>
      <w:r>
        <w:rPr/>
        <w:t>“</w:t>
      </w:r>
      <w:r>
        <w:rPr>
          <w:rFonts w:ascii="Times New Roman" w:hAnsi="Times New Roman"/>
          <w:b/>
          <w:sz w:val="20"/>
        </w:rPr>
        <w:t>Regular Record Date</w:t>
      </w:r>
      <w:r>
        <w:rPr>
          <w:rFonts w:ascii="Times New Roman" w:hAnsi="Times New Roman"/>
          <w:sz w:val="20"/>
        </w:rPr>
        <w:t xml:space="preserve">,” with respect to any Interest Payment Date, shall mean the April 15 or October 15 (whether or not such day is a Business Day) immediately preceding the applicable May 1 and November 1 Interest Payment Date, respectively. </w:t>
      </w:r>
    </w:p>
    <w:p>
      <w:pPr>
        <w:pStyle w:val="TextBody"/>
        <w:bidi w:val="0"/>
        <w:spacing w:before="240" w:after="0"/>
        <w:jc w:val="left"/>
        <w:rPr/>
      </w:pPr>
      <w:r>
        <w:rPr/>
        <w:t>“</w:t>
      </w:r>
      <w:r>
        <w:rPr>
          <w:rFonts w:ascii="Times New Roman" w:hAnsi="Times New Roman"/>
          <w:b/>
          <w:sz w:val="20"/>
        </w:rPr>
        <w:t>Reporting Event of Default</w:t>
      </w:r>
      <w:r>
        <w:rPr>
          <w:rFonts w:ascii="Times New Roman" w:hAnsi="Times New Roman"/>
          <w:sz w:val="20"/>
        </w:rPr>
        <w:t xml:space="preserve">” shall have the meaning specified in Section 6.03. </w:t>
      </w:r>
    </w:p>
    <w:p>
      <w:pPr>
        <w:pStyle w:val="TextBody"/>
        <w:bidi w:val="0"/>
        <w:spacing w:before="240" w:after="0"/>
        <w:jc w:val="left"/>
        <w:rPr/>
      </w:pPr>
      <w:r>
        <w:rPr/>
        <w:t>“</w:t>
      </w:r>
      <w:r>
        <w:rPr>
          <w:rFonts w:ascii="Times New Roman" w:hAnsi="Times New Roman"/>
          <w:b/>
          <w:sz w:val="20"/>
        </w:rPr>
        <w:t>Requisite Shareholder Approval</w:t>
      </w:r>
      <w:r>
        <w:rPr>
          <w:rFonts w:ascii="Times New Roman" w:hAnsi="Times New Roman"/>
          <w:sz w:val="20"/>
        </w:rPr>
        <w:t xml:space="preserve">” shall have the meaning specified in Section 4.23. </w:t>
      </w:r>
    </w:p>
    <w:p>
      <w:pPr>
        <w:pStyle w:val="TextBody"/>
        <w:bidi w:val="0"/>
        <w:spacing w:before="240" w:after="0"/>
        <w:jc w:val="left"/>
        <w:rPr/>
      </w:pPr>
      <w:r>
        <w:rPr/>
        <w:t>“</w:t>
      </w:r>
      <w:r>
        <w:rPr>
          <w:rFonts w:ascii="Times New Roman" w:hAnsi="Times New Roman"/>
          <w:b/>
          <w:sz w:val="20"/>
        </w:rPr>
        <w:t>Requisite Shareholder Approval Date</w:t>
      </w:r>
      <w:r>
        <w:rPr>
          <w:rFonts w:ascii="Times New Roman" w:hAnsi="Times New Roman"/>
          <w:sz w:val="20"/>
        </w:rPr>
        <w:t xml:space="preserve">” shall have the meaning specified in Section 4.23. </w:t>
      </w:r>
    </w:p>
    <w:p>
      <w:pPr>
        <w:pStyle w:val="TextBody"/>
        <w:bidi w:val="0"/>
        <w:spacing w:before="240" w:after="0"/>
        <w:jc w:val="left"/>
        <w:rPr/>
      </w:pPr>
      <w:r>
        <w:rPr/>
        <w:t>“</w:t>
      </w:r>
      <w:r>
        <w:rPr>
          <w:rFonts w:ascii="Times New Roman" w:hAnsi="Times New Roman"/>
          <w:b/>
          <w:sz w:val="20"/>
        </w:rPr>
        <w:t>Resale Restriction Termination Date</w:t>
      </w:r>
      <w:r>
        <w:rPr>
          <w:rFonts w:ascii="Times New Roman" w:hAnsi="Times New Roman"/>
          <w:sz w:val="20"/>
        </w:rPr>
        <w:t xml:space="preserve">” shall have the meaning specified in Section 2.05(c).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means, when used with respect to the Trustee or the Collateral Agent, as applicable, any officer within the corporate trust department of the Trustee or the Collateral Agent, as applicable, including any vice president, assistant vice president, assistant secretary, assistant treasurer, trust officer or any other officer of the Trustee or the Collateral Agent, as applicable,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 </w:t>
      </w:r>
    </w:p>
    <w:p>
      <w:pPr>
        <w:pStyle w:val="TextBody"/>
        <w:bidi w:val="0"/>
        <w:spacing w:before="240" w:after="0"/>
        <w:jc w:val="left"/>
        <w:rPr/>
      </w:pPr>
      <w:r>
        <w:rPr/>
        <w:t>“</w:t>
      </w:r>
      <w:r>
        <w:rPr>
          <w:rFonts w:ascii="Times New Roman" w:hAnsi="Times New Roman"/>
          <w:b/>
          <w:sz w:val="20"/>
        </w:rPr>
        <w:t>Restricted Payment</w:t>
      </w:r>
      <w:r>
        <w:rPr>
          <w:rFonts w:ascii="Times New Roman" w:hAnsi="Times New Roman"/>
          <w:sz w:val="20"/>
        </w:rPr>
        <w:t xml:space="preserve">” means (a) the payment of any dividends (other than dividends payable in capital stock) or the making of any distribution or payment or the redemption, retirement or purchase of any stock, partnership, membership, or other ownership interest or other equity securities (other than, for the avoidance of doubt, cash payments on the Existing Notes in accordance with Section 4.20) or (b) the making of a principal payment, redemption, repurchase, defeasance, discharge or other acquisition or retirement for value in each case, prior to any scheduled repayment, sinking fund payment or maturity, of any Junior Lien Debt, unsecured Indebtedness or Subordinated Indebtedness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than (i) Indebtedness permitted to be incurred or issued under clause (j) of Section 4.10 and clause (h) of Section 4.12; and (ii) the redemption, defeasance, purchase, repurchase, discharge or other acquisition of Junior Lien Debt, unsecured Indebtedness or Subordinated Indebtedness purchased in anticipation of satisfying a sinking fund obligation, principal installment or final maturity, in each case due within one (1) year of the date of redemption, defeasance, purchase, repurchase, discharge or acquisition. </w:t>
      </w:r>
    </w:p>
    <w:p>
      <w:pPr>
        <w:pStyle w:val="TextBody"/>
        <w:bidi w:val="0"/>
        <w:spacing w:before="240" w:after="0"/>
        <w:jc w:val="left"/>
        <w:rPr/>
      </w:pPr>
      <w:r>
        <w:rPr/>
        <w:t>“</w:t>
      </w:r>
      <w:r>
        <w:rPr>
          <w:rFonts w:ascii="Times New Roman" w:hAnsi="Times New Roman"/>
          <w:b/>
          <w:sz w:val="20"/>
        </w:rPr>
        <w:t>Restricted Securities</w:t>
      </w:r>
      <w:r>
        <w:rPr>
          <w:rFonts w:ascii="Times New Roman" w:hAnsi="Times New Roman"/>
          <w:sz w:val="20"/>
        </w:rPr>
        <w:t xml:space="preserve">” shall have the meaning specified in Section 2.05(c).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as promulgated under the Securities Act. </w:t>
      </w:r>
    </w:p>
    <w:p>
      <w:pPr>
        <w:pStyle w:val="TextBody"/>
        <w:bidi w:val="0"/>
        <w:spacing w:before="240" w:after="0"/>
        <w:jc w:val="left"/>
        <w:rPr/>
      </w:pPr>
      <w:r>
        <w:rPr/>
        <w:t>“</w:t>
      </w:r>
      <w:r>
        <w:rPr>
          <w:rFonts w:ascii="Times New Roman" w:hAnsi="Times New Roman"/>
          <w:b/>
          <w:sz w:val="20"/>
        </w:rPr>
        <w:t>Scheduled Trading Day</w:t>
      </w:r>
      <w:r>
        <w:rPr>
          <w:rFonts w:ascii="Times New Roman" w:hAnsi="Times New Roman"/>
          <w:sz w:val="20"/>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 w:hAnsi="Times New Roman"/>
          <w:b/>
          <w:sz w:val="20"/>
        </w:rPr>
        <w:t>Scheduled Trading Day</w:t>
      </w:r>
      <w:r>
        <w:rPr>
          <w:rFonts w:ascii="Times New Roman" w:hAnsi="Times New Roman"/>
          <w:sz w:val="20"/>
        </w:rPr>
        <w:t xml:space="preserve">” means a Business Day. </w:t>
      </w:r>
    </w:p>
    <w:p>
      <w:pPr>
        <w:pStyle w:val="TextBody"/>
        <w:bidi w:val="0"/>
        <w:spacing w:before="240" w:after="0"/>
        <w:jc w:val="left"/>
        <w:rPr/>
      </w:pPr>
      <w:r>
        <w:rPr/>
        <w:t>“</w:t>
      </w:r>
      <w:r>
        <w:rPr>
          <w:rFonts w:ascii="Times New Roman" w:hAnsi="Times New Roman"/>
          <w:b/>
          <w:sz w:val="20"/>
        </w:rPr>
        <w:t>Second Lien Collateral Documents</w:t>
      </w:r>
      <w:r>
        <w:rPr>
          <w:rFonts w:ascii="Times New Roman" w:hAnsi="Times New Roman"/>
          <w:sz w:val="20"/>
        </w:rPr>
        <w:t xml:space="preserve">” shall have the meaning specified in the Intercreditor Agreement as in effect on the Issue Date. </w:t>
      </w:r>
    </w:p>
    <w:p>
      <w:pPr>
        <w:pStyle w:val="TextBody"/>
        <w:bidi w:val="0"/>
        <w:spacing w:before="240" w:after="0"/>
        <w:jc w:val="left"/>
        <w:rPr/>
      </w:pPr>
      <w:r>
        <w:rPr/>
        <w:t>“</w:t>
      </w:r>
      <w:r>
        <w:rPr>
          <w:rFonts w:ascii="Times New Roman" w:hAnsi="Times New Roman"/>
          <w:b/>
          <w:sz w:val="20"/>
        </w:rPr>
        <w:t>Second Lien Debt</w:t>
      </w:r>
      <w:r>
        <w:rPr>
          <w:rFonts w:ascii="Times New Roman" w:hAnsi="Times New Roman"/>
          <w:sz w:val="20"/>
        </w:rPr>
        <w:t xml:space="preserve">” shall have the meaning specified in the Intercreditor Agreement as in effect on the Issue Date. </w:t>
      </w:r>
    </w:p>
    <w:p>
      <w:pPr>
        <w:pStyle w:val="TextBody"/>
        <w:bidi w:val="0"/>
        <w:spacing w:before="240" w:after="0"/>
        <w:jc w:val="left"/>
        <w:rPr/>
      </w:pPr>
      <w:r>
        <w:rPr/>
        <w:t>“</w:t>
      </w:r>
      <w:r>
        <w:rPr>
          <w:rFonts w:ascii="Times New Roman" w:hAnsi="Times New Roman"/>
          <w:b/>
          <w:sz w:val="20"/>
        </w:rPr>
        <w:t>Second Lien Debt Documents</w:t>
      </w:r>
      <w:r>
        <w:rPr>
          <w:rFonts w:ascii="Times New Roman" w:hAnsi="Times New Roman"/>
          <w:sz w:val="20"/>
        </w:rPr>
        <w:t xml:space="preserve">” shall have the meaning specified in the Intercreditor Agreement as in effect on the Issue Date. </w:t>
      </w:r>
    </w:p>
    <w:p>
      <w:pPr>
        <w:pStyle w:val="TextBody"/>
        <w:bidi w:val="0"/>
        <w:spacing w:before="240" w:after="0"/>
        <w:jc w:val="left"/>
        <w:rPr/>
      </w:pPr>
      <w:r>
        <w:rPr/>
        <w:t>“</w:t>
      </w:r>
      <w:r>
        <w:rPr>
          <w:rFonts w:ascii="Times New Roman" w:hAnsi="Times New Roman"/>
          <w:b/>
          <w:sz w:val="20"/>
        </w:rPr>
        <w:t>Second Lien Obligations</w:t>
      </w:r>
      <w:r>
        <w:rPr>
          <w:rFonts w:ascii="Times New Roman" w:hAnsi="Times New Roman"/>
          <w:sz w:val="20"/>
        </w:rPr>
        <w:t xml:space="preserve">” shall have the meaning specified in the Intercreditor Agreement as in effect on the Issue Date. </w:t>
      </w:r>
    </w:p>
    <w:p>
      <w:pPr>
        <w:pStyle w:val="TextBody"/>
        <w:bidi w:val="0"/>
        <w:spacing w:before="240" w:after="0"/>
        <w:jc w:val="left"/>
        <w:rPr/>
      </w:pPr>
      <w:r>
        <w:rPr/>
        <w:t>“</w:t>
      </w:r>
      <w:r>
        <w:rPr>
          <w:rFonts w:ascii="Times New Roman" w:hAnsi="Times New Roman"/>
          <w:b/>
          <w:sz w:val="20"/>
        </w:rPr>
        <w:t>Second Lien Pari Passu Intercreditor Agreement</w:t>
      </w:r>
      <w:r>
        <w:rPr>
          <w:rFonts w:ascii="Times New Roman" w:hAnsi="Times New Roman"/>
          <w:sz w:val="20"/>
        </w:rPr>
        <w:t xml:space="preserve">” means any agreement among each Second Lien Representative (as defined in the Intercreditor Agreement) and each Second Lien Collateral Agent (as defined in the Intercreditor Agreement) allocating rights among the various Series (as defined in the Intercreditor Agreement) of Second Lien Obligations (as defined in the Intercreditor Agreement). </w:t>
      </w:r>
    </w:p>
    <w:p>
      <w:pPr>
        <w:pStyle w:val="TextBody"/>
        <w:bidi w:val="0"/>
        <w:spacing w:before="240" w:after="0"/>
        <w:jc w:val="left"/>
        <w:rPr/>
      </w:pPr>
      <w:r>
        <w:rPr/>
        <w:t>“</w:t>
      </w:r>
      <w:r>
        <w:rPr>
          <w:rFonts w:ascii="Times New Roman" w:hAnsi="Times New Roman"/>
          <w:b/>
          <w:sz w:val="20"/>
        </w:rPr>
        <w:t>Secured Parties</w:t>
      </w:r>
      <w:r>
        <w:rPr>
          <w:rFonts w:ascii="Times New Roman" w:hAnsi="Times New Roman"/>
          <w:sz w:val="20"/>
        </w:rPr>
        <w:t xml:space="preserve">” means the Trustee, the Collateral Agent, the Holders of the Notes and any other holder of Obligations.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and the rules and regulations of the Commission promulgated thereunder. </w:t>
      </w:r>
    </w:p>
    <w:p>
      <w:pPr>
        <w:pStyle w:val="TextBody"/>
        <w:bidi w:val="0"/>
        <w:spacing w:before="240" w:after="0"/>
        <w:jc w:val="left"/>
        <w:rPr/>
      </w:pPr>
      <w:r>
        <w:rPr/>
        <w:t>“</w:t>
      </w:r>
      <w:r>
        <w:rPr>
          <w:rFonts w:ascii="Times New Roman" w:hAnsi="Times New Roman"/>
          <w:b/>
          <w:sz w:val="20"/>
        </w:rPr>
        <w:t>Settlement Amount</w:t>
      </w:r>
      <w:r>
        <w:rPr>
          <w:rFonts w:ascii="Times New Roman" w:hAnsi="Times New Roman"/>
          <w:sz w:val="20"/>
        </w:rPr>
        <w:t xml:space="preserve">” shall have the meaning specified in Section 14.02(a)(iii). </w:t>
      </w:r>
    </w:p>
    <w:p>
      <w:pPr>
        <w:pStyle w:val="TextBody"/>
        <w:bidi w:val="0"/>
        <w:spacing w:before="240" w:after="0"/>
        <w:jc w:val="left"/>
        <w:rPr/>
      </w:pPr>
      <w:r>
        <w:rPr/>
        <w:t>“</w:t>
      </w:r>
      <w:r>
        <w:rPr>
          <w:rFonts w:ascii="Times New Roman" w:hAnsi="Times New Roman"/>
          <w:b/>
          <w:sz w:val="20"/>
        </w:rPr>
        <w:t>Settlement Method</w:t>
      </w:r>
      <w:r>
        <w:rPr>
          <w:rFonts w:ascii="Times New Roman" w:hAnsi="Times New Roman"/>
          <w:sz w:val="20"/>
        </w:rPr>
        <w:t xml:space="preserve">” means, with respect to any conversion of Notes, Physical Settlement, Cash Settlement or Combination Settlement, as elected (or deemed to have been elected) by the Company. </w:t>
      </w:r>
    </w:p>
    <w:p>
      <w:pPr>
        <w:pStyle w:val="TextBody"/>
        <w:bidi w:val="0"/>
        <w:spacing w:before="240" w:after="0"/>
        <w:jc w:val="left"/>
        <w:rPr/>
      </w:pPr>
      <w:r>
        <w:rPr/>
        <w:t>“</w:t>
      </w:r>
      <w:r>
        <w:rPr>
          <w:rFonts w:ascii="Times New Roman" w:hAnsi="Times New Roman"/>
          <w:b/>
          <w:sz w:val="20"/>
        </w:rPr>
        <w:t>Settlement Method Election Deadline</w:t>
      </w:r>
      <w:r>
        <w:rPr>
          <w:rFonts w:ascii="Times New Roman" w:hAnsi="Times New Roman"/>
          <w:sz w:val="20"/>
        </w:rPr>
        <w:t xml:space="preserve">” shall have the meaning specified in Section 14.02(a)(iii). </w:t>
      </w:r>
    </w:p>
    <w:p>
      <w:pPr>
        <w:pStyle w:val="TextBody"/>
        <w:bidi w:val="0"/>
        <w:spacing w:before="240" w:after="0"/>
        <w:jc w:val="left"/>
        <w:rPr/>
      </w:pPr>
      <w:r>
        <w:rPr/>
        <w:t>“</w:t>
      </w:r>
      <w:r>
        <w:rPr>
          <w:rFonts w:ascii="Times New Roman" w:hAnsi="Times New Roman"/>
          <w:b/>
          <w:sz w:val="20"/>
        </w:rPr>
        <w:t>Settlement Notice</w:t>
      </w:r>
      <w:r>
        <w:rPr>
          <w:rFonts w:ascii="Times New Roman" w:hAnsi="Times New Roman"/>
          <w:sz w:val="20"/>
        </w:rPr>
        <w:t xml:space="preserve">” shall have the meaning specified in Section 14.02(a)(ii).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Significant Subsidiary</w:t>
      </w:r>
      <w:r>
        <w:rPr>
          <w:rFonts w:ascii="Times New Roman" w:hAnsi="Times New Roman"/>
          <w:sz w:val="20"/>
        </w:rPr>
        <w:t xml:space="preserve">” of any Person means any subsidiary of that Person that constitutes a “significant subsidiary” (as defined in Rule 1-02(w) of Regulation S-X under the Exchange Act) of that Person. </w:t>
      </w:r>
    </w:p>
    <w:p>
      <w:pPr>
        <w:pStyle w:val="TextBody"/>
        <w:bidi w:val="0"/>
        <w:spacing w:before="240" w:after="0"/>
        <w:jc w:val="left"/>
        <w:rPr/>
      </w:pPr>
      <w:r>
        <w:rPr/>
        <w:t>“</w:t>
      </w:r>
      <w:r>
        <w:rPr>
          <w:rFonts w:ascii="Times New Roman" w:hAnsi="Times New Roman"/>
          <w:b/>
          <w:sz w:val="20"/>
        </w:rPr>
        <w:t>Specified Dollar Amount</w:t>
      </w:r>
      <w:r>
        <w:rPr>
          <w:rFonts w:ascii="Times New Roman" w:hAnsi="Times New Roman"/>
          <w:sz w:val="20"/>
        </w:rPr>
        <w:t xml:space="preserve">” means the maximum cash amount per $1,000 principal amount of Notes to be received upon conversion as specified in the Settlement Notice related to any converted Notes (or deemed specified pursuant to Section 14.02(a)). </w:t>
      </w:r>
    </w:p>
    <w:p>
      <w:pPr>
        <w:pStyle w:val="TextBody"/>
        <w:bidi w:val="0"/>
        <w:spacing w:before="240" w:after="0"/>
        <w:jc w:val="left"/>
        <w:rPr/>
      </w:pPr>
      <w:r>
        <w:rPr/>
        <w:t>“</w:t>
      </w:r>
      <w:r>
        <w:rPr>
          <w:rFonts w:ascii="Times New Roman" w:hAnsi="Times New Roman"/>
          <w:b/>
          <w:sz w:val="20"/>
        </w:rPr>
        <w:t>Spin-Off</w:t>
      </w:r>
      <w:r>
        <w:rPr>
          <w:rFonts w:ascii="Times New Roman" w:hAnsi="Times New Roman"/>
          <w:sz w:val="20"/>
        </w:rPr>
        <w:t xml:space="preserve">” shall have the meaning specified in Section 14.05(c). </w:t>
      </w:r>
    </w:p>
    <w:p>
      <w:pPr>
        <w:pStyle w:val="TextBody"/>
        <w:bidi w:val="0"/>
        <w:spacing w:before="240" w:after="0"/>
        <w:jc w:val="left"/>
        <w:rPr/>
      </w:pPr>
      <w:r>
        <w:rPr/>
        <w:t>“</w:t>
      </w:r>
      <w:r>
        <w:rPr>
          <w:rFonts w:ascii="Times New Roman" w:hAnsi="Times New Roman"/>
          <w:b/>
          <w:sz w:val="20"/>
        </w:rPr>
        <w:t>Stated Interest</w:t>
      </w:r>
      <w:r>
        <w:rPr>
          <w:rFonts w:ascii="Times New Roman" w:hAnsi="Times New Roman"/>
          <w:sz w:val="20"/>
        </w:rPr>
        <w:t xml:space="preserve">” shall have the meaning specified in Section 2.03(a). </w:t>
      </w:r>
    </w:p>
    <w:p>
      <w:pPr>
        <w:pStyle w:val="TextBody"/>
        <w:bidi w:val="0"/>
        <w:spacing w:before="240" w:after="0"/>
        <w:jc w:val="left"/>
        <w:rPr/>
      </w:pPr>
      <w:r>
        <w:rPr/>
        <w:t>“</w:t>
      </w:r>
      <w:r>
        <w:rPr>
          <w:rFonts w:ascii="Times New Roman" w:hAnsi="Times New Roman"/>
          <w:b/>
          <w:sz w:val="20"/>
        </w:rPr>
        <w:t>Stock Interest Determination Period</w:t>
      </w:r>
      <w:r>
        <w:rPr>
          <w:rFonts w:ascii="Times New Roman" w:hAnsi="Times New Roman"/>
          <w:sz w:val="20"/>
        </w:rPr>
        <w:t xml:space="preserve">” means 20 VWAP Trading Day period beginning on the VWAP Trading Day immediately following the Company’s issuance of a Stock Interest Notice. </w:t>
      </w:r>
    </w:p>
    <w:p>
      <w:pPr>
        <w:pStyle w:val="TextBody"/>
        <w:bidi w:val="0"/>
        <w:spacing w:before="240" w:after="0"/>
        <w:jc w:val="left"/>
        <w:rPr/>
      </w:pPr>
      <w:r>
        <w:rPr/>
        <w:t>“</w:t>
      </w:r>
      <w:r>
        <w:rPr>
          <w:rFonts w:ascii="Times New Roman" w:hAnsi="Times New Roman"/>
          <w:b/>
          <w:sz w:val="20"/>
        </w:rPr>
        <w:t>Stock Interest Floor Price</w:t>
      </w:r>
      <w:r>
        <w:rPr>
          <w:rFonts w:ascii="Times New Roman" w:hAnsi="Times New Roman"/>
          <w:sz w:val="20"/>
        </w:rPr>
        <w:t xml:space="preserve">” means the greater of (a) $1.25 (which is not subject to any adjustments, including pursuant to Section 14.05) and (b) an initial “floor price” of $0.05 per share of Common Stock </w:t>
      </w:r>
      <w:r>
        <w:rPr>
          <w:rFonts w:ascii="Times New Roman" w:hAnsi="Times New Roman"/>
          <w:i/>
          <w:sz w:val="20"/>
        </w:rPr>
        <w:t>provided</w:t>
      </w:r>
      <w:r>
        <w:rPr>
          <w:rFonts w:ascii="Times New Roman" w:hAnsi="Times New Roman"/>
          <w:sz w:val="20"/>
        </w:rPr>
        <w:t xml:space="preserve">, that the initial “floor price” will be adjusted by the Company in a manner inversely proportional to, at the same time and for the same events for which, the Conversion Rate is adjusted pursuant to Section 14.05. </w:t>
      </w:r>
    </w:p>
    <w:p>
      <w:pPr>
        <w:pStyle w:val="TextBody"/>
        <w:bidi w:val="0"/>
        <w:spacing w:before="240" w:after="0"/>
        <w:jc w:val="left"/>
        <w:rPr/>
      </w:pPr>
      <w:r>
        <w:rPr/>
        <w:t>“</w:t>
      </w:r>
      <w:r>
        <w:rPr>
          <w:rFonts w:ascii="Times New Roman" w:hAnsi="Times New Roman"/>
          <w:b/>
          <w:sz w:val="20"/>
        </w:rPr>
        <w:t>Stock Interest Notice</w:t>
      </w:r>
      <w:r>
        <w:rPr>
          <w:rFonts w:ascii="Times New Roman" w:hAnsi="Times New Roman"/>
          <w:sz w:val="20"/>
        </w:rPr>
        <w:t xml:space="preserve">” shall have the meaning specified in Section 2.03(c). </w:t>
      </w:r>
    </w:p>
    <w:p>
      <w:pPr>
        <w:pStyle w:val="TextBody"/>
        <w:bidi w:val="0"/>
        <w:spacing w:before="240" w:after="0"/>
        <w:jc w:val="left"/>
        <w:rPr/>
      </w:pPr>
      <w:r>
        <w:rPr/>
        <w:t>“</w:t>
      </w:r>
      <w:r>
        <w:rPr>
          <w:rFonts w:ascii="Times New Roman" w:hAnsi="Times New Roman"/>
          <w:b/>
          <w:sz w:val="20"/>
        </w:rPr>
        <w:t>Stock Price</w:t>
      </w:r>
      <w:r>
        <w:rPr>
          <w:rFonts w:ascii="Times New Roman" w:hAnsi="Times New Roman"/>
          <w:sz w:val="20"/>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clause (b) of the definition of Fundamental Change, then the Stock Price is the amount of cash paid per share of Common Stock in such Make-Whole Fundamental Change; and (b) in all other cases, the Stock Price is the average of the Last Reported Sale Prices per share of Common Stock for the five consecutive Trading Days ending on, and including, the Trading Day immediately before the effective date of such Make-Whole Fundamental Change. </w:t>
      </w:r>
    </w:p>
    <w:p>
      <w:pPr>
        <w:pStyle w:val="TextBody"/>
        <w:bidi w:val="0"/>
        <w:spacing w:before="240" w:after="0"/>
        <w:jc w:val="left"/>
        <w:rPr/>
      </w:pPr>
      <w:r>
        <w:rPr/>
        <w:t>“</w:t>
      </w:r>
      <w:r>
        <w:rPr>
          <w:rFonts w:ascii="Times New Roman" w:hAnsi="Times New Roman"/>
          <w:b/>
          <w:sz w:val="20"/>
        </w:rPr>
        <w:t>Subordinated Indebtedness</w:t>
      </w:r>
      <w:r>
        <w:rPr>
          <w:rFonts w:ascii="Times New Roman" w:hAnsi="Times New Roman"/>
          <w:sz w:val="20"/>
        </w:rPr>
        <w:t xml:space="preserve">” means (a) with respect to the Company, Indebtedness that is contractually subordinated in right of payment to the Notes and (b) with respect to any Guarantor, Indebtedness that is contractually subordinated in right of payment to the Note Guarantee by such entity.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as to any Person, a corporation, partnership, limited liability company or other entity of which shares of stock, partnership interest, membership interest, or other ownership interest or other equity securities having ordinary voting power (other than stock, partnership interest, membership interest or other ownership interest or other equity securities having such power only by reason of the happening of a contingency) to elect a majority of the board of directors or other managers of such corporation, partnership, limited liability company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a Note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Successor Guarantor</w:t>
      </w:r>
      <w:r>
        <w:rPr>
          <w:rFonts w:ascii="Times New Roman" w:hAnsi="Times New Roman"/>
          <w:sz w:val="20"/>
        </w:rPr>
        <w:t xml:space="preserve">” shall have the meaning specified in Section 13.03. </w:t>
      </w:r>
    </w:p>
    <w:p>
      <w:pPr>
        <w:pStyle w:val="TextBody"/>
        <w:bidi w:val="0"/>
        <w:spacing w:before="240" w:after="0"/>
        <w:jc w:val="left"/>
        <w:rPr/>
      </w:pPr>
      <w:r>
        <w:rPr/>
        <w:t>“</w:t>
      </w:r>
      <w:r>
        <w:rPr>
          <w:rFonts w:ascii="Times New Roman" w:hAnsi="Times New Roman"/>
          <w:b/>
          <w:sz w:val="20"/>
        </w:rPr>
        <w:t>Trademarks</w:t>
      </w:r>
      <w:r>
        <w:rPr>
          <w:rFonts w:ascii="Times New Roman" w:hAnsi="Times New Roman"/>
          <w:sz w:val="20"/>
        </w:rPr>
        <w:t xml:space="preserve">” means, with respect to any Person, any trademark and servicemark rights, whether registered or not, applications to register and registrations of the same and like protections, and the entire goodwill of the business of such Person connected with and symbolized by such trademarks.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means a day on which (a) trading in the Common Stock (or other security for which a closing sale price must be determined) generally occurs on The Nasdaq Global Select Market or, if Common Stock (or such other security) is not then listed on The Nasdaq Global Select Market, on the principal other U.S. national or regional securities exchange on which Common Stock (or such other security) is then listed or, if Common Stock (or such other security) is not then listed on a U.S. national or regional securities exchange, on the principal other market on which Common Stock (or such other security) is then traded, and (b) a Last Reported Sale Price for Common Stock (or such other security) is available on such securities exchange or market. If Common Stock (or such other security) is not so listed or traded, “</w:t>
      </w:r>
      <w:r>
        <w:rPr>
          <w:rFonts w:ascii="Times New Roman" w:hAnsi="Times New Roman"/>
          <w:b/>
          <w:sz w:val="20"/>
        </w:rPr>
        <w:t>Trading Day</w:t>
      </w:r>
      <w:r>
        <w:rPr>
          <w:rFonts w:ascii="Times New Roman" w:hAnsi="Times New Roman"/>
          <w:sz w:val="20"/>
        </w:rPr>
        <w:t xml:space="preserve">” means a Business Day. </w:t>
      </w:r>
    </w:p>
    <w:p>
      <w:pPr>
        <w:pStyle w:val="TextBody"/>
        <w:bidi w:val="0"/>
        <w:spacing w:before="240" w:after="0"/>
        <w:jc w:val="left"/>
        <w:rPr/>
      </w:pPr>
      <w:r>
        <w:rPr/>
        <w:t>“</w:t>
      </w:r>
      <w:r>
        <w:rPr>
          <w:rFonts w:ascii="Times New Roman" w:hAnsi="Times New Roman"/>
          <w:b/>
          <w:sz w:val="20"/>
        </w:rPr>
        <w:t>transfer</w:t>
      </w:r>
      <w:r>
        <w:rPr>
          <w:rFonts w:ascii="Times New Roman" w:hAnsi="Times New Roman"/>
          <w:sz w:val="20"/>
        </w:rPr>
        <w:t xml:space="preserve">” shall have the meaning specified in Section 2.05(c).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Equiniti Trust Company, LLC, and its successors and/or permitted assigns in such capacity. </w:t>
      </w:r>
    </w:p>
    <w:p>
      <w:pPr>
        <w:pStyle w:val="TextBody"/>
        <w:bidi w:val="0"/>
        <w:spacing w:before="240" w:after="0"/>
        <w:jc w:val="left"/>
        <w:rPr/>
      </w:pPr>
      <w:r>
        <w:rPr/>
        <w:t>“</w:t>
      </w:r>
      <w:r>
        <w:rPr>
          <w:rFonts w:ascii="Times New Roman" w:hAnsi="Times New Roman"/>
          <w:b/>
          <w:sz w:val="20"/>
        </w:rPr>
        <w:t>Trustee</w:t>
      </w:r>
      <w:r>
        <w:rPr>
          <w:rFonts w:ascii="Times New Roman" w:hAnsi="Times New Roman"/>
          <w:sz w:val="20"/>
        </w:rPr>
        <w:t>” means the Person named as the “</w:t>
      </w:r>
      <w:r>
        <w:rPr>
          <w:rFonts w:ascii="Times New Roman" w:hAnsi="Times New Roman"/>
          <w:b/>
          <w:sz w:val="20"/>
        </w:rPr>
        <w:t>Trustee</w:t>
      </w:r>
      <w:r>
        <w:rPr>
          <w:rFonts w:ascii="Times New Roman" w:hAnsi="Times New Roman"/>
          <w:sz w:val="20"/>
        </w:rPr>
        <w:t>” in the first paragraph of this Indenture until a successor trustee shall have become such pursuant to the applicable provisions of this Indenture, and thereafter “</w:t>
      </w:r>
      <w:r>
        <w:rPr>
          <w:rFonts w:ascii="Times New Roman" w:hAnsi="Times New Roman"/>
          <w:b/>
          <w:sz w:val="20"/>
        </w:rPr>
        <w:t>Trustee</w:t>
      </w:r>
      <w:r>
        <w:rPr>
          <w:rFonts w:ascii="Times New Roman" w:hAnsi="Times New Roman"/>
          <w:sz w:val="20"/>
        </w:rPr>
        <w:t xml:space="preserve">” shall mean or include each Person who is then a Trustee hereunder. </w:t>
      </w:r>
    </w:p>
    <w:p>
      <w:pPr>
        <w:pStyle w:val="TextBody"/>
        <w:bidi w:val="0"/>
        <w:spacing w:before="240" w:after="0"/>
        <w:jc w:val="left"/>
        <w:rPr/>
      </w:pPr>
      <w:r>
        <w:rPr/>
        <w:t>“</w:t>
      </w:r>
      <w:r>
        <w:rPr>
          <w:rFonts w:ascii="Times New Roman" w:hAnsi="Times New Roman"/>
          <w:b/>
          <w:sz w:val="20"/>
        </w:rPr>
        <w:t>U.S.</w:t>
      </w:r>
      <w:r>
        <w:rPr>
          <w:rFonts w:ascii="Times New Roman" w:hAnsi="Times New Roman"/>
          <w:sz w:val="20"/>
        </w:rPr>
        <w:t> </w:t>
      </w:r>
      <w:r>
        <w:rPr>
          <w:rFonts w:ascii="Times New Roman" w:hAnsi="Times New Roman"/>
          <w:b/>
          <w:sz w:val="20"/>
        </w:rPr>
        <w:t>Dollar Equivalent</w:t>
      </w:r>
      <w:r>
        <w:rPr>
          <w:rFonts w:ascii="Times New Roman" w:hAnsi="Times New Roman"/>
          <w:sz w:val="20"/>
        </w:rPr>
        <w:t xml:space="preserve">” means, with respect to any monetary amount in a currency other than U.S. dollars, at any time for determination thereof, the amount of U.S. dollars obtained by converting such foreign currency involved in such computation into U.S. dollars at the spot rate for the purpose of U.S. dollars with the applicable foreign currency as published in The Wall Street Journal in the “Exchange Rates” column under the heading “Currency Trading” on the date two (2) Business Days prior to such determination. </w:t>
      </w:r>
    </w:p>
    <w:p>
      <w:pPr>
        <w:pStyle w:val="TextBody"/>
        <w:bidi w:val="0"/>
        <w:spacing w:before="240" w:after="0"/>
        <w:jc w:val="left"/>
        <w:rPr/>
      </w:pPr>
      <w:r>
        <w:rPr/>
        <w:t>“</w:t>
      </w:r>
      <w:r>
        <w:rPr>
          <w:rFonts w:ascii="Times New Roman" w:hAnsi="Times New Roman"/>
          <w:b/>
          <w:sz w:val="20"/>
        </w:rPr>
        <w:t>Valuation Period</w:t>
      </w:r>
      <w:r>
        <w:rPr>
          <w:rFonts w:ascii="Times New Roman" w:hAnsi="Times New Roman"/>
          <w:sz w:val="20"/>
        </w:rPr>
        <w:t xml:space="preserve">” shall have the meaning specified in Section 14.05(c). </w:t>
      </w:r>
    </w:p>
    <w:p>
      <w:pPr>
        <w:pStyle w:val="TextBody"/>
        <w:bidi w:val="0"/>
        <w:spacing w:before="240" w:after="0"/>
        <w:jc w:val="left"/>
        <w:rPr/>
      </w:pPr>
      <w:r>
        <w:rPr/>
        <w:t>“</w:t>
      </w:r>
      <w:r>
        <w:rPr>
          <w:rFonts w:ascii="Times New Roman" w:hAnsi="Times New Roman"/>
          <w:b/>
          <w:sz w:val="20"/>
        </w:rPr>
        <w:t>VWAP Trading Day</w:t>
      </w:r>
      <w:r>
        <w:rPr>
          <w:rFonts w:ascii="Times New Roman" w:hAnsi="Times New Roman"/>
          <w:sz w:val="20"/>
        </w:rPr>
        <w:t>” means a day on which (a) there is no Market Disruption Event and (b) trading in the Common Stock generally occurs on The Nasdaq Global Select Market or, if the Common Stock is not then listed on The Nasdaq Global Select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If the Common Stock is not so listed or admitted for trading, “</w:t>
      </w:r>
      <w:r>
        <w:rPr>
          <w:rFonts w:ascii="Times New Roman" w:hAnsi="Times New Roman"/>
          <w:b/>
          <w:sz w:val="20"/>
        </w:rPr>
        <w:t>VWAP Trading Day</w:t>
      </w:r>
      <w:r>
        <w:rPr>
          <w:rFonts w:ascii="Times New Roman" w:hAnsi="Times New Roman"/>
          <w:sz w:val="20"/>
        </w:rPr>
        <w:t xml:space="preserve">” means a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Weighted Average Life to Maturity</w:t>
      </w:r>
      <w:r>
        <w:rPr>
          <w:rFonts w:ascii="Times New Roman" w:hAnsi="Times New Roman"/>
          <w:sz w:val="20"/>
        </w:rPr>
        <w:t xml:space="preserve">”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p>
    <w:p>
      <w:pPr>
        <w:pStyle w:val="TextBody"/>
        <w:bidi w:val="0"/>
        <w:spacing w:before="240" w:after="0"/>
        <w:jc w:val="left"/>
        <w:rPr/>
      </w:pPr>
      <w:r>
        <w:rPr/>
        <w:t>“</w:t>
      </w:r>
      <w:r>
        <w:rPr>
          <w:rFonts w:ascii="Times New Roman" w:hAnsi="Times New Roman"/>
          <w:b/>
          <w:sz w:val="20"/>
        </w:rPr>
        <w:t>Wholly-Owned Subsidiary</w:t>
      </w:r>
      <w:r>
        <w:rPr>
          <w:rFonts w:ascii="Times New Roman" w:hAnsi="Times New Roman"/>
          <w:sz w:val="20"/>
        </w:rPr>
        <w:t xml:space="preserve">” means, with respect to any Person, a Subsidiary of such Person 100% of the Equity Interests of which shall be owned by such Person or by one or more Wholly-Owned Subsidiaries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i/>
          <w:sz w:val="20"/>
        </w:rPr>
        <w:t xml:space="preserve">References to Interest. </w:t>
      </w:r>
      <w:r>
        <w:rPr>
          <w:rFonts w:ascii="Times New Roman" w:hAnsi="Times New Roman"/>
          <w:sz w:val="20"/>
        </w:rPr>
        <w:t xml:space="preserve">Unless the context otherwise requires, any reference to interest on, or in respect of, any Note in this Indenture shall be deemed to include Additional Interest if, in such context, Additional Interest is, was or would be payable pursuant to Section 6.03. Unless the context otherwise requires, any express mention of Additional Interest in any provision hereof shall not be construed as excluding Additional Interest in those provisions hereof where such express mention is not made. Unless the context otherwise requires or an Interest Determination Notice or Stock Interest Notice, as applicable, has been delivered with respect to a specific Interest Payment Date, any express mention of interest in any provision hereof shall be construed as referring to PIK Interest.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i/>
          <w:sz w:val="20"/>
        </w:rPr>
        <w:t xml:space="preserve">Financial Calculations or Limited Condition Transactions. </w:t>
      </w:r>
      <w:r>
        <w:rPr>
          <w:rFonts w:ascii="Times New Roman" w:hAnsi="Times New Roman"/>
          <w:sz w:val="20"/>
        </w:rPr>
        <w:t>When calculating the availability under any basket under this Indenture or compliance with any provision of this Indenture in connection with any Limited Condition Transaction and any actions or transactions related thereto (including the incurrence of, or the prepayment, redemption, purchase, defeasance or satisfaction of, Indebtedness and the use of proceeds thereof, the incurrence or consummation, as applicable, of Liens), in each case, at the option of the Company (the Company’s election to exercise such option, an “</w:t>
      </w:r>
      <w:r>
        <w:rPr>
          <w:rFonts w:ascii="Times New Roman" w:hAnsi="Times New Roman"/>
          <w:b/>
          <w:sz w:val="20"/>
        </w:rPr>
        <w:t>LCT Election</w:t>
      </w:r>
      <w:r>
        <w:rPr>
          <w:rFonts w:ascii="Times New Roman" w:hAnsi="Times New Roman"/>
          <w:sz w:val="20"/>
        </w:rPr>
        <w:t>”), the date of determination for availability under any such basket and whether any such action or transaction is permitted (or any requirement or condition therefor is complied with or satisfied (including as to the absence of any continuing Default or Event of Default)) under this Indenture shall be deemed to be the date (the “</w:t>
      </w:r>
      <w:r>
        <w:rPr>
          <w:rFonts w:ascii="Times New Roman" w:hAnsi="Times New Roman"/>
          <w:b/>
          <w:sz w:val="20"/>
        </w:rPr>
        <w:t>LCT Test Date</w:t>
      </w:r>
      <w:r>
        <w:rPr>
          <w:rFonts w:ascii="Times New Roman" w:hAnsi="Times New Roman"/>
          <w:sz w:val="20"/>
        </w:rPr>
        <w:t xml:space="preserve">”) either (a) the definitive agreements for such Limited Condition Transaction are entered into (or, if applicable, the date of delivery of an irrevocable notice, entry into a binding agreement or similar event) or (b) solely in connection with an acquisition to which the United Kingdom City Code on Takeovers and Mergers applies, the date on which a “Rule 2.7 announcement” of a firm intention to make an offer (or equivalent announcement in another jurisdiction) in respect of a target of a Limited Condition Transaction and, in each case, if, after giving pro forma effect to the Limited Condition Transaction and any actions or transactions related thereto (including the incurrence of Indebtedness and the use of proceeds thereof, the incurrence or consummation, as applicable, of Liens) and any related pro forma adjustments, the Company or any of its Subsidiaries would have been permitted to take such actions or consummate such transactions on the relevant LCT Test Date in compliance with such basket (and any related requirements and conditions), such basket (and any related requirements and conditions) shall be deemed to have been complied with (or satisfied) for all purposes (in the case of Indebtedness, for example, whether such Indebtedness is committed, issued or incurred at the LCT Test Date or at any time thereafter); </w:t>
      </w:r>
      <w:r>
        <w:rPr>
          <w:rFonts w:ascii="Times New Roman" w:hAnsi="Times New Roman"/>
          <w:i/>
          <w:sz w:val="20"/>
        </w:rPr>
        <w:t>provided</w:t>
      </w:r>
      <w:r>
        <w:rPr>
          <w:rFonts w:ascii="Times New Roman" w:hAnsi="Times New Roman"/>
          <w:sz w:val="20"/>
        </w:rPr>
        <w:t xml:space="preserve">, that compliance with such baskets (and any related requirements and conditions) shall not be determined or tested at any time after the applicable LCT Test Date for such Limited Condition Transaction and any actions or transactions related thereto (including the incurrence of Indebtedness and the use of proceeds thereof, the incurrence of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if the Company shall have made an LCT Election, (i) if any of the baskets for which compliance was determined as of the LCT Test Date would at any time after the LCT Test Date have been exceeded or otherwise failed to have been complied with as a result of fluctuations in any basket, such baskets shall not be deemed to have been exceeded or failed to have been complied with as a result of such fluctuations; (ii) 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 Default or Event of Default), such requirements and conditions shall not be deemed to have been failed to be complied with or satisfied (and such default or Event of Default shall be deemed not to have occurred or be continuing); and (iii) in calculating the availability under any basket in connection with any action or transaction unrelated to such Limited Condition Transaction following the relevant LCT Test Date and prior to the earlier of the date on which such Limited Condition Transaction is consummated or the date that the definitive agreement or date for redemption, purchase or repayment specified in an irrevocable notice for such Limited Condition Transaction is terminated, expires or passes, as applicable, without consummation of such Limited Condition Transaction, any such basket shall be determined or tested on a pro forma basis assuming such Limited Condition Transaction and other transactions in connection therewith (including any incurrence of debt and the use of proceeds thereof (but without netting the cash proceeds thereof)) had been consummated. </w:t>
      </w:r>
    </w:p>
    <w:p>
      <w:pPr>
        <w:pStyle w:val="TextBody"/>
        <w:bidi w:val="0"/>
        <w:spacing w:before="480" w:after="0"/>
        <w:jc w:val="center"/>
        <w:rPr>
          <w:rFonts w:ascii="Times New Roman" w:hAnsi="Times New Roman"/>
          <w:sz w:val="20"/>
        </w:rPr>
      </w:pPr>
      <w:r>
        <w:rPr>
          <w:rFonts w:ascii="Times New Roman" w:hAnsi="Times New Roman"/>
          <w:sz w:val="20"/>
        </w:rPr>
        <w:t xml:space="preserve">Article 2. </w:t>
      </w:r>
    </w:p>
    <w:p>
      <w:pPr>
        <w:pStyle w:val="TextBody"/>
        <w:bidi w:val="0"/>
        <w:spacing w:before="0" w:after="0"/>
        <w:jc w:val="center"/>
        <w:rPr>
          <w:rFonts w:ascii="Times New Roman" w:hAnsi="Times New Roman"/>
          <w:sz w:val="20"/>
        </w:rPr>
      </w:pPr>
      <w:r>
        <w:rPr>
          <w:rFonts w:ascii="Times New Roman" w:hAnsi="Times New Roman"/>
          <w:sz w:val="20"/>
        </w:rPr>
        <w:t xml:space="preserve">ISSUE, DESCRIPTION, EXECUTION, REGISTRATION AND EXCHANGE OF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i/>
          <w:sz w:val="20"/>
        </w:rPr>
        <w:t xml:space="preserve">Designation and Amount. </w:t>
      </w:r>
      <w:r>
        <w:rPr>
          <w:rFonts w:ascii="Times New Roman" w:hAnsi="Times New Roman"/>
          <w:sz w:val="20"/>
        </w:rPr>
        <w:t xml:space="preserve">The Notes shall be designated as the “Convertible Senior Secured Second Lien PIK Toggle Notes due 2030.” The aggregate principal amount of Notes that may be authenticated and delivered under this Indenture is initially $208,717,000, subject to Section 2.10 and any PIK Payments permitted by this Indenture that are made pursuant to Section 2.02(b) and Section 2.03 and, except for Notes authenticated and delivered upon registration or transfer of, or in exchange for, or in lieu of other Notes to the extent expressly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i/>
          <w:sz w:val="20"/>
        </w:rPr>
        <w:t>Form of Notes.</w:t>
      </w:r>
      <w:r>
        <w:rPr>
          <w:rFonts w:ascii="Times New Roman" w:hAnsi="Times New Roman"/>
          <w:sz w:val="20"/>
        </w:rPr>
        <w:t xml:space="preserve"> (a)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Any PIK Notes that are Physical Notes will be issued with the designation “PIK Note” on the face of such PIK Note. To the extent applicable, the Company, the Guarantors, the Collateral Agent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 </w:t>
      </w:r>
    </w:p>
    <w:p>
      <w:pPr>
        <w:pStyle w:val="TextBody"/>
        <w:bidi w:val="0"/>
        <w:spacing w:before="240" w:after="0"/>
        <w:jc w:val="left"/>
        <w:rPr>
          <w:rFonts w:ascii="Times New Roman" w:hAnsi="Times New Roman"/>
          <w:sz w:val="20"/>
        </w:rPr>
      </w:pPr>
      <w:r>
        <w:rPr>
          <w:rFonts w:ascii="Times New Roman" w:hAnsi="Times New Roman"/>
          <w:sz w:val="20"/>
        </w:rPr>
        <w:t xml:space="preserve">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 </w:t>
      </w:r>
    </w:p>
    <w:p>
      <w:pPr>
        <w:pStyle w:val="TextBody"/>
        <w:bidi w:val="0"/>
        <w:spacing w:before="240" w:after="0"/>
        <w:jc w:val="left"/>
        <w:rPr>
          <w:rFonts w:ascii="Times New Roman" w:hAnsi="Times New Roman"/>
          <w:sz w:val="20"/>
        </w:rPr>
      </w:pPr>
      <w:r>
        <w:rPr>
          <w:rFonts w:ascii="Times New Roman" w:hAnsi="Times New Roman"/>
          <w:sz w:val="20"/>
        </w:rPr>
        <w:t xml:space="preserve">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repurchases, cancellations, conversions, transfers or exchanges permitted hereby or the payment of PIK Interest as described in Section 2.02(b) below.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Fundamental Change Repurchase Price or in connection with an Optional Redemption or Net Proceeds Offer, in each case, pursuant to Article 15, if applicable) of, and accrued and unpaid interest on, a Global Note shall be made to the Holder of such Note on the date of payment, unless a record date or other means of determining Holders eligible to receive payment is provided for herein. </w:t>
      </w:r>
    </w:p>
    <w:p>
      <w:pPr>
        <w:pStyle w:val="TextBody"/>
        <w:bidi w:val="0"/>
        <w:spacing w:before="240" w:after="0"/>
        <w:jc w:val="left"/>
        <w:rPr>
          <w:rFonts w:ascii="Times New Roman" w:hAnsi="Times New Roman"/>
          <w:sz w:val="20"/>
        </w:rPr>
      </w:pPr>
      <w:r>
        <w:rPr>
          <w:rFonts w:ascii="Times New Roman" w:hAnsi="Times New Roman"/>
          <w:sz w:val="20"/>
        </w:rPr>
        <w:t>(b) If the Company elects to pay PIK Interest in respect of the Notes as set forth in Section 2.03 below, either the outstanding principal amount of the Notes represented by a Global Note shall be increased to reflect such PIK Interest or, for Notes that are Physical Notes, Additional Notes (“</w:t>
      </w:r>
      <w:r>
        <w:rPr>
          <w:rFonts w:ascii="Times New Roman" w:hAnsi="Times New Roman"/>
          <w:b/>
          <w:sz w:val="20"/>
        </w:rPr>
        <w:t>PIK Notes</w:t>
      </w:r>
      <w:r>
        <w:rPr>
          <w:rFonts w:ascii="Times New Roman" w:hAnsi="Times New Roman"/>
          <w:sz w:val="20"/>
        </w:rPr>
        <w:t>”) reflecting such PIK Interest shall be issued under this Indenture having the same terms (except that PIK Notes shall be made in a minimum denomination of $1.00 and integral multiples of $1.00) as the Notes (in each case, a “</w:t>
      </w:r>
      <w:r>
        <w:rPr>
          <w:rFonts w:ascii="Times New Roman" w:hAnsi="Times New Roman"/>
          <w:b/>
          <w:sz w:val="20"/>
        </w:rPr>
        <w:t>PIK Payment</w:t>
      </w:r>
      <w:r>
        <w:rPr>
          <w:rFonts w:ascii="Times New Roman" w:hAnsi="Times New Roman"/>
          <w:sz w:val="20"/>
        </w:rPr>
        <w:t xml:space="preserve">”), as provided in Section 2.03 and delivered in accordance with Section 2.03(b). Any PIK Notes will be considered to be part of the same series of, and rank equally and ratably with all other, Notes issued under this Indenture. In the event that the Company shall determine to pay any amount of interest in the form of cash or Common Stock Interest (as defined below) for any Interest Period, then the Company shall deliver an Interest Determination Notice or Stock Interest Notice, as applicable (each as defined below), to the Trustee as required under Section 2.03(b).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legend substantially in the following form shall also be included on any Notes issued with OID, as defined below: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INFORMATION IS SUPPLIED SOLELY FOR U.S. FEDERAL INCOME TAX PURPOSES. THIS NOTE WAS ISSUED WITH ORIGINAL ISSUE DISCOUNT (“OID”) WITHIN THE MEANING OF SECTION 1273 OF THE INTERNAL REVENUE CODE OF 1986, AS AMENDED (THE “CODE”), AND THIS LEGEND IS REQUIRED BY SECTION 1275(c) OF THE CODE. UPON REQUEST, THE COMPANY WILL PROMPTLY MAKE AVAILABLE TO A HOLDER OF THIS NOTE INFORMATION REGARDING THE ISSUE PRICE, AMOUNT OF OID, ISSUE DATE AND YIELD TO MATURITY OF THE NOTES BY SUBMITTING A WRITTEN REQUEST FOR SUCH INFORMATION TO THE COMPANY AT BEYOND MEAT, INC. 888 N. DOUGLAS ST., SUITE 100, EL SEGUNDO, CALIFORNIA, 90245, ATTENTION: CHIEF LEGAL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i/>
          <w:sz w:val="20"/>
        </w:rPr>
        <w:t>Date and Denomination of Notes; Payments of Interest and Defaulted Amounts.</w:t>
      </w:r>
      <w:r>
        <w:rPr>
          <w:rFonts w:ascii="Times New Roman" w:hAnsi="Times New Roman"/>
          <w:sz w:val="20"/>
        </w:rPr>
        <w:t xml:space="preserve"> (a) The Notes shall be issuable in registered form without coupons in minimum denominations of $1,000 principal amount and integral multiples of $1,000 in excess thereof; </w:t>
      </w:r>
      <w:r>
        <w:rPr>
          <w:rFonts w:ascii="Times New Roman" w:hAnsi="Times New Roman"/>
          <w:i/>
          <w:sz w:val="20"/>
        </w:rPr>
        <w:t>provided</w:t>
      </w:r>
      <w:r>
        <w:rPr>
          <w:rFonts w:ascii="Times New Roman" w:hAnsi="Times New Roman"/>
          <w:sz w:val="20"/>
        </w:rPr>
        <w:t xml:space="preserve"> that after the issuance of PIK Notes or an increase in the principal amount of a Global Note in order to evidence PIK Interest, the minimum denominations shall be $1.00 and integral multiples of $1.00 in excess thereof. Each Note shall be dated the date of its authentication and shall bear interest from and including the Issue Date, or from the most recent date to which interest has been paid or provided for to, but excluding the next scheduled Interest Payment Date, at the rate of 7.00% per annum (the “</w:t>
      </w:r>
      <w:r>
        <w:rPr>
          <w:rFonts w:ascii="Times New Roman" w:hAnsi="Times New Roman"/>
          <w:b/>
          <w:sz w:val="20"/>
        </w:rPr>
        <w:t>Stated Interest</w:t>
      </w:r>
      <w:r>
        <w:rPr>
          <w:rFonts w:ascii="Times New Roman" w:hAnsi="Times New Roman"/>
          <w:sz w:val="20"/>
        </w:rPr>
        <w:t>”). The Company may elect, at its sole option, that interest be paid in cash (“</w:t>
      </w:r>
      <w:r>
        <w:rPr>
          <w:rFonts w:ascii="Times New Roman" w:hAnsi="Times New Roman"/>
          <w:b/>
          <w:sz w:val="20"/>
        </w:rPr>
        <w:t>Cash Interest</w:t>
      </w:r>
      <w:r>
        <w:rPr>
          <w:rFonts w:ascii="Times New Roman" w:hAnsi="Times New Roman"/>
          <w:sz w:val="20"/>
        </w:rPr>
        <w:t>”), or, following the Requisite Shareholder Approval Date and subject to the Liquidity Conditions being met as of the date of the Interest Determination Notice, in Common Stock (“</w:t>
      </w:r>
      <w:r>
        <w:rPr>
          <w:rFonts w:ascii="Times New Roman" w:hAnsi="Times New Roman"/>
          <w:b/>
          <w:sz w:val="20"/>
        </w:rPr>
        <w:t>Common Stock Interest</w:t>
      </w:r>
      <w:r>
        <w:rPr>
          <w:rFonts w:ascii="Times New Roman" w:hAnsi="Times New Roman"/>
          <w:sz w:val="20"/>
        </w:rPr>
        <w:t xml:space="preserve">”) or, if PIK Interest is paid, at the rate of 9.50% per annum; </w:t>
      </w:r>
      <w:r>
        <w:rPr>
          <w:rFonts w:ascii="Times New Roman" w:hAnsi="Times New Roman"/>
          <w:i/>
          <w:sz w:val="20"/>
        </w:rPr>
        <w:t>provided</w:t>
      </w:r>
      <w:r>
        <w:rPr>
          <w:rFonts w:ascii="Times New Roman" w:hAnsi="Times New Roman"/>
          <w:sz w:val="20"/>
        </w:rPr>
        <w:t xml:space="preserve"> that PIK Interest shall be calculated for the preceding Interest Period and shall accrue for any such Interest Period on the applicable outstanding principal amount of the Notes in respect of which PIK Interest is to be paid. Accrued interest on the Notes shall be computed on the basis of a 360-day year composed of twelve 30-day months and, for partial months, on the basis of the number of days actually elapsed in a 30-day month. </w:t>
      </w:r>
    </w:p>
    <w:p>
      <w:pPr>
        <w:pStyle w:val="TextBody"/>
        <w:bidi w:val="0"/>
        <w:spacing w:before="240" w:after="0"/>
        <w:jc w:val="left"/>
        <w:rPr>
          <w:rFonts w:ascii="Times New Roman" w:hAnsi="Times New Roman"/>
          <w:sz w:val="20"/>
        </w:rPr>
      </w:pPr>
      <w:r>
        <w:rPr>
          <w:rFonts w:ascii="Times New Roman" w:hAnsi="Times New Roman"/>
          <w:sz w:val="20"/>
        </w:rPr>
        <w:t>(b) (i) In the event the Company does not intend to pay interest 100% in the form of PIK Interest, the Company shall deliver a notice (an “</w:t>
      </w:r>
      <w:r>
        <w:rPr>
          <w:rFonts w:ascii="Times New Roman" w:hAnsi="Times New Roman"/>
          <w:b/>
          <w:sz w:val="20"/>
        </w:rPr>
        <w:t>Interest Determination Notice</w:t>
      </w:r>
      <w:r>
        <w:rPr>
          <w:rFonts w:ascii="Times New Roman" w:hAnsi="Times New Roman"/>
          <w:sz w:val="20"/>
        </w:rPr>
        <w:t>”) to the Trustee and the Paying Agent (as defined herein) not less than five (5) Business Days prior to the Interest Payment Date of the relevant Interest Period, which notice shall state the outstanding principal amount of Notes with respect to which such interest shall be paid in the form of Cash Interest (and the corresponding amount of such Cash Interest), the outstanding principal amount of Notes with respect to which interest shall be paid in the form of Common Stock Interest (and the corresponding amount of such Common Stock Interest) and the outstanding principal amount of notes with respect to which interest shall be paid in the form of PIK Interest (and the corresponding amount of such PIK Interest) and (ii) in the event the Company intends to pay any interest in the form of Common Stock Interest, the Company shall deliver a notice (a “</w:t>
      </w:r>
      <w:r>
        <w:rPr>
          <w:rFonts w:ascii="Times New Roman" w:hAnsi="Times New Roman"/>
          <w:b/>
          <w:sz w:val="20"/>
        </w:rPr>
        <w:t>Stock Interest Notice</w:t>
      </w:r>
      <w:r>
        <w:rPr>
          <w:rFonts w:ascii="Times New Roman" w:hAnsi="Times New Roman"/>
          <w:sz w:val="20"/>
        </w:rPr>
        <w:t xml:space="preserve">”) to the Trustee and the Holders no later than the date that is one (1) Trading Day prior to the commencement of the relevant Stock Interest Determination Period, which notice shall state the outstanding principal amount of Notes with respect to which interest shall be paid in the form of Common Stock Interest and the Company’s election as to whether Cash Interest or PIK Interest will be paid (a) in lieu of common stock if the Daily VWAP for any Trading Day during the Stock Interest Determination Period is less than the Stock Interest Floor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Price and (b) in lieu of Common Stock Interest if the Liquidity Conditions are not satisfied as of the date that the Interest Determination Notice is sent. If the Company does not timely provide an Interest Determination Notice, the Company shall be deemed to have elected PIK Interest for the relevant Interest Period. The aggregate number of shares of Common Stock deliverable in payment of Common Stock Interest with respect to any Interest Payment Date will be calculated for the relevant Stock Interest Determination Period as: </w:t>
      </w:r>
    </w:p>
    <w:p>
      <w:pPr>
        <w:pStyle w:val="TextBody"/>
        <w:bidi w:val="0"/>
        <w:spacing w:before="120" w:after="0"/>
        <w:jc w:val="left"/>
        <w:rPr>
          <w:rFonts w:ascii="Times New Roman" w:hAnsi="Times New Roman"/>
          <w:sz w:val="20"/>
        </w:rPr>
      </w:pPr>
      <w:r>
        <w:rPr>
          <w:rFonts w:ascii="Times New Roman" w:hAnsi="Times New Roman"/>
          <w:sz w:val="20"/>
        </w:rPr>
        <w:t xml:space="preserve">(I/RP)*(SE/O),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sz w:val="20"/>
        </w:rPr>
        <w:t xml:space="preserve">I = the amount of interest calculated at the Stated Interest rate that will be payable on the applicable Interest Payment Date with respect to the aggregate principal amount of Notes outstanding; </w:t>
      </w:r>
    </w:p>
    <w:p>
      <w:pPr>
        <w:pStyle w:val="TextBody"/>
        <w:bidi w:val="0"/>
        <w:spacing w:before="240" w:after="0"/>
        <w:jc w:val="left"/>
        <w:rPr>
          <w:rFonts w:ascii="Times New Roman" w:hAnsi="Times New Roman"/>
          <w:sz w:val="20"/>
        </w:rPr>
      </w:pPr>
      <w:r>
        <w:rPr>
          <w:rFonts w:ascii="Times New Roman" w:hAnsi="Times New Roman"/>
          <w:sz w:val="20"/>
        </w:rPr>
        <w:t xml:space="preserve">SE = the aggregate principal amount of Notes outstanding with respect to which the Company has elected to pay Common Stock Interest, as specified in the Stock Interest Notice; </w:t>
      </w:r>
    </w:p>
    <w:p>
      <w:pPr>
        <w:pStyle w:val="TextBody"/>
        <w:bidi w:val="0"/>
        <w:spacing w:before="240" w:after="0"/>
        <w:jc w:val="left"/>
        <w:rPr>
          <w:rFonts w:ascii="Times New Roman" w:hAnsi="Times New Roman"/>
          <w:sz w:val="20"/>
        </w:rPr>
      </w:pPr>
      <w:r>
        <w:rPr>
          <w:rFonts w:ascii="Times New Roman" w:hAnsi="Times New Roman"/>
          <w:sz w:val="20"/>
        </w:rPr>
        <w:t xml:space="preserve">O = the aggregate principal amount of Notes outstanding; </w:t>
      </w:r>
    </w:p>
    <w:p>
      <w:pPr>
        <w:pStyle w:val="TextBody"/>
        <w:bidi w:val="0"/>
        <w:spacing w:before="240" w:after="0"/>
        <w:jc w:val="left"/>
        <w:rPr>
          <w:rFonts w:ascii="Times New Roman" w:hAnsi="Times New Roman"/>
          <w:sz w:val="20"/>
        </w:rPr>
      </w:pPr>
      <w:r>
        <w:rPr>
          <w:rFonts w:ascii="Times New Roman" w:hAnsi="Times New Roman"/>
          <w:sz w:val="20"/>
        </w:rPr>
        <w:t xml:space="preserve">RP = average of the daily VWAPs (counting only those daily VWAPs equal to or above $F) during the Stock Interest Determination Period; and </w:t>
      </w:r>
    </w:p>
    <w:p>
      <w:pPr>
        <w:pStyle w:val="TextBody"/>
        <w:bidi w:val="0"/>
        <w:spacing w:before="240" w:after="0"/>
        <w:jc w:val="left"/>
        <w:rPr>
          <w:rFonts w:ascii="Times New Roman" w:hAnsi="Times New Roman"/>
          <w:sz w:val="20"/>
        </w:rPr>
      </w:pPr>
      <w:r>
        <w:rPr>
          <w:rFonts w:ascii="Times New Roman" w:hAnsi="Times New Roman"/>
          <w:sz w:val="20"/>
        </w:rPr>
        <w:t xml:space="preserve">F = the Stock Interest Floor Price;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if the daily VWAP for any VWAP Trading Day during the Stock Interest Determination Period is less than $F, then we shall reduce the dollar amount for which interest is paid in Common Stock Interest by an amount equal to (and pay an additional amount of cash interest or PIK Interest (at the 9.50% PIK Interest rate) for an amount equal to): </w:t>
      </w:r>
    </w:p>
    <w:p>
      <w:pPr>
        <w:pStyle w:val="TextBody"/>
        <w:bidi w:val="0"/>
        <w:spacing w:before="240" w:after="0"/>
        <w:jc w:val="left"/>
        <w:rPr>
          <w:rFonts w:ascii="Times New Roman" w:hAnsi="Times New Roman"/>
          <w:sz w:val="20"/>
        </w:rPr>
      </w:pPr>
      <w:r>
        <w:rPr>
          <w:rFonts w:ascii="Times New Roman" w:hAnsi="Times New Roman"/>
          <w:sz w:val="20"/>
        </w:rPr>
        <w:t xml:space="preserve">(I*(N/20))*(SE/O),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rFonts w:ascii="Times New Roman" w:hAnsi="Times New Roman"/>
          <w:sz w:val="20"/>
        </w:rPr>
      </w:pPr>
      <w:r>
        <w:rPr>
          <w:rFonts w:ascii="Times New Roman" w:hAnsi="Times New Roman"/>
          <w:sz w:val="20"/>
        </w:rPr>
        <w:t xml:space="preserve">N = the number of VWAP Trading Days during the Stock Interest Determination Period that the daily VWAP was less than $F. </w:t>
      </w:r>
    </w:p>
    <w:p>
      <w:pPr>
        <w:pStyle w:val="TextBody"/>
        <w:bidi w:val="0"/>
        <w:spacing w:before="240" w:after="0"/>
        <w:jc w:val="left"/>
        <w:rPr>
          <w:rFonts w:ascii="Times New Roman" w:hAnsi="Times New Roman"/>
          <w:sz w:val="20"/>
        </w:rPr>
      </w:pPr>
      <w:r>
        <w:rPr>
          <w:rFonts w:ascii="Times New Roman" w:hAnsi="Times New Roman"/>
          <w:sz w:val="20"/>
        </w:rPr>
        <w:t xml:space="preserve">In lieu of delivering any fractional share of Common Stock otherwise issuable as payment for a portion of the Stated Interest that the Company has duly elected to pay in Common Stock Interest, the Company shall pay cash in lieu of such fractional share based on the applicable Dollar Conversion Price. </w:t>
      </w:r>
    </w:p>
    <w:p>
      <w:pPr>
        <w:pStyle w:val="TextBody"/>
        <w:bidi w:val="0"/>
        <w:spacing w:before="240" w:after="0"/>
        <w:jc w:val="left"/>
        <w:rPr>
          <w:rFonts w:ascii="Times New Roman" w:hAnsi="Times New Roman"/>
          <w:sz w:val="20"/>
        </w:rPr>
      </w:pPr>
      <w:r>
        <w:rPr>
          <w:rFonts w:ascii="Times New Roman" w:hAnsi="Times New Roman"/>
          <w:sz w:val="20"/>
        </w:rPr>
        <w:t xml:space="preserve">For Economic Interest Holders that have elected the Opt-In Procedures in Section 14.14, the Stock Interest Notice shall specify that such Economic Interest Holders may provide notice and a representation to the Company of the number of shares of Common Stock beneficially owned by the Economic Interest Holder together with its Attribution Parties prior to such issuance up to five (5) Business Days prior to the date of settlement of any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PIK Interest on the Notes will be payable to Holders, and (x) with respect to the Notes represented by one or more Global Notes registered in the name of, or held by, the Depositary or its nominee on the relevant Regular Record Date, by increasing the principal amount of the outstanding Global Notes by an amount equal to the amount of PIK Interest for the applicable Interest Period (rounded to the nearest whole dollar, with amounts of $0.50 or more being rounded up), and the Trustee will, upon receipt of a Company Order from the Company, record such increase in principal amount and (y) with respect to Notes represented by Physical Notes, by issuing PIK Notes in the form of Physical Notes in an aggregate principal amount equal to the amount of PIK Interest for the applicable Interest Period (rounded to the nearest whole dollar, with amounts of $0.50 or more being rounded up), and the Trustee will, upon receipt of a Company Order and PIK Notes from the Company, authenticate and deliver such PIK Notes in certificated form for original issuance to the Holders on the relevant record date, as shown by the records of the register of Holders. Following an increase in the principal amount of the outstanding Global Notes as a result of a PIK Payment, the Global Notes will bear interest on such increased principal amount from and after the date of such PIK Payment. Any PIK Notes issued in the form of Physical Notes will be distributed to Holders, will be dated as of the applicable Interest Payment Date and will bear interest from and after such date in accordance with the terms of this Indenture. All Notes issued pursuant to a PIK Payment will mature on the Maturity Date and will be governed by, and subject to the terms, provisions and conditions of, this Indenture and shall have the same rights and benefits as the other Notes. Any PIK Notes issued in the form of Physical Notes will be issued with the description “PIK Note” on the face of such PIK Note. </w:t>
      </w:r>
    </w:p>
    <w:p>
      <w:pPr>
        <w:pStyle w:val="TextBody"/>
        <w:bidi w:val="0"/>
        <w:spacing w:before="120" w:after="0"/>
        <w:jc w:val="left"/>
        <w:rPr>
          <w:rFonts w:ascii="Times New Roman" w:hAnsi="Times New Roman"/>
          <w:sz w:val="20"/>
        </w:rPr>
      </w:pPr>
      <w:r>
        <w:rPr>
          <w:rFonts w:ascii="Times New Roman" w:hAnsi="Times New Roman"/>
          <w:sz w:val="20"/>
        </w:rPr>
        <w:t xml:space="preserve">(iii) The payment of accrued and unpaid interest (including interest that would otherwise be PIK Interest when paid) in connection with any acceleration, Optional Redemption or repurchase in connection with a Fundamental Change or Net Proceeds Offer, in each case, pursuant to Article 15, Mandatory Equitization pursuant to Article 17, or at maturity (whether stated or otherwise) of the Notes, shall, in each case, be made in Cash Interest or, to the extent otherwise permitted under this Indenture, as Common Stock Interest. </w:t>
      </w:r>
    </w:p>
    <w:p>
      <w:pPr>
        <w:pStyle w:val="TextBody"/>
        <w:bidi w:val="0"/>
        <w:spacing w:before="240" w:after="0"/>
        <w:jc w:val="left"/>
        <w:rPr>
          <w:rFonts w:ascii="Times New Roman" w:hAnsi="Times New Roman"/>
          <w:sz w:val="20"/>
        </w:rPr>
      </w:pPr>
      <w:r>
        <w:rPr>
          <w:rFonts w:ascii="Times New Roman" w:hAnsi="Times New Roman"/>
          <w:sz w:val="20"/>
        </w:rPr>
        <w:t xml:space="preserve">(c) The Person in whose name any Note (or its Predecessor Note) is registered on the Note Register at the close of business on any Regular Record Date with respect to any Interest Payment Date shall be entitled to receive the interest payable on such Interest Payment Date. The Company shall pay (or cause the Paying Agent to pay) the principal amount of any Note (x) in the case of any Physical Note, at the office or agency of the Company designated by the Company for such purposes in the United States of America, which shall initially be the Corporate Trust Office and (y) in the case of any Global Note, by wire transfer of immediately available funds to the account of the Depositary or its nominee. The Company shall pay (or cause the Paying Agent to pay) Cash Interest (i) on any Physical Notes (a) to Holders holding Physical Notes having an aggregate principal amount of $5,000,000 or less, by check mailed to the Holders of these Notes at their address as it appears in the Note Register and (b) to Holders holding Physical Notes having an aggregate principal amount of more than $5,000,000, either by check mailed to each such Holder or, upon application by such a Holder to the Note Registrar (containing the requisite information for the Trustee or Paying Agent to make such wire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later than the relevant Regular Record Date, by wire transfer in immediately available funds to that Holder’s account within the United States of America if such Holder has provided the Company, the Trustee or the Paying Agent (if other than the Trustee)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 </w:t>
      </w:r>
    </w:p>
    <w:p>
      <w:pPr>
        <w:pStyle w:val="TextBody"/>
        <w:bidi w:val="0"/>
        <w:spacing w:before="240" w:after="0"/>
        <w:jc w:val="left"/>
        <w:rPr>
          <w:rFonts w:ascii="Times New Roman" w:hAnsi="Times New Roman"/>
          <w:sz w:val="20"/>
        </w:rPr>
      </w:pPr>
      <w:r>
        <w:rPr>
          <w:rFonts w:ascii="Times New Roman" w:hAnsi="Times New Roman"/>
          <w:sz w:val="20"/>
        </w:rPr>
        <w:t xml:space="preserve">(d) Any Defaulted Amounts shall forthwith cease to be payable to the Holder on the relevant payment date but shall accrue interest per annum at the rate borne by the Notes from, and including, such relevant payment date, and such Defaulted Amounts together with such interest thereon shall be paid via Cash Interest by the Company, at its election in each case, as provided in clause (i) or (ii) below: </w:t>
      </w:r>
    </w:p>
    <w:p>
      <w:pPr>
        <w:pStyle w:val="TextBody"/>
        <w:bidi w:val="0"/>
        <w:spacing w:before="120" w:after="0"/>
        <w:jc w:val="left"/>
        <w:rPr>
          <w:rFonts w:ascii="Times New Roman" w:hAnsi="Times New Roman"/>
          <w:sz w:val="20"/>
        </w:rPr>
      </w:pPr>
      <w:r>
        <w:rPr>
          <w:rFonts w:ascii="Times New Roman" w:hAnsi="Times New Roman"/>
          <w:sz w:val="20"/>
        </w:rPr>
        <w:t xml:space="preserve">(i) 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twenty-five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fifteen (15) days and not less than ten (10) days prior to the date of the proposed payment, and not less than ten (10) days after the receipt by the Trustee of the notice of the proposed payment (unless the Trustee shall consent to an earlier date). The Company shall promptly notify the Trustee in writing of such special record date and the Trustee, in the name and at the expense of the Company, shall cause notice of the proposed payment of such Defaulted Amounts and the special record date therefor to be delivered to each Holder at its address as it appears in the Note Register, or by electronic means to the Depositary in the case of Global Notes, not less than ten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2.03(d). The Trustee shall have no responsibility whatsoever for the calculation of the Defaulted Amounts.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2.04 </w:t>
      </w:r>
      <w:r>
        <w:rPr>
          <w:rFonts w:ascii="Times New Roman" w:hAnsi="Times New Roman"/>
          <w:i/>
          <w:sz w:val="20"/>
        </w:rPr>
        <w:t xml:space="preserve">Execution, Authentication and Delivery of Notes. </w:t>
      </w:r>
      <w:r>
        <w:rPr>
          <w:rFonts w:ascii="Times New Roman" w:hAnsi="Times New Roman"/>
          <w:sz w:val="20"/>
        </w:rPr>
        <w:t xml:space="preserve">The Notes shall be signed in the name and on behalf of the Company by the manual or facsimile or other electronic signature of any of its Chief Executive Officer, President, Chief Financial Officer, Treasurer, Secretary or any of its Executive or Senior Vice Presidents. </w:t>
      </w:r>
    </w:p>
    <w:p>
      <w:pPr>
        <w:pStyle w:val="TextBody"/>
        <w:bidi w:val="0"/>
        <w:spacing w:before="240" w:after="0"/>
        <w:jc w:val="left"/>
        <w:rPr>
          <w:rFonts w:ascii="Times New Roman" w:hAnsi="Times New Roman"/>
          <w:sz w:val="20"/>
        </w:rPr>
      </w:pPr>
      <w:r>
        <w:rPr>
          <w:rFonts w:ascii="Times New Roman" w:hAnsi="Times New Roman"/>
          <w:sz w:val="20"/>
        </w:rPr>
        <w:t xml:space="preserve">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 </w:t>
      </w:r>
      <w:r>
        <w:rPr>
          <w:rFonts w:ascii="Times New Roman" w:hAnsi="Times New Roman"/>
          <w:i/>
          <w:sz w:val="20"/>
        </w:rPr>
        <w:t>provided</w:t>
      </w:r>
      <w:r>
        <w:rPr>
          <w:rFonts w:ascii="Times New Roman" w:hAnsi="Times New Roman"/>
          <w:sz w:val="20"/>
        </w:rPr>
        <w:t xml:space="preserve"> that, as set forth in Section 18.05, the Trustee shall be entitled to receive an Officer’s Certificate and (other than with respect to any PIK Notes) an Opinion of Counsel of the Company with respect to the issuance, authentication and delivery of such Notes. </w:t>
      </w:r>
    </w:p>
    <w:p>
      <w:pPr>
        <w:pStyle w:val="TextBody"/>
        <w:bidi w:val="0"/>
        <w:spacing w:before="240" w:after="0"/>
        <w:jc w:val="left"/>
        <w:rPr>
          <w:rFonts w:ascii="Times New Roman" w:hAnsi="Times New Roman"/>
          <w:sz w:val="20"/>
        </w:rPr>
      </w:pPr>
      <w:r>
        <w:rPr>
          <w:rFonts w:ascii="Times New Roman" w:hAnsi="Times New Roman"/>
          <w:sz w:val="20"/>
        </w:rPr>
        <w:t xml:space="preserve">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18.09),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i/>
          <w:sz w:val="20"/>
        </w:rPr>
        <w:t>Exchange and Registration of Transfer of Notes; Restrictions on Transfer; Depositary.</w:t>
      </w:r>
      <w:r>
        <w:rPr>
          <w:rFonts w:ascii="Times New Roman" w:hAnsi="Times New Roman"/>
          <w:sz w:val="20"/>
        </w:rPr>
        <w:t xml:space="preserve"> (a) The Company shall cause to be kept at the Corporate Trust Office a register (the register maintained in such office or in any other office or agency of the Company designated pursuant to Section 4.02, the “</w:t>
      </w:r>
      <w:r>
        <w:rPr>
          <w:rFonts w:ascii="Times New Roman" w:hAnsi="Times New Roman"/>
          <w:b/>
          <w:sz w:val="20"/>
        </w:rPr>
        <w:t>Note Register</w:t>
      </w:r>
      <w:r>
        <w:rPr>
          <w:rFonts w:ascii="Times New Roman" w:hAnsi="Times New Roman"/>
          <w:sz w:val="20"/>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hAnsi="Times New Roman"/>
          <w:b/>
          <w:sz w:val="20"/>
        </w:rPr>
        <w:t>Note Registrar</w:t>
      </w:r>
      <w:r>
        <w:rPr>
          <w:rFonts w:ascii="Times New Roman" w:hAnsi="Times New Roman"/>
          <w:sz w:val="20"/>
        </w:rPr>
        <w:t xml:space="preserve">” for the purpose of registering Notes and transfers of Notes as herein provided. The Company may appoint one or more co-Note Registrars in accordance with Section 4.02.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delivery for registration of transfer of any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Notes may be exchanged for other Notes of any authorized denominations and of a like aggregate principal amount, upon delivery of the Notes to be exchanged at any such office or agency maintained by the Company pursuant to Section 4.02. Whenever any Notes are so delivered for exchange, the Company shall execute, and the Trustee shall authenticate and deliver, the Notes that the Holder making the exchange is entitled to receive, bearing registration numbers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All Notes presented or delivered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imposed by the Company, the Guarantors,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delivered for exchange or registration of transfer.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 the Guarantors, the Trustee, the Note Registrar or any co-Note Registrar shall be required to exchange or register a transfer of (i) any Notes delivered for conversion or, if a portion of any Note is delivered for conversion, such portion thereof delivered for conversion or (ii) any Notes, or a portion of any Note, delivered for repurchase (and not withdrawn) in accordance with Article 15. </w:t>
      </w:r>
    </w:p>
    <w:p>
      <w:pPr>
        <w:pStyle w:val="TextBody"/>
        <w:bidi w:val="0"/>
        <w:spacing w:before="240" w:after="0"/>
        <w:jc w:val="left"/>
        <w:rPr>
          <w:rFonts w:ascii="Times New Roman" w:hAnsi="Times New Roman"/>
          <w:sz w:val="20"/>
        </w:rPr>
      </w:pPr>
      <w:r>
        <w:rPr>
          <w:rFonts w:ascii="Times New Roman" w:hAnsi="Times New Roman"/>
          <w:sz w:val="20"/>
        </w:rPr>
        <w:t xml:space="preserve">All Notes issued upon any registration of transfer or exchange of Notes in accordance with this Indenture shall be the valid obligations of the Company, evidencing the same debt, and entitled to the same benefits under this Indenture as the Notes delivered upon such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(b) 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 w:hAnsi="Times New Roman"/>
          <w:b/>
          <w:sz w:val="20"/>
        </w:rPr>
        <w:t>Global Note</w:t>
      </w:r>
      <w:r>
        <w:rPr>
          <w:rFonts w:ascii="Times New Roman" w:hAnsi="Times New Roman"/>
          <w:sz w:val="20"/>
        </w:rPr>
        <w:t xml:space="preserve">”) registered in the name of the Depositary or the nominee of the Depositary. Each Global Note shall bear the legend required on a Global Note set forth in Exhibit A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Every Note that bears or is required under this Section 2.05(c) to bear the legend set forth in this Section 2.05(c) (together with any Common Stock issued upon conversion of the Notes that is required to bear the legend set forth in Section 2.05(d), collectively, the “</w:t>
      </w:r>
      <w:r>
        <w:rPr>
          <w:rFonts w:ascii="Times New Roman" w:hAnsi="Times New Roman"/>
          <w:b/>
          <w:sz w:val="20"/>
        </w:rPr>
        <w:t>Restricted Securities</w:t>
      </w:r>
      <w:r>
        <w:rPr>
          <w:rFonts w:ascii="Times New Roman" w:hAnsi="Times New Roman"/>
          <w:sz w:val="20"/>
        </w:rPr>
        <w:t>”) shall be subject to the restrictions on transfer set forth in this Section 2.05(c) (including those contained in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 w:hAnsi="Times New Roman"/>
          <w:b/>
          <w:sz w:val="20"/>
        </w:rPr>
        <w:t>transfer</w:t>
      </w:r>
      <w:r>
        <w:rPr>
          <w:rFonts w:ascii="Times New Roman" w:hAnsi="Times New Roman"/>
          <w:sz w:val="20"/>
        </w:rPr>
        <w:t xml:space="preserve">” encompasses any sale, pledge, transfer or other disposition whatsoever of any Restricted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determines that any Note is required to bear the legend below, any certificate evidencing such Note (and all securities issued in exchange therefor or substitution thereof, other than Common Stock, if any, issued upon conversion thereof, which shall bear the legend set forth in Section 2.05(d), if applicable) shall bear a legend in substantially the following form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 </w:t>
      </w:r>
    </w:p>
    <w:p>
      <w:pPr>
        <w:pStyle w:val="TextBody"/>
        <w:bidi w:val="0"/>
        <w:spacing w:before="120" w:after="0"/>
        <w:jc w:val="left"/>
        <w:rPr>
          <w:rFonts w:ascii="Times New Roman" w:hAnsi="Times New Roman"/>
          <w:sz w:val="20"/>
        </w:rPr>
      </w:pPr>
      <w:r>
        <w:rPr>
          <w:rFonts w:ascii="Times New Roman" w:hAnsi="Times New Roman"/>
          <w:sz w:val="20"/>
        </w:rPr>
        <w:t>THIS SECURITY AND THE COMMON STOCK, IF ANY, ISSUABLE UPON CONVERSION OF THIS SECURITY HAVE NOT BEEN REGISTERED UNDER THE SECURITIES ACT OF 1933, AS AMENDED (THE “</w:t>
      </w:r>
      <w:r>
        <w:rPr>
          <w:rFonts w:ascii="Times New Roman" w:hAnsi="Times New Roman"/>
          <w:b/>
          <w:sz w:val="20"/>
        </w:rPr>
        <w:t>SECURITIES ACT</w:t>
      </w:r>
      <w:r>
        <w:rPr>
          <w:rFonts w:ascii="Times New Roman" w:hAnsi="Times New Roman"/>
          <w:sz w:val="20"/>
        </w:rPr>
        <w:t>”), AND MAY NOT BE OFFERED, SOLD, PLEDGED OR OTHERWISE TRANSFERRED EXCEPT IN ACCORDANCE WITH THE FOLLOWING SENTENCE. BY ITS ACQUISITION HEREOF OR OF A BENEFICIAL INTEREST HEREIN, THE ACQUIRER AGREES FOR THE BENEFIT OF BEYOND MEAT, INC. (THE “</w:t>
      </w:r>
      <w:r>
        <w:rPr>
          <w:rFonts w:ascii="Times New Roman" w:hAnsi="Times New Roman"/>
          <w:b/>
          <w:sz w:val="20"/>
        </w:rPr>
        <w:t>COMPANY</w:t>
      </w:r>
      <w:r>
        <w:rPr>
          <w:rFonts w:ascii="Times New Roman" w:hAnsi="Times New Roman"/>
          <w:sz w:val="20"/>
        </w:rPr>
        <w:t xml:space="preserve">”) THAT IT WILL NOT OFFER, SELL, PLEDGE OR OTHERWISE TRANSFER THIS SECURITY OR ANY BENEFICIAL INTEREST HEREIN PRIOR TO THE DATE THAT IS THE LATEST OF (X) ONE YEAR AFTER THE DATE OF ORIGINAL ISSUANCE HEREOF OR SUCH SHORTER PERIOD OF TIME AS PERMITTED BY RULE 144 OR ANY SUCCESSOR PROVISION THERETO, (Y) SUCH LATER DATE, IF ANY, AS MAY BE REQUIRED BY APPLICABLE LAW (AS DETERMINED IN GOOD FAITH BY THE COMPANY), AND (Z) THE DATE THE COMPANY RECEIVES NOTICE FROM A HOLDER REQUESTING THAT THE LEGEND BE REMOVED, EXCEPT: </w:t>
      </w:r>
    </w:p>
    <w:p>
      <w:pPr>
        <w:pStyle w:val="TextBody"/>
        <w:bidi w:val="0"/>
        <w:spacing w:before="120" w:after="0"/>
        <w:jc w:val="left"/>
        <w:rPr>
          <w:rFonts w:ascii="Times New Roman" w:hAnsi="Times New Roman"/>
          <w:sz w:val="20"/>
        </w:rPr>
      </w:pPr>
      <w:r>
        <w:rPr>
          <w:rFonts w:ascii="Times New Roman" w:hAnsi="Times New Roman"/>
          <w:sz w:val="20"/>
        </w:rPr>
        <w:t xml:space="preserve">(i) TO THE COMPANY OR ANY SUBSIDIARY THEREOF, OR </w:t>
      </w:r>
    </w:p>
    <w:p>
      <w:pPr>
        <w:pStyle w:val="TextBody"/>
        <w:bidi w:val="0"/>
        <w:spacing w:before="120" w:after="0"/>
        <w:jc w:val="left"/>
        <w:rPr>
          <w:rFonts w:ascii="Times New Roman" w:hAnsi="Times New Roman"/>
          <w:sz w:val="20"/>
        </w:rPr>
      </w:pPr>
      <w:r>
        <w:rPr>
          <w:rFonts w:ascii="Times New Roman" w:hAnsi="Times New Roman"/>
          <w:sz w:val="20"/>
        </w:rPr>
        <w:t xml:space="preserve">(ii) PURSUANT TO A REGISTRATION STATEMENT WHICH HAS BECOME EFFECTIVE UNDER THE SECURITIES ACT, OR </w:t>
      </w:r>
    </w:p>
    <w:p>
      <w:pPr>
        <w:pStyle w:val="TextBody"/>
        <w:bidi w:val="0"/>
        <w:spacing w:before="120" w:after="0"/>
        <w:jc w:val="left"/>
        <w:rPr>
          <w:rFonts w:ascii="Times New Roman" w:hAnsi="Times New Roman"/>
          <w:sz w:val="20"/>
        </w:rPr>
      </w:pPr>
      <w:r>
        <w:rPr>
          <w:rFonts w:ascii="Times New Roman" w:hAnsi="Times New Roman"/>
          <w:sz w:val="20"/>
        </w:rPr>
        <w:t xml:space="preserve">(iii) PURSUANT TO AN EXEMPTION FROM REGISTRATION PROVIDED BY RULE 144 UNDER THE SECURITIES ACT OR ANY OTHER AVAILABLE EXEMPTION FROM THE REGISTRATION REQUIREMENTS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THE REGISTRATION OF ANY TRANSFER IN ACCORDANCE WITH CLAUSE (iii)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No transfer of any Note that bears a legend as set forth in this Section 2.05(c) will be registered by the Note Registrar unless the applicable box on the Form of Assignment and Transfer has been checked. </w:t>
      </w:r>
    </w:p>
    <w:p>
      <w:pPr>
        <w:pStyle w:val="TextBody"/>
        <w:bidi w:val="0"/>
        <w:spacing w:before="240" w:after="0"/>
        <w:jc w:val="left"/>
        <w:rPr>
          <w:rFonts w:ascii="Times New Roman" w:hAnsi="Times New Roman"/>
          <w:sz w:val="20"/>
        </w:rPr>
      </w:pPr>
      <w:r>
        <w:rPr>
          <w:rFonts w:ascii="Times New Roman" w:hAnsi="Times New Roman"/>
          <w:sz w:val="20"/>
        </w:rPr>
        <w:t>Any Note that bears a legend as set forth in this Section 2.05(c)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delivery of such Note for exchange to the Note Registrar in accordance with the provisions of this Section 2.05, be exchanged for a new Note or Notes, of like tenor and aggregate principal amount, which shall not bear the restrictive legend required by this Section 2.05(c) and shall not be assigned a restricted CUSIP number. The Company shall be entitled to instruct the Custodian in writing to so deliver any Global Note as to which any of the conditions set forth in clause (i) through (iii) of the immediately preceding sentence have been satisfied, and, upon such instruction, the Custodian shall so deliver such Global Note for exchange; and any new Global Note so exchanged therefor shall not bear the restrictive legend specified in this Section 2.05(c) and shall not be assigned a restricted CUSIP number. The Company shall promptly notify the Trustee upon the occurrence of any date on which any Restricted Securities are no longer required to bear a legend under this Section 2.05(c) (each such date a “</w:t>
      </w:r>
      <w:r>
        <w:rPr>
          <w:rFonts w:ascii="Times New Roman" w:hAnsi="Times New Roman"/>
          <w:b/>
          <w:sz w:val="20"/>
        </w:rPr>
        <w:t>Resale Restriction Termination Date</w:t>
      </w:r>
      <w:r>
        <w:rPr>
          <w:rFonts w:ascii="Times New Roman" w:hAnsi="Times New Roman"/>
          <w:sz w:val="20"/>
        </w:rPr>
        <w:t xml:space="preserve">”) and promptly after a registration statement, if any, with respect to the Notes or any Common Stock issued upon conversion of the Notes has been declared effective under the Securities Act. Any exchange pursuant to the foregoing paragraph shall be in accordance with the applicable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transfers of portions of a Global Note in certificated form made upon request of a member of, or a participant in, the Depositary (for itself or on behalf of a beneficial owner) by written notice given to the Trustee by or on behalf of the Depositary in accordance with applicable procedures of the Depositary and in compliance with this Section 2.05(c).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Depositary shall be a clearing agency registered under the Exchange Act. The Company initially appoints DTC to act as Depositary with respect to each Global Note. Initially, each Global Note shall be issued to the Depositary, registered in the name of Cede &amp; Co., as the nominee of the Depositary, and deposited with the Trustee as custodian for Cede &amp; Co. </w:t>
      </w:r>
    </w:p>
    <w:p>
      <w:pPr>
        <w:pStyle w:val="TextBody"/>
        <w:bidi w:val="0"/>
        <w:spacing w:before="240" w:after="0"/>
        <w:jc w:val="left"/>
        <w:rPr>
          <w:rFonts w:ascii="Times New Roman" w:hAnsi="Times New Roman"/>
          <w:sz w:val="20"/>
        </w:rPr>
      </w:pPr>
      <w:r>
        <w:rPr>
          <w:rFonts w:ascii="Times New Roman" w:hAnsi="Times New Roman"/>
          <w:sz w:val="20"/>
        </w:rPr>
        <w:t xml:space="preserve">If (i) the Depositary notifies the Company at any time that the Depositary is unwilling or unable to continue as depositary for the Global Notes and a successor depositary is not appointed within ninety (90) days, (ii) the Depositary ceases to be registered as a clearing agency under the Exchange Act and a successor depositary is not appointed within ninety (90) days, (iii) an Event of Default with respect to the Notes has occurred and is continuing and, subject to the Depositary’s applicable procedures, a beneficial owner of any Note requests that its beneficial interest therein be issued as a Physical Note or (iv) the Company in its sole discretion permits the exchange of any beneficial interest in such Global Note at the request of the owner of such beneficial interest, the Company shall execute, and the Trustee, upon receipt of an Officer’s Certificate, an Opinion of Counsel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 </w:t>
      </w:r>
    </w:p>
    <w:p>
      <w:pPr>
        <w:pStyle w:val="TextBody"/>
        <w:bidi w:val="0"/>
        <w:spacing w:before="240" w:after="0"/>
        <w:jc w:val="left"/>
        <w:rPr>
          <w:rFonts w:ascii="Times New Roman" w:hAnsi="Times New Roman"/>
          <w:sz w:val="20"/>
        </w:rPr>
      </w:pPr>
      <w:r>
        <w:rPr>
          <w:rFonts w:ascii="Times New Roman" w:hAnsi="Times New Roman"/>
          <w:sz w:val="20"/>
        </w:rPr>
        <w:t xml:space="preserve">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such Physical Notes to or at the direction of the Persons in whose names such Physical Notes are so registered. </w:t>
      </w:r>
    </w:p>
    <w:p>
      <w:pPr>
        <w:pStyle w:val="TextBody"/>
        <w:bidi w:val="0"/>
        <w:spacing w:before="240" w:after="0"/>
        <w:jc w:val="left"/>
        <w:rPr>
          <w:rFonts w:ascii="Times New Roman" w:hAnsi="Times New Roman"/>
          <w:sz w:val="20"/>
        </w:rPr>
      </w:pPr>
      <w:r>
        <w:rPr>
          <w:rFonts w:ascii="Times New Roman" w:hAnsi="Times New Roman"/>
          <w:sz w:val="20"/>
        </w:rPr>
        <w:t xml:space="preserve">At such time as all interests in a Global Note have been converted, canceled, repurchased upon a Fundamental Change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upon a Fundamental Change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 the Trustee (including in its capacity as Paying Agent) or any agent of the Company or the Trustee shall have any responsibility or liability for any act or omission of the Depositary or for the payment of amounts to owners of beneficial interests in a Global Note, for any aspect of the records relating to or payments made on account of beneficial ownership interests of a Global Note or maintaining, supervising or reviewing any records relating to such beneficial ownership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notices and communications to be given to the Holders and all payments to be made to Holders in respect of the Notes shall be given or made only to, or upon the order of, the registered Holder(s) (which shall be the Depositary or its nominee in the case of a Global Note).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 the Trustee, the Paying Agent or the Note Registrar shall have any obligation or duty to monitor, determine or inquire as to compliance with any restrictions on transfer imposed under this Indenture or under applicable law with respect to any transfer of any interest in any Note (including any transfers between or among Depositary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The rights of beneficial owners in any Global Note shall be exercised only through the Depositary subject to the applicable procedures of the Depositary. The Trustee may rely and shall be fully protected in relying upon information furnished by the Depositary with respect to its members, participants and any beneficial owners. </w:t>
      </w:r>
    </w:p>
    <w:p>
      <w:pPr>
        <w:pStyle w:val="TextBody"/>
        <w:bidi w:val="0"/>
        <w:spacing w:before="240" w:after="0"/>
        <w:jc w:val="left"/>
        <w:rPr>
          <w:rFonts w:ascii="Times New Roman" w:hAnsi="Times New Roman"/>
          <w:sz w:val="20"/>
        </w:rPr>
      </w:pPr>
      <w:r>
        <w:rPr>
          <w:rFonts w:ascii="Times New Roman" w:hAnsi="Times New Roman"/>
          <w:sz w:val="20"/>
        </w:rPr>
        <w:t xml:space="preserve">(d) If the Company determines that any Common Stock issued upon conversion or equitization of any Note or as Common Stock Interest is required to bear the legend below, any stock certificate representing such Common Stock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 </w:t>
      </w:r>
    </w:p>
    <w:p>
      <w:pPr>
        <w:pStyle w:val="TextBody"/>
        <w:bidi w:val="0"/>
        <w:spacing w:before="120" w:after="0"/>
        <w:jc w:val="left"/>
        <w:rPr>
          <w:rFonts w:ascii="Times New Roman" w:hAnsi="Times New Roman"/>
          <w:sz w:val="20"/>
        </w:rPr>
      </w:pPr>
      <w:r>
        <w:rPr>
          <w:rFonts w:ascii="Times New Roman" w:hAnsi="Times New Roman"/>
          <w:sz w:val="20"/>
        </w:rPr>
        <w:t>THIS SECURITY HAS NOT BEEN REGISTERED UNDER THE SECURITIES ACT OF 1933, AS AMENDED (THE “</w:t>
      </w:r>
      <w:r>
        <w:rPr>
          <w:rFonts w:ascii="Times New Roman" w:hAnsi="Times New Roman"/>
          <w:b/>
          <w:sz w:val="20"/>
        </w:rPr>
        <w:t>SECURITIES ACT</w:t>
      </w:r>
      <w:r>
        <w:rPr>
          <w:rFonts w:ascii="Times New Roman" w:hAnsi="Times New Roman"/>
          <w:sz w:val="20"/>
        </w:rPr>
        <w:t>”), AND MAY NOT BE OFFERED, SOLD, PLEDGED OR OTHERWISE TRANSFERRED EXCEPT IN ACCORDANCE WITH THE FOLLOWING SENTENCE. BY ITS ACQUISITION HEREOF OR OF A BENEFICIAL INTEREST HEREIN, THE ACQUIRER AGREES FOR THE BENEFIT OF BEYOND MEAT, INC. (THE “</w:t>
      </w:r>
      <w:r>
        <w:rPr>
          <w:rFonts w:ascii="Times New Roman" w:hAnsi="Times New Roman"/>
          <w:b/>
          <w:sz w:val="20"/>
        </w:rPr>
        <w:t>COMPANY</w:t>
      </w:r>
      <w:r>
        <w:rPr>
          <w:rFonts w:ascii="Times New Roman" w:hAnsi="Times New Roman"/>
          <w:sz w:val="20"/>
        </w:rPr>
        <w:t xml:space="preserve">”) THAT IT WILL NOT OFFER, SELL, PLEDGE OR OTHERWISE TRANSFER THIS SECURITY OR ANY BENEFICIAL INTEREST HEREIN PRIOR TO THE DATE THAT IS THE LATER OF (X) ONE YEAR AFTER THE DATE OF ORIGINAL ISSUE OF THE SERIES OF NOTES UPON THE CONVERSION OF WHICH THIS SECURITY WAS ISSUED OR SUCH SHORTER PERIOD OF TIME AS PERMITTED BY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144 UNDER THE SECURITIES ACT OR ANY SUCCESSOR PROVISION THERETO, (Y) SUCH LATER DATE, IF ANY, AS MAY BE REQUIRED BY APPLICABLE LAW (AS DETERMINED IN GOOD FAITH BY THE COMPANY), AND (Z) THE DATE THE COMPANY RECEIVES NOTICE FROM A HOLDER REQUESTING THAT THE LEGEND BE REMOVED, EXCEPT: </w:t>
      </w:r>
    </w:p>
    <w:p>
      <w:pPr>
        <w:pStyle w:val="TextBody"/>
        <w:bidi w:val="0"/>
        <w:spacing w:before="120" w:after="0"/>
        <w:jc w:val="left"/>
        <w:rPr>
          <w:rFonts w:ascii="Times New Roman" w:hAnsi="Times New Roman"/>
          <w:sz w:val="20"/>
        </w:rPr>
      </w:pPr>
      <w:r>
        <w:rPr>
          <w:rFonts w:ascii="Times New Roman" w:hAnsi="Times New Roman"/>
          <w:sz w:val="20"/>
        </w:rPr>
        <w:t xml:space="preserve">(i) TO THE COMPANY OR ANY SUBSIDIARY THEREOF, OR </w:t>
      </w:r>
    </w:p>
    <w:p>
      <w:pPr>
        <w:pStyle w:val="TextBody"/>
        <w:bidi w:val="0"/>
        <w:spacing w:before="120" w:after="0"/>
        <w:jc w:val="left"/>
        <w:rPr>
          <w:rFonts w:ascii="Times New Roman" w:hAnsi="Times New Roman"/>
          <w:sz w:val="20"/>
        </w:rPr>
      </w:pPr>
      <w:r>
        <w:rPr>
          <w:rFonts w:ascii="Times New Roman" w:hAnsi="Times New Roman"/>
          <w:sz w:val="20"/>
        </w:rPr>
        <w:t xml:space="preserve">(ii) PURSUANT TO A REGISTRATION STATEMENT WHICH HAS BECOME EFFECTIVE UNDER THE SECURITIES ACT, OR </w:t>
      </w:r>
    </w:p>
    <w:p>
      <w:pPr>
        <w:pStyle w:val="TextBody"/>
        <w:bidi w:val="0"/>
        <w:spacing w:before="120" w:after="0"/>
        <w:jc w:val="left"/>
        <w:rPr>
          <w:rFonts w:ascii="Times New Roman" w:hAnsi="Times New Roman"/>
          <w:sz w:val="20"/>
        </w:rPr>
      </w:pPr>
      <w:r>
        <w:rPr>
          <w:rFonts w:ascii="Times New Roman" w:hAnsi="Times New Roman"/>
          <w:sz w:val="20"/>
        </w:rPr>
        <w:t xml:space="preserve">(iii) PURSUANT TO AN EXEMPTION FROM REGISTRATION PROVIDED BY RULE 144 UNDER THE SECURITIES ACT OR ANY OTHER AVAILABLE EXEMPTION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PRIOR TO THE REGISTRATION OF ANY TRANSFER IN ACCORDANCE WITH CLAUSE (iii) ABOVE, THE COMPANY AND THE TRANSFER AGENT FOR THE COMPANY’S COMMON STOCK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Any such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 </w:t>
      </w:r>
    </w:p>
    <w:p>
      <w:pPr>
        <w:pStyle w:val="TextBody"/>
        <w:bidi w:val="0"/>
        <w:spacing w:before="240" w:after="0"/>
        <w:jc w:val="left"/>
        <w:rPr>
          <w:rFonts w:ascii="Times New Roman" w:hAnsi="Times New Roman"/>
          <w:sz w:val="20"/>
        </w:rPr>
      </w:pPr>
      <w:r>
        <w:rPr>
          <w:rFonts w:ascii="Times New Roman" w:hAnsi="Times New Roman"/>
          <w:sz w:val="20"/>
        </w:rPr>
        <w:t xml:space="preserve">(e) Any Note or Common Stock issued upon the conversion, equitization or exchange of a Note or as Common Stock Interest that is repurchased or owned by any Affiliate of the Company (or any Person who was an Affiliate of the Company at any time during the three months preceding) may not be resold by such Affiliate (or such Person, as the case may be) unless registered under the Securities Act or resold pursuant to an exemption from the registration requirements of the Securities Act. The Company may cause any Note that is repurchased or owned by it to be delivered to the Trustee for cancellation in accordance with Section 2.08.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(g) Neither the Trustee nor any agent shall have any responsibility or liability for any actions taken or not taken by the Depositary, and may assume performance absent written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i/>
          <w:sz w:val="20"/>
        </w:rPr>
        <w:t xml:space="preserve">Mutilated, Destroyed, Lost or Stolen Notes. </w:t>
      </w:r>
      <w:r>
        <w:rPr>
          <w:rFonts w:ascii="Times New Roman" w:hAnsi="Times New Roman"/>
          <w:sz w:val="20"/>
        </w:rPr>
        <w:t xml:space="preserve">In case any Note shall become mutilated or be destroyed, lost or stolen, the Company in its discretion may execute, and upon receipt of a Company Order,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delivered for required repurchase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delivery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of the destruction, loss or theft of such Note and of the ownership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conversion or repurchase of mutilated, destroyed, lost or stolen Notes and shall preclude any and all other rights or remedies notwithstanding any law or statute existing or hereafter enacted to the contrary with respect to the replacement, payment, conversion or repurchase of negotiable instruments or other securities without their surrender.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i/>
          <w:sz w:val="20"/>
        </w:rPr>
        <w:t xml:space="preserve">Temporary Notes. </w:t>
      </w:r>
      <w:r>
        <w:rPr>
          <w:rFonts w:ascii="Times New Roman" w:hAnsi="Times New Roman"/>
          <w:sz w:val="20"/>
        </w:rPr>
        <w:t xml:space="preserve">Pending the preparation of Physical Notes, the Company may execute and the Trustee or an authenticating agent appointed by the Trustee shall, upon receipt of a Company Order,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i/>
          <w:sz w:val="20"/>
        </w:rPr>
        <w:t>Cancellation of Notes Paid, Converted, Etc.</w:t>
      </w:r>
      <w:r>
        <w:rPr>
          <w:rFonts w:ascii="Times New Roman" w:hAnsi="Times New Roman"/>
          <w:sz w:val="20"/>
        </w:rPr>
        <w:t xml:space="preserve"> The Company shall cause all Notes delivered for the purpose of payment at maturity, repurchase upon a Fundamental Change, registration of transfer, exchange, conversion or equitization (other than any Notes exchanged pursuant to Section 14.13), if delivered to the Company or any of its agents, Subsidiaries or Affiliates, in each case, that the Company controls, to be delivered to the Trustee for cancellation. All Notes delivered to the Trustee shall be canceled promptly by it, in accordance with its customary procedures. Except for Notes delivered for registration of transfer or exchange, no Notes shall be authenticated in exchange therefor except as expressly permitted by any of the provisions of this Indenture. The Trustee shall dispose of canceled Notes in accordance with its customary procedures and, after such disposition, shall deliver a certificate of such cancellation to the Company upon the Company’s written request.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i/>
          <w:sz w:val="20"/>
        </w:rPr>
        <w:t xml:space="preserve">CUSIP Numbers. </w:t>
      </w:r>
      <w:r>
        <w:rPr>
          <w:rFonts w:ascii="Times New Roman" w:hAnsi="Times New Roman"/>
          <w:sz w:val="20"/>
        </w:rPr>
        <w:t xml:space="preserve">The Company in issuing the Notes may use “CUSIP” numbers (if then generally in use), and, if so, the Trustee shall use “CUSIP” numbers in all notices issued to Holders as a convenience to such Holders; </w:t>
      </w:r>
      <w:r>
        <w:rPr>
          <w:rFonts w:ascii="Times New Roman" w:hAnsi="Times New Roman"/>
          <w:i/>
          <w:sz w:val="20"/>
        </w:rPr>
        <w:t>provided</w:t>
      </w:r>
      <w:r>
        <w:rPr>
          <w:rFonts w:ascii="Times New Roman" w:hAnsi="Times New Roman"/>
          <w:sz w:val="20"/>
        </w:rPr>
        <w:t xml:space="preserve"> that the Trustee and the Company make no representation as to the correctness of such numbers either as printed on the Notes or on such notice and that reliance may be placed only on the other identification numbers printed on the Notes and this shall be stated on such notices. The Company shall promptly notify the Trustee in writing of any change in the “CUSIP” numbers.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2.10 </w:t>
      </w:r>
      <w:r>
        <w:rPr>
          <w:rFonts w:ascii="Times New Roman" w:hAnsi="Times New Roman"/>
          <w:i/>
          <w:sz w:val="20"/>
        </w:rPr>
        <w:t xml:space="preserve">Additional Notes; Repurchases. </w:t>
      </w:r>
      <w:r>
        <w:rPr>
          <w:rFonts w:ascii="Times New Roman" w:hAnsi="Times New Roman"/>
          <w:sz w:val="20"/>
        </w:rPr>
        <w:t>The Company may, without the consent of, or notice to, the Holders and notwithstanding Section 2.01, reopen this Indenture and issue additional Notes hereunder with the same terms as the Notes initially issued hereunder (the “</w:t>
      </w:r>
      <w:r>
        <w:rPr>
          <w:rFonts w:ascii="Times New Roman" w:hAnsi="Times New Roman"/>
          <w:b/>
          <w:sz w:val="20"/>
        </w:rPr>
        <w:t>Additional Notes</w:t>
      </w:r>
      <w:r>
        <w:rPr>
          <w:rFonts w:ascii="Times New Roman" w:hAnsi="Times New Roman"/>
          <w:sz w:val="20"/>
        </w:rPr>
        <w:t xml:space="preserve">”) (other than differences in the issue date, the issue price, interest accrued prior to the issue date of such Additional Notes and, if applicable, restrictions on transfer in respect of such Additional Notes (including pursuant to Section 2.05 hereunder)) in an unlimited aggregate principal amount; </w:t>
      </w:r>
      <w:r>
        <w:rPr>
          <w:rFonts w:ascii="Times New Roman" w:hAnsi="Times New Roman"/>
          <w:i/>
          <w:sz w:val="20"/>
        </w:rPr>
        <w:t>provided</w:t>
      </w:r>
      <w:r>
        <w:rPr>
          <w:rFonts w:ascii="Times New Roman" w:hAnsi="Times New Roman"/>
          <w:sz w:val="20"/>
        </w:rPr>
        <w:t xml:space="preserve"> that, notwithstanding anything to the contrary contained herein, the Company may not issue any Additional Notes unless such issuance is in compliance with Section 4.10 and Section 4.11; provided, further, that if any such Additional Notes (or any Notes that have been resold after they have been repurchased or otherwise acquired by the Company or its Subsidiaries) are not fungible with the Notes initially issued hereunder for U.S. federal securities law or U.S. federal income tax purposes, or, if applicable, the procedures of the Depositary for the Notes, such Additional Notes (or such resold Notes) shall have one or more separate CUSIP numbers or no CUSIP number. Prior to the issuance of any such Additional Notes, the Company shall deliver to the Trustee a Company Order, an Officer’s Certificate and an Opinion of Counsel, such Officer’s Certificate and Opinion of Counsel to cover such matters required by Section 18.05. In addition, the Company may, to the extent permitted by law and this Indenture, and, without the consent of Holders, directly or indirectly (regardless of whether such Notes are delivered to the Company), repurchase Notes in the open market or otherwise, whether by the Company or its Subsidiaries or through a privately negotiated transaction or public tender or exchange offer or through counterparties to private agreements, including by cash-settled swaps or other derivatives. The Company may, at its option and to the extent permitted by applicable law, reissue, resell or deliver to the Trustee for cancellation in accordance with Section 2.08 any Notes that the Company may repurchase, in the case of a reissuance or resale, so long as such Notes do not constitute restricted securities upon such reissuance or resale. Any Notes that the Company may (or is required under this Indenture to) repurchase will be considered “outstanding” for all purposes under this Indenture (other than, at any time when such Notes are held by the Company or any of its Affiliates or Subsidiaries, as set forth in Section 8.04) unless and until such time the Company delivers them to the Trustee for cancellation and, upon receipt of a written order from the Company, the Trustee will cancel all Notes so delivered. </w:t>
      </w:r>
    </w:p>
    <w:p>
      <w:pPr>
        <w:pStyle w:val="TextBody"/>
        <w:bidi w:val="0"/>
        <w:spacing w:before="480" w:after="0"/>
        <w:jc w:val="center"/>
        <w:rPr>
          <w:rFonts w:ascii="Times New Roman" w:hAnsi="Times New Roman"/>
          <w:sz w:val="20"/>
        </w:rPr>
      </w:pPr>
      <w:r>
        <w:rPr>
          <w:rFonts w:ascii="Times New Roman" w:hAnsi="Times New Roman"/>
          <w:sz w:val="20"/>
        </w:rPr>
        <w:t xml:space="preserve">Article 3. </w:t>
      </w:r>
    </w:p>
    <w:p>
      <w:pPr>
        <w:pStyle w:val="TextBody"/>
        <w:bidi w:val="0"/>
        <w:spacing w:before="0" w:after="0"/>
        <w:jc w:val="center"/>
        <w:rPr>
          <w:rFonts w:ascii="Times New Roman" w:hAnsi="Times New Roman"/>
          <w:sz w:val="20"/>
        </w:rPr>
      </w:pPr>
      <w:r>
        <w:rPr>
          <w:rFonts w:ascii="Times New Roman" w:hAnsi="Times New Roman"/>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i/>
          <w:sz w:val="20"/>
        </w:rPr>
        <w:t>Satisfaction and Discharge.</w:t>
      </w:r>
      <w:r>
        <w:rPr>
          <w:rFonts w:ascii="Times New Roman" w:hAnsi="Times New Roman"/>
          <w:sz w:val="20"/>
        </w:rPr>
        <w:t xml:space="preserve"> (a) This Indenture (including, for the avoidance of doubt, the covenants contained in this Indenture), the Note Guarantees, the Collateral Documents and the Notes shall cease to be of further effect when (i) all Notes theretofore authenticated and delivered (other than (x) Notes which have been destroyed, lost or stolen and which have been replaced, paid or converted as provided in Section 2.06 and (y) Notes for whose payment money has heretofore been deposited in trust or segregated and held in trust by the Company and thereafter repaid to the Company or discharged from such trust, as provided in Section 4.04) have been delivered to the Trustee for cancellation or (ii)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shall (A) have irrevocably deposited with the Trustee, for the benefit of the Holders of the Notes, cash or shares of Common Stock (or, if applicable, other Reference Property), as applicable, after the Notes have become due and payable, whether at maturity, at any redemption date, at any Fundamental Change Repurchase Date, upon conversion or otherwise, sufficient to satisfy all amounts or other property due on all of the outstanding Notes, and (B) paid all other sums payable under this Indenture; and (b) the Trustee and the Collateral Agent, as applicable, upon request of the Company contained in an Officer’s Certificate and at the expense of the Company, shall execute instruments reasonably requested by the Company acknowledging satisfaction and discharge of this Indenture and the Notes, when the Company has delivered to the Trustee and the Collateral Agent, as applicable, an Officer’s Certificate and an Opinion of Counsel, each stating that all conditions precedent herein provided for relating to the satisfaction and discharge of this Indenture and the Notes have been complied with. Notwithstanding the satisfaction and discharge of this Indenture, the obligations of the Company to the Trustee and Collateral Agent under Section 7.06 shall survive. </w:t>
      </w:r>
    </w:p>
    <w:p>
      <w:pPr>
        <w:pStyle w:val="TextBody"/>
        <w:bidi w:val="0"/>
        <w:spacing w:before="480" w:after="0"/>
        <w:jc w:val="center"/>
        <w:rPr>
          <w:rFonts w:ascii="Times New Roman" w:hAnsi="Times New Roman"/>
          <w:sz w:val="20"/>
        </w:rPr>
      </w:pPr>
      <w:r>
        <w:rPr>
          <w:rFonts w:ascii="Times New Roman" w:hAnsi="Times New Roman"/>
          <w:sz w:val="20"/>
        </w:rPr>
        <w:t xml:space="preserve">Article 4. </w:t>
      </w:r>
    </w:p>
    <w:p>
      <w:pPr>
        <w:pStyle w:val="TextBody"/>
        <w:bidi w:val="0"/>
        <w:spacing w:before="0" w:after="0"/>
        <w:jc w:val="center"/>
        <w:rPr>
          <w:rFonts w:ascii="Times New Roman" w:hAnsi="Times New Roman"/>
          <w:sz w:val="20"/>
        </w:rPr>
      </w:pPr>
      <w:r>
        <w:rPr>
          <w:rFonts w:ascii="Times New Roman" w:hAnsi="Times New Roman"/>
          <w:sz w:val="20"/>
        </w:rPr>
        <w:t xml:space="preserve">PARTICULAR COVENANTS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i/>
          <w:sz w:val="20"/>
        </w:rPr>
        <w:t xml:space="preserve">Payment of Principal and Interest. </w:t>
      </w:r>
      <w:r>
        <w:rPr>
          <w:rFonts w:ascii="Times New Roman" w:hAnsi="Times New Roman"/>
          <w:sz w:val="20"/>
        </w:rPr>
        <w:t xml:space="preserve">The Company covenants and agrees that it will cause to be paid the principal (including the Fundamental Change Repurchase Price, if applicable) of, and accrued and unpaid interest on, each of the Notes at the places, at the respective times and in the manner provided herein and in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i/>
          <w:sz w:val="20"/>
        </w:rPr>
        <w:t xml:space="preserve">Maintenance of Office or Agency. </w:t>
      </w:r>
      <w:r>
        <w:rPr>
          <w:rFonts w:ascii="Times New Roman" w:hAnsi="Times New Roman"/>
          <w:sz w:val="20"/>
        </w:rPr>
        <w:t>The Company will maintain in the United States of America an office or agency where the Notes may be delivered for registration of transfer or exchange or for presentation for payment or repurchase (“</w:t>
      </w:r>
      <w:r>
        <w:rPr>
          <w:rFonts w:ascii="Times New Roman" w:hAnsi="Times New Roman"/>
          <w:b/>
          <w:sz w:val="20"/>
        </w:rPr>
        <w:t>Paying Agent</w:t>
      </w:r>
      <w:r>
        <w:rPr>
          <w:rFonts w:ascii="Times New Roman" w:hAnsi="Times New Roman"/>
          <w:sz w:val="20"/>
        </w:rPr>
        <w:t>”) or for conversion (“</w:t>
      </w:r>
      <w:r>
        <w:rPr>
          <w:rFonts w:ascii="Times New Roman" w:hAnsi="Times New Roman"/>
          <w:b/>
          <w:sz w:val="20"/>
        </w:rPr>
        <w:t>Conversion Agent</w:t>
      </w:r>
      <w:r>
        <w:rPr>
          <w:rFonts w:ascii="Times New Roman" w:hAnsi="Times New Roman"/>
          <w:sz w:val="20"/>
        </w:rPr>
        <w:t xml:space="preserve">”)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in the United States of America as a place where Notes may be presented for payment or for registration of transfer.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as co-Note Registrars one or more other offices or agencies where the Notes may be presented or delivered for any or all such purposes and may from time to time rescind such designations; </w:t>
      </w:r>
      <w:r>
        <w:rPr>
          <w:rFonts w:ascii="Times New Roman" w:hAnsi="Times New Roman"/>
          <w:i/>
          <w:sz w:val="20"/>
        </w:rPr>
        <w:t>provided</w:t>
      </w:r>
      <w:r>
        <w:rPr>
          <w:rFonts w:ascii="Times New Roman" w:hAnsi="Times New Roman"/>
          <w:sz w:val="20"/>
        </w:rPr>
        <w:t xml:space="preserve"> that no such designation or rescission shall in any manner relieve the Company of its obligation to maintain an office or agency in the United States of America so designated by the Trustee as a place for such purposes. The Company will give prompt written notice to the Trustee of any such designation or rescission and of any change in the location of any such other office or agency. The terms “</w:t>
      </w:r>
      <w:r>
        <w:rPr>
          <w:rFonts w:ascii="Times New Roman" w:hAnsi="Times New Roman"/>
          <w:b/>
          <w:sz w:val="20"/>
        </w:rPr>
        <w:t>Paying Agent</w:t>
      </w:r>
      <w:r>
        <w:rPr>
          <w:rFonts w:ascii="Times New Roman" w:hAnsi="Times New Roman"/>
          <w:sz w:val="20"/>
        </w:rPr>
        <w:t>” and “</w:t>
      </w:r>
      <w:r>
        <w:rPr>
          <w:rFonts w:ascii="Times New Roman" w:hAnsi="Times New Roman"/>
          <w:b/>
          <w:sz w:val="20"/>
        </w:rPr>
        <w:t>Conversion Agent</w:t>
      </w:r>
      <w:r>
        <w:rPr>
          <w:rFonts w:ascii="Times New Roman" w:hAnsi="Times New Roman"/>
          <w:sz w:val="20"/>
        </w:rPr>
        <w:t xml:space="preserve">” include any such additional or other offices or agencies,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hereby initially designates the Trustee as the Paying Agent, Note Registrar, Custodian and Conversion Agent and the Corporate Trust Office as the office or agency in the United States of America where Notes may be delivered for registration of transfer or exchange or for presentation for payment or repurchase or for conversion and where notices and demands to or upon the Company in respect of the Notes and this Indenture may be served; </w:t>
      </w:r>
      <w:r>
        <w:rPr>
          <w:rFonts w:ascii="Times New Roman" w:hAnsi="Times New Roman"/>
          <w:i/>
          <w:sz w:val="20"/>
        </w:rPr>
        <w:t>provided</w:t>
      </w:r>
      <w:r>
        <w:rPr>
          <w:rFonts w:ascii="Times New Roman" w:hAnsi="Times New Roman"/>
          <w:sz w:val="20"/>
        </w:rPr>
        <w:t xml:space="preserve"> that the Corporate Trust Office shall not be a place for service of legal process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i/>
          <w:sz w:val="20"/>
        </w:rPr>
        <w:t>Appointments to Fill Vacancies in Trustee</w:t>
      </w:r>
      <w:r>
        <w:rPr>
          <w:rFonts w:ascii="Times New Roman" w:hAnsi="Times New Roman"/>
          <w:sz w:val="20"/>
        </w:rPr>
        <w:t>’</w:t>
      </w:r>
      <w:r>
        <w:rPr>
          <w:rFonts w:ascii="Times New Roman" w:hAnsi="Times New Roman"/>
          <w:i/>
          <w:sz w:val="20"/>
        </w:rPr>
        <w:t>s Office and Collateral Agent</w:t>
      </w:r>
      <w:r>
        <w:rPr>
          <w:rFonts w:ascii="Times New Roman" w:hAnsi="Times New Roman"/>
          <w:sz w:val="20"/>
        </w:rPr>
        <w:t>’</w:t>
      </w:r>
      <w:r>
        <w:rPr>
          <w:rFonts w:ascii="Times New Roman" w:hAnsi="Times New Roman"/>
          <w:i/>
          <w:sz w:val="20"/>
        </w:rPr>
        <w:t xml:space="preserve">s Office. </w:t>
      </w:r>
      <w:r>
        <w:rPr>
          <w:rFonts w:ascii="Times New Roman" w:hAnsi="Times New Roman"/>
          <w:sz w:val="20"/>
        </w:rPr>
        <w:t xml:space="preserve">The Company, whenever necessary to avoid or fill a vacancy in the office of Trustee, will appoint, in the manner provided in Section 7.09, a Trustee, so that there shall at all times be a Trustee hereunder. The Company, whenever necessary to avoid or fill a vacancy in the office of Collateral Agent, will appoint, in the manner provided in Section 7.14, a Collateral Agent, so that there shall at all times be a Collateral Agent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i/>
          <w:sz w:val="20"/>
        </w:rPr>
        <w:t xml:space="preserve">Provisions as to Paying Agent, Conversion Agent and Transfer Agent. </w:t>
      </w:r>
      <w:r>
        <w:rPr>
          <w:rFonts w:ascii="Times New Roman" w:hAnsi="Times New Roman"/>
          <w:sz w:val="20"/>
        </w:rPr>
        <w:t xml:space="preserve">The Company will require each Paying Agent, Conversion Agent or Transfer Agent that is not the Trustee to agree in writing that such agent will (A) hold in trust for the benefit of Holders or the Trustee all money and other property held by such agent for payment or delivery due on the Notes; and (B) notify the Trustee of any default by the Company in making any such payment or delivery. The Company, at any time, may, and the Trustee, while any Default continues, may, require a Paying Agent, Conversion Agent or Transfer Agent to pay or deliver, as applicable, all money and other property held by it to the Trustee, after which payment or delivery, as applicable, such agent (if not the Company or any of its Subsidiaries) will have no further liability for such money or property. If the Company or any of its Subsidiaries acts as Paying Agent, Conversion Agent or Transfer Agent, then (A) it will segregate and hold in a separate trust fund for the benefit of the Holders or the Trustee all money and other property held by it as Paying Agent, Conversion Agent or Transfer Agent; and (B) references in this Indenture or the Notes to the Paying Agent, Conversion Agent or Transfer Agent holding cash or other property, or to the delivery of cash or other property to the Paying Agent, Conversion Agent or Transfer Agent, in each case for payment or delivery to any Holders and the Trustee or with respect to the Notes, will be deemed to refer to cash or other property so segregated and held separately, or to the segregation and separate holding of such cash or other property, respectively. Upon the occurrence of any event pursuant to clause (h) of Section 6.01 with respect to the Company (or with respect to any Subsidiary of the Company acting as Paying Agent or Conversion Agent), the Trustee will serve as the Paying Agent or Conversion Agent, as applicable, for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i/>
          <w:sz w:val="20"/>
        </w:rPr>
        <w:t xml:space="preserve">Existence. </w:t>
      </w:r>
      <w:r>
        <w:rPr>
          <w:rFonts w:ascii="Times New Roman" w:hAnsi="Times New Roman"/>
          <w:sz w:val="20"/>
        </w:rPr>
        <w:t xml:space="preserve">Subject to Article 11, the Company shall do or cause to be done all things necessary to preserve and keep in full force and effect its corporate existence. </w:t>
      </w:r>
    </w:p>
    <w:p>
      <w:pPr>
        <w:pStyle w:val="TextBody"/>
        <w:bidi w:val="0"/>
        <w:spacing w:before="240" w:after="0"/>
        <w:jc w:val="left"/>
        <w:rPr>
          <w:rFonts w:ascii="Times New Roman" w:hAnsi="Times New Roman"/>
          <w:sz w:val="20"/>
        </w:rPr>
      </w:pPr>
      <w:r>
        <w:rPr>
          <w:rFonts w:ascii="Times New Roman" w:hAnsi="Times New Roman"/>
          <w:sz w:val="20"/>
        </w:rPr>
        <w:t xml:space="preserve">Section 4.06 </w:t>
      </w:r>
      <w:r>
        <w:rPr>
          <w:rFonts w:ascii="Times New Roman" w:hAnsi="Times New Roman"/>
          <w:i/>
          <w:sz w:val="20"/>
        </w:rPr>
        <w:t>Reports.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file with the Trustee, within fifteen (15) days after the same are required to be filed with the Commission (giving effect to the maximum grace period provided by Rule 12b-25 (or any successor rule) under the Exchange Act), copies of any documents or reports that the Company is required to file with the Commission pursuant to Section 13 or 15(d) of the Exchange Act (excluding (i) any such information, documents or reports, or portions thereof, subject to, or with respect to which the Company is actively seeking, confidential treatment and any correspondence with the Commission and (ii) reports on Form 8-K). Any such document or report that the Company files with the Commission via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Commission’s EDGAR system (or any successor thereto) shall be deemed to be filed with the Trustee for purposes of this Section 4.06(a) at the time such documents are filed via the EDGAR system (or any successor thereto), it being understood that the Trustee shall not be responsible for determining whether such filings have been made. The “grace periods” referred to in the preceding paragraph with respect to any report will include the maximum period afforded by Rule 12b-25 (or any successor rule thereto) under the Exchange Act regardless of whether the Company files, or indicates in the related Form 12b-25 (or any successor form thereto) that the Company expects to or will file, such report before the expiration of such maximum period. </w:t>
      </w:r>
    </w:p>
    <w:p>
      <w:pPr>
        <w:pStyle w:val="TextBody"/>
        <w:bidi w:val="0"/>
        <w:spacing w:before="240" w:after="0"/>
        <w:jc w:val="left"/>
        <w:rPr>
          <w:rFonts w:ascii="Times New Roman" w:hAnsi="Times New Roman"/>
          <w:sz w:val="20"/>
        </w:rPr>
      </w:pPr>
      <w:r>
        <w:rPr>
          <w:rFonts w:ascii="Times New Roman" w:hAnsi="Times New Roman"/>
          <w:sz w:val="20"/>
        </w:rPr>
        <w:t xml:space="preserve">(b) Delivery of the reports and documents described in subsection (a) above to the Trustee is for informational purposes only, and the Trustee’s receipt of such shall not constitute actual or constructive knowledge or notice of any information contained therein or determinable from information contained therein, including the Company’s compliance with any of its covenants hereunder (as to which the Trustee is entitled to rely exclusively on an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4.07 </w:t>
      </w:r>
      <w:r>
        <w:rPr>
          <w:rFonts w:ascii="Times New Roman" w:hAnsi="Times New Roman"/>
          <w:i/>
          <w:sz w:val="20"/>
        </w:rPr>
        <w:t xml:space="preserve">Stay, Extension and Usury Laws. </w:t>
      </w:r>
      <w:r>
        <w:rPr>
          <w:rFonts w:ascii="Times New Roman" w:hAnsi="Times New Roman"/>
          <w:sz w:val="20"/>
        </w:rPr>
        <w:t xml:space="preserve">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 </w:t>
      </w:r>
    </w:p>
    <w:p>
      <w:pPr>
        <w:pStyle w:val="TextBody"/>
        <w:bidi w:val="0"/>
        <w:spacing w:before="240" w:after="0"/>
        <w:jc w:val="left"/>
        <w:rPr>
          <w:rFonts w:ascii="Times New Roman" w:hAnsi="Times New Roman"/>
          <w:sz w:val="20"/>
        </w:rPr>
      </w:pPr>
      <w:r>
        <w:rPr>
          <w:rFonts w:ascii="Times New Roman" w:hAnsi="Times New Roman"/>
          <w:sz w:val="20"/>
        </w:rPr>
        <w:t xml:space="preserve">Section 4.08 </w:t>
      </w:r>
      <w:r>
        <w:rPr>
          <w:rFonts w:ascii="Times New Roman" w:hAnsi="Times New Roman"/>
          <w:i/>
          <w:sz w:val="20"/>
        </w:rPr>
        <w:t xml:space="preserve">Compliance Certificate. </w:t>
      </w:r>
      <w:r>
        <w:rPr>
          <w:rFonts w:ascii="Times New Roman" w:hAnsi="Times New Roman"/>
          <w:sz w:val="20"/>
        </w:rPr>
        <w:t xml:space="preserve">The Company shall deliver to the Trustee within one hundred twenty (120) days after the end of each fiscal year of the Company (beginning with the fiscal year ending on December 31, 2025) an Officer’s Certificate stating whether the signer thereof has knowledge of any Default under this Indenture that occurred during such fiscal year and, if so, specifying each such Default and the nature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4.09 </w:t>
      </w:r>
      <w:r>
        <w:rPr>
          <w:rFonts w:ascii="Times New Roman" w:hAnsi="Times New Roman"/>
          <w:i/>
          <w:sz w:val="20"/>
        </w:rPr>
        <w:t xml:space="preserve">Further Instruments and Acts. </w:t>
      </w:r>
      <w:r>
        <w:rPr>
          <w:rFonts w:ascii="Times New Roman" w:hAnsi="Times New Roman"/>
          <w:sz w:val="20"/>
        </w:rPr>
        <w:t xml:space="preserve">Upon request of the Trustee, the Company will execute and deliver such further instruments and do such further acts as may be reasonably necessary or proper to carry out more effectively the purposes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i/>
          <w:sz w:val="20"/>
        </w:rPr>
        <w:t xml:space="preserve">Incurrence of Indebtedness. </w:t>
      </w:r>
      <w:r>
        <w:rPr>
          <w:rFonts w:ascii="Times New Roman" w:hAnsi="Times New Roman"/>
          <w:sz w:val="20"/>
        </w:rPr>
        <w:t>The Company shall not, and shall not permit any of its Subsidiaries to, directly or indirectly, create, incur, issue, assume, guarantee or otherwise become directly or indirectly liable, contingently or otherwise, with respect to (collectively, “</w:t>
      </w:r>
      <w:r>
        <w:rPr>
          <w:rFonts w:ascii="Times New Roman" w:hAnsi="Times New Roman"/>
          <w:b/>
          <w:sz w:val="20"/>
        </w:rPr>
        <w:t>incur</w:t>
      </w:r>
      <w:r>
        <w:rPr>
          <w:rFonts w:ascii="Times New Roman" w:hAnsi="Times New Roman"/>
          <w:sz w:val="20"/>
        </w:rPr>
        <w:t>”) any Indebtedness, and shall not permit any of its non-Guarantor Subsidiaries to issue any shares of Preferred Stock, other than, in each case (the following items collectively, “</w:t>
      </w:r>
      <w:r>
        <w:rPr>
          <w:rFonts w:ascii="Times New Roman" w:hAnsi="Times New Roman"/>
          <w:b/>
          <w:sz w:val="20"/>
        </w:rPr>
        <w:t>Permitted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Indebtedness incurred under the Loan Agreement in an aggregate amount at any one time outstanding not to exceed $100.0 million; </w:t>
      </w:r>
      <w:r>
        <w:rPr>
          <w:rFonts w:ascii="Times New Roman" w:hAnsi="Times New Roman"/>
          <w:i/>
          <w:sz w:val="20"/>
        </w:rPr>
        <w:t>provided</w:t>
      </w:r>
      <w:r>
        <w:rPr>
          <w:rFonts w:ascii="Times New Roman" w:hAnsi="Times New Roman"/>
          <w:sz w:val="20"/>
        </w:rPr>
        <w:t xml:space="preserve"> that any Indebtedness incurred to repay, refinance, replace or otherwise discharge the Loan Agreement shall (x) have an All-In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Yield that does not exceed the All-In Yield applicable to the Loan Agreement (as in effect on the Issue Date) and (y) other than Indebtedness for which the lenders under the Loan Agreement (as in effect on the Issue Date) or their respective affiliates act as financing source, (i) have a lender group that includes solely Commercial Lending Institutions and (ii) not require that the Notes be subordinated in right of payment to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(b) Second Lien Debt consisting of (x) the principal amount of the Notes and guarantees thereof issued pursuant to the terms of the Exchange Offer as in effect immediately prior to the Issue Date and (y) Additional Second Lien Debt (as defined in the Intercreditor Agreement as in effect on the Issue Date) in an aggregate amount at any time outstanding under this clause (y) not to exceed (i) 10% of the principal amount of the Existing Notes outstanding after the final settlement of the Exchange Offer pursuant to the terms of the Exchange Offer as in effect immediately prior to the Issue Date, plus (ii) an additional amount of Additional Second Lien Debt (as defined in the Intercreditor Agreement as in effect on the Issue Date) at any time outstanding under this clause (b) equal to the principal amount of the Notes that have been converted, equitized, repurchased, redeemed, retired, exchanged or otherwise acquired by the Company or any of its Subsidiaries prior to their maturity; </w:t>
      </w:r>
    </w:p>
    <w:p>
      <w:pPr>
        <w:pStyle w:val="TextBody"/>
        <w:bidi w:val="0"/>
        <w:spacing w:before="240" w:after="0"/>
        <w:jc w:val="left"/>
        <w:rPr>
          <w:rFonts w:ascii="Times New Roman" w:hAnsi="Times New Roman"/>
          <w:sz w:val="20"/>
        </w:rPr>
      </w:pPr>
      <w:r>
        <w:rPr>
          <w:rFonts w:ascii="Times New Roman" w:hAnsi="Times New Roman"/>
          <w:sz w:val="20"/>
        </w:rPr>
        <w:t xml:space="preserve">(c) (x) Indebtedness incurred under the Existing Notes existing on the Issue Date and (y) any other Indebtedness existing on the Issue Date (other than Indebtedness described in clauses (a) and (b) above); </w:t>
      </w:r>
    </w:p>
    <w:p>
      <w:pPr>
        <w:pStyle w:val="TextBody"/>
        <w:bidi w:val="0"/>
        <w:spacing w:before="240" w:after="0"/>
        <w:jc w:val="left"/>
        <w:rPr>
          <w:rFonts w:ascii="Times New Roman" w:hAnsi="Times New Roman"/>
          <w:sz w:val="20"/>
        </w:rPr>
      </w:pPr>
      <w:r>
        <w:rPr>
          <w:rFonts w:ascii="Times New Roman" w:hAnsi="Times New Roman"/>
          <w:sz w:val="20"/>
        </w:rPr>
        <w:t xml:space="preserve">(d) Junior Lien Debt and unsecured Indebtedness which, in each case, (i) does not provide for the payment of cash interest until after the Maturity Date of the Notes and (ii) has a maturity date after the Maturity Date of the Notes; </w:t>
      </w:r>
    </w:p>
    <w:p>
      <w:pPr>
        <w:pStyle w:val="TextBody"/>
        <w:bidi w:val="0"/>
        <w:spacing w:before="240" w:after="0"/>
        <w:jc w:val="left"/>
        <w:rPr>
          <w:rFonts w:ascii="Times New Roman" w:hAnsi="Times New Roman"/>
          <w:sz w:val="20"/>
        </w:rPr>
      </w:pPr>
      <w:r>
        <w:rPr>
          <w:rFonts w:ascii="Times New Roman" w:hAnsi="Times New Roman"/>
          <w:sz w:val="20"/>
        </w:rPr>
        <w:t xml:space="preserve">(e) Indebtedness incurred as a result of endorsing negotiable instruments received in the ordinary course of the Company’s business; </w:t>
      </w:r>
    </w:p>
    <w:p>
      <w:pPr>
        <w:pStyle w:val="TextBody"/>
        <w:bidi w:val="0"/>
        <w:spacing w:before="240" w:after="0"/>
        <w:jc w:val="left"/>
        <w:rPr>
          <w:rFonts w:ascii="Times New Roman" w:hAnsi="Times New Roman"/>
          <w:sz w:val="20"/>
        </w:rPr>
      </w:pPr>
      <w:r>
        <w:rPr>
          <w:rFonts w:ascii="Times New Roman" w:hAnsi="Times New Roman"/>
          <w:sz w:val="20"/>
        </w:rPr>
        <w:t xml:space="preserve">(f) Indebtedness in respect of netting services, overdraft protections, employee credit card programs, automatic clearinghouse arrangements, other cash management arrangements and similar arrangements, in each case, in connection with deposit accounts and Indebtedness arising from the honoring of a bank or other financial institution of a check, draft or similar instrument drawn against insufficient funds in the ordinary course of business; </w:t>
      </w:r>
      <w:r>
        <w:rPr>
          <w:rFonts w:ascii="Times New Roman" w:hAnsi="Times New Roman"/>
          <w:i/>
          <w:sz w:val="20"/>
        </w:rPr>
        <w:t>provided</w:t>
      </w:r>
      <w:r>
        <w:rPr>
          <w:rFonts w:ascii="Times New Roman" w:hAnsi="Times New Roman"/>
          <w:sz w:val="20"/>
        </w:rPr>
        <w:t xml:space="preserve"> that any such Indebtedness is extinguished within thirty (30) days; </w:t>
      </w:r>
    </w:p>
    <w:p>
      <w:pPr>
        <w:pStyle w:val="TextBody"/>
        <w:bidi w:val="0"/>
        <w:spacing w:before="240" w:after="0"/>
        <w:jc w:val="left"/>
        <w:rPr>
          <w:rFonts w:ascii="Times New Roman" w:hAnsi="Times New Roman"/>
          <w:sz w:val="20"/>
        </w:rPr>
      </w:pPr>
      <w:r>
        <w:rPr>
          <w:rFonts w:ascii="Times New Roman" w:hAnsi="Times New Roman"/>
          <w:sz w:val="20"/>
        </w:rPr>
        <w:t xml:space="preserve">(g) unsecured Indebtedness consisting of financing of insurance premiums in the ordinary course of business in an aggregate amount not to exceed $1.0 million at any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(h) 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 Indebtedness of any Note Party in respect of performance bonds, performance guarantees, completion guarantees, bid bonds, appeal bonds, surety bonds and similar obligations, in each case provided in the ordinary course of business or consistent with past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(i) Indebtedness of any Note Party owed to any other Note Party, (ii) Indebtedness of any Subsidiary that is not a Note Party owed to any Note Party or any other Subsidiary that is not a Note Party to the extent constituting a Permitted Investment, </w:t>
      </w:r>
      <w:r>
        <w:rPr>
          <w:rFonts w:ascii="Times New Roman" w:hAnsi="Times New Roman"/>
          <w:i/>
          <w:sz w:val="20"/>
        </w:rPr>
        <w:t>provided</w:t>
      </w:r>
      <w:r>
        <w:rPr>
          <w:rFonts w:ascii="Times New Roman" w:hAnsi="Times New Roman"/>
          <w:sz w:val="20"/>
        </w:rPr>
        <w:t xml:space="preserve"> that, solely with respect to immediately preceding clause (ii), the aggregate of any amounts extended by a Note Party are permitted under clause (h) of Section 4.12 and (iii) Indebtedness of any Note Party owed to a Subsidiary that is not a Note Party, </w:t>
      </w:r>
      <w:r>
        <w:rPr>
          <w:rFonts w:ascii="Times New Roman" w:hAnsi="Times New Roman"/>
          <w:i/>
          <w:sz w:val="20"/>
        </w:rPr>
        <w:t>provided</w:t>
      </w:r>
      <w:r>
        <w:rPr>
          <w:rFonts w:ascii="Times New Roman" w:hAnsi="Times New Roman"/>
          <w:sz w:val="20"/>
        </w:rPr>
        <w:t xml:space="preserve"> that, solely with respect to immediately preceding clause (iii), (x) any repayment of such Indebtedness by a Note Party shall not exceed $6.0 million at any time outstanding and (y) such Indebtedness shall be Subordinated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(k) Guarantees by (i) any Note Party of Indebtedness or other obligations of any other Note Party, and (ii) any Subsidiary that is not a Note Party of Indebtedness or other obligations of any Note Party or any other Subsidiary that is not a Note Party; </w:t>
      </w:r>
      <w:r>
        <w:rPr>
          <w:rFonts w:ascii="Times New Roman" w:hAnsi="Times New Roman"/>
          <w:i/>
          <w:sz w:val="20"/>
        </w:rPr>
        <w:t>provided</w:t>
      </w:r>
      <w:r>
        <w:rPr>
          <w:rFonts w:ascii="Times New Roman" w:hAnsi="Times New Roman"/>
          <w:sz w:val="20"/>
        </w:rPr>
        <w:t xml:space="preserve"> that (A) the Indebtedness so guaranteed is Permitted Debt and (B) Guarantees permitted under the immediately preceding clause (i) shall be subordinated to the Obligations on the same terms as the Indebtedness so guaranteed is so subordinated to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(l) to the extent constituting Indebtedness, customer deposits and advance payments (including progress payments) received in the ordinary course of business from customers for goods and services purchased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(m) Indebtedness secured by Liens permitted under clause (c) of Section 4.11; </w:t>
      </w:r>
    </w:p>
    <w:p>
      <w:pPr>
        <w:pStyle w:val="TextBody"/>
        <w:bidi w:val="0"/>
        <w:spacing w:before="240" w:after="0"/>
        <w:jc w:val="left"/>
        <w:rPr>
          <w:rFonts w:ascii="Times New Roman" w:hAnsi="Times New Roman"/>
          <w:sz w:val="20"/>
        </w:rPr>
      </w:pPr>
      <w:r>
        <w:rPr>
          <w:rFonts w:ascii="Times New Roman" w:hAnsi="Times New Roman"/>
          <w:sz w:val="20"/>
        </w:rPr>
        <w:t xml:space="preserve">(n) Indebtedness of any Person that becomes a Note Party after the Issue Date; </w:t>
      </w:r>
      <w:r>
        <w:rPr>
          <w:rFonts w:ascii="Times New Roman" w:hAnsi="Times New Roman"/>
          <w:i/>
          <w:sz w:val="20"/>
        </w:rPr>
        <w:t>provided</w:t>
      </w:r>
      <w:r>
        <w:rPr>
          <w:rFonts w:ascii="Times New Roman" w:hAnsi="Times New Roman"/>
          <w:sz w:val="20"/>
        </w:rPr>
        <w:t xml:space="preserve"> that (i) such Indebtedness exists at the time such Person becomes a Note Party and is not created in contemplation of or in connection with such Person becoming a Note Party and (ii) the aggregate principal amount of Indebtedness permitted by this clause (n), together with any Permitted Refinancing Indebtedness incurred with respect thereto, shall not exceed $6.0 million at any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(o) Indebtedness that may be deemed to exist in connection with agreements providing for indemnification or working capital and similar purchase price adjustments and similar obligations in connection with any Investment permitted under Section 4.12 or Transfers permitted under Section 4.16 (other than earn-out or similar deferred payment obligations); </w:t>
      </w:r>
    </w:p>
    <w:p>
      <w:pPr>
        <w:pStyle w:val="TextBody"/>
        <w:bidi w:val="0"/>
        <w:spacing w:before="240" w:after="0"/>
        <w:jc w:val="left"/>
        <w:rPr>
          <w:rFonts w:ascii="Times New Roman" w:hAnsi="Times New Roman"/>
          <w:sz w:val="20"/>
        </w:rPr>
      </w:pPr>
      <w:r>
        <w:rPr>
          <w:rFonts w:ascii="Times New Roman" w:hAnsi="Times New Roman"/>
          <w:sz w:val="20"/>
        </w:rPr>
        <w:t xml:space="preserve">(p) Indebtedness of any Note Party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w:t>
      </w:r>
      <w:r>
        <w:rPr>
          <w:rFonts w:ascii="Times New Roman" w:hAnsi="Times New Roman"/>
          <w:i/>
          <w:sz w:val="20"/>
        </w:rPr>
        <w:t>provided</w:t>
      </w:r>
      <w:r>
        <w:rPr>
          <w:rFonts w:ascii="Times New Roman" w:hAnsi="Times New Roman"/>
          <w:sz w:val="20"/>
        </w:rPr>
        <w:t xml:space="preserve"> that (i) such Indebtedness is incurred prior to or within one hundred eighty (180) days after such acquisition or the completion of such construction or improvement and (ii) the aggregate principal amount of Indebtedness permitted by this clause (p) shall not exceed $15.0 million at any time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other Indebtedness in an aggregate principal amount not to exceed $9.0 million at any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(r) all customary and reasonable premiums (if any), and customary and reasonable interest (including post-petition interest), fees, expenses, charges and additional or contingent interest on obligations described in clauses (a) through (q) above; </w:t>
      </w:r>
      <w:r>
        <w:rPr>
          <w:rFonts w:ascii="Times New Roman" w:hAnsi="Times New Roman"/>
          <w:i/>
          <w:sz w:val="20"/>
        </w:rPr>
        <w:t>provided</w:t>
      </w:r>
      <w:r>
        <w:rPr>
          <w:rFonts w:ascii="Times New Roman" w:hAnsi="Times New Roman"/>
          <w:sz w:val="20"/>
        </w:rPr>
        <w:t xml:space="preserve"> that any determination of what is “customary and reasonable” in this clause (r) shall be as determined by the Company in good faith; and </w:t>
      </w:r>
    </w:p>
    <w:p>
      <w:pPr>
        <w:pStyle w:val="TextBody"/>
        <w:bidi w:val="0"/>
        <w:spacing w:before="240" w:after="0"/>
        <w:jc w:val="left"/>
        <w:rPr>
          <w:rFonts w:ascii="Times New Roman" w:hAnsi="Times New Roman"/>
          <w:sz w:val="20"/>
        </w:rPr>
      </w:pPr>
      <w:r>
        <w:rPr>
          <w:rFonts w:ascii="Times New Roman" w:hAnsi="Times New Roman"/>
          <w:sz w:val="20"/>
        </w:rPr>
        <w:t xml:space="preserve">(s) extensions, renewals, refinancings, modifications, amendments and restatements and replacements of any items of Permitted Debt in immediately preceding clauses (b)(x), (c)(y) and (n) above to the extent constituting Permitted Refinancing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Section 4.10, in the event that an item of proposed Indebtedness meets the criteria of more than one of the categories of Permitted Debt described in clauses and (a) through (s) above, the Company shall be permitted to classify such item of Indebtedness on the date of its incurrence (or later reclassify such Indebtedness in whole or in part) in any manner that complies with this Section 4.10. In addition, the accrual of interest, accretion or amortization of original issue discount and the payment of interest on any Indebtedness in the form of additional Indebtedness with the same terms shall not be treated as an incurrence of Indebtedness for purposes of this Section 4.10.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 the maximum amount of Indebtedness that may be incurred pursuant to this Section 4.10 shall not be deemed to be exceeded with respect to any outstanding Indebtedness due solely to the result of fluctuations in the exchange rates of currencies and/or (ii) the accrual of interest and the accretion of accreted value and the payment of interest in the form of additional Indebtedness shall not be deemed to be an incurrence of Indebtedness for any purpose under this Indenture or any other Note Document.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any U.S. dollar denominated restriction on the incurrence of Indebtedness where the Indebtedness incurred, or any Indebtedness outstanding pursuant to the clause or clauses of the definition of Permitted Debt under which such Indebtedness is being incurred, is denominated in a different currency, the amount of any such Indebtedness being incurred and such outstanding Indebtedness, if any, shall in each case be the U.S. Dollar Equivalent determined on the date any such Indebtedness was incurred, in the case of term Indebtedness, or first committed, in the case of revolving credit Indebtedness, which U.S. Dollar Equivalent shall be reduced by any repayment on such Indebtedness in proportion to the reduction in principal amount;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any such Indebtedness denominated in a different currency is subject to a Currency Protection Agreement with respect to U.S. dollars covering all principal, premium, if any, and interest, if any, payable on such Indebtedness, the amount of such Indebtedness expressed in U.S. dollars shall be as provided in such Currency Protection Agreement. The principal amount of any Permitted Refinancing Indebtedness incurred in the same currency as the Indebtedness being refinanced shall be the U.S. Dollar Equivalent of the Indebtedness refinanced, except to the extent that (i) such U.S. Dollar Equivalent was determined based on a Currency Protection Agreement, in which case the Permitted Refinancing Indebtedness shall be determined in accordance with the preceding sentence and (ii) if the principal amount of the Permitted Refinancing Indebtedness exceeds the principal amount of the Indebtedness being refinanced, the U.S. Dollar Equivalent of such excess, as appropriate, shall be determined on the date such Permitted Refinancing Indebtedness is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4.11 </w:t>
      </w:r>
      <w:r>
        <w:rPr>
          <w:rFonts w:ascii="Times New Roman" w:hAnsi="Times New Roman"/>
          <w:i/>
          <w:sz w:val="20"/>
        </w:rPr>
        <w:t>Limitation on Liens</w:t>
      </w:r>
      <w:r>
        <w:rPr>
          <w:rFonts w:ascii="Times New Roman" w:hAnsi="Times New Roman"/>
          <w:sz w:val="20"/>
        </w:rPr>
        <w:t>. The Company shall not, and shall not permit any of its Subsidiaries to, directly or indirectly, create, incur, assume or suffer to exist any Lien of any kind securing Indebtedness on any property or assets of the Company or such Subsidiaries now owned or hereafter acquired, other than, in each case (the following items collectively, “</w:t>
      </w:r>
      <w:r>
        <w:rPr>
          <w:rFonts w:ascii="Times New Roman" w:hAnsi="Times New Roman"/>
          <w:b/>
          <w:sz w:val="20"/>
        </w:rPr>
        <w:t>Permitted Liens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Liens existing on the Issue Date (other than Liens described under clause (s) of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(b) Liens for taxes, fees, assessments or other government charges or levies, either (i) not due and payable or (ii) being contested in good faith and for which any Note Party maintains adequate reserves; </w:t>
      </w:r>
    </w:p>
    <w:p>
      <w:pPr>
        <w:pStyle w:val="TextBody"/>
        <w:bidi w:val="0"/>
        <w:spacing w:before="240" w:after="0"/>
        <w:jc w:val="left"/>
        <w:rPr>
          <w:rFonts w:ascii="Times New Roman" w:hAnsi="Times New Roman"/>
          <w:sz w:val="20"/>
        </w:rPr>
      </w:pPr>
      <w:r>
        <w:rPr>
          <w:rFonts w:ascii="Times New Roman" w:hAnsi="Times New Roman"/>
          <w:sz w:val="20"/>
        </w:rPr>
        <w:t xml:space="preserve">(c) purchase money Liens (i) on equipment acquired or held by the Company incurred for financing the acquisition of the equipment securing no more than $15.0 million in the aggregate at any time outstanding, or (ii) existing on equipment when acquired, if the Lien is confined to the property and improvements and the proceeds of the equipment; </w:t>
      </w:r>
    </w:p>
    <w:p>
      <w:pPr>
        <w:pStyle w:val="TextBody"/>
        <w:bidi w:val="0"/>
        <w:spacing w:before="240" w:after="0"/>
        <w:jc w:val="left"/>
        <w:rPr>
          <w:rFonts w:ascii="Times New Roman" w:hAnsi="Times New Roman"/>
          <w:sz w:val="20"/>
        </w:rPr>
      </w:pPr>
      <w:r>
        <w:rPr>
          <w:rFonts w:ascii="Times New Roman" w:hAnsi="Times New Roman"/>
          <w:sz w:val="20"/>
        </w:rPr>
        <w:t xml:space="preserve">(d) Liens of carriers, warehousemen, mechanics, materialmen, repairment, suppliers or other Persons that are possessory in nature arising in the ordinary course of business so long as such Liens secure obligations that are not overdue by more than thirty (30) days or are being contested in good faith by appropriate proceedings for which adequate reserves have been set aside with respect thereto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(e) pledges and deposits to secure payment of workers’ compensation, employment insurance, old-age pensions, social security and other like obligations incurred in the ordinary course of business (other than Liens imposed by ERISA); </w:t>
      </w:r>
    </w:p>
    <w:p>
      <w:pPr>
        <w:pStyle w:val="TextBody"/>
        <w:bidi w:val="0"/>
        <w:spacing w:before="240" w:after="0"/>
        <w:jc w:val="left"/>
        <w:rPr>
          <w:rFonts w:ascii="Times New Roman" w:hAnsi="Times New Roman"/>
          <w:sz w:val="20"/>
        </w:rPr>
      </w:pPr>
      <w:r>
        <w:rPr>
          <w:rFonts w:ascii="Times New Roman" w:hAnsi="Times New Roman"/>
          <w:sz w:val="20"/>
        </w:rPr>
        <w:t xml:space="preserve">(f) pledges and deposits to secure the performance of bids, trade contracts, leases, statutory obligations, surety and appeal bonds, performance bonds and other obligations of a like nature, in each case,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(g) Liens arising under leases, licenses, subleases and sublicenses of property (other than Intellectual Property) and the non-exclusive license or sublicense of Intellectual Property rights, that do not, in the aggregate, materially detract from the value of such property or interfere with the ordinary conduct of the business of any Note Party; </w:t>
      </w:r>
    </w:p>
    <w:p>
      <w:pPr>
        <w:pStyle w:val="TextBody"/>
        <w:bidi w:val="0"/>
        <w:spacing w:before="240" w:after="0"/>
        <w:jc w:val="left"/>
        <w:rPr>
          <w:rFonts w:ascii="Times New Roman" w:hAnsi="Times New Roman"/>
          <w:sz w:val="20"/>
        </w:rPr>
      </w:pPr>
      <w:r>
        <w:rPr>
          <w:rFonts w:ascii="Times New Roman" w:hAnsi="Times New Roman"/>
          <w:sz w:val="20"/>
        </w:rPr>
        <w:t xml:space="preserve">(h) leases or subleases of real property granted in the ordinary course of any Note Party’s business (or, if referring to another Person, in the ordinary course of such Person’s business), and leases, subleases, non-exclusive licenses or sublicenses of personal property (other than Intellectual Property) granted in the ordinary course of any Note Party’s business (or, if referring to another Person, in the ordinary course of such Person’s business), if the leases, subleases, licenses and sublicenses do not prohibit granting to the Collateral Agent a security interest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banker’s liens, rights of setoff and Liens in favor of financial institutions incurred in the ordinary course of business arising in connection with the Company’s deposit accounts or securities accounts held at such institutions; </w:t>
      </w:r>
    </w:p>
    <w:p>
      <w:pPr>
        <w:pStyle w:val="TextBody"/>
        <w:bidi w:val="0"/>
        <w:spacing w:before="240" w:after="0"/>
        <w:jc w:val="left"/>
        <w:rPr>
          <w:rFonts w:ascii="Times New Roman" w:hAnsi="Times New Roman"/>
          <w:sz w:val="20"/>
        </w:rPr>
      </w:pPr>
      <w:r>
        <w:rPr>
          <w:rFonts w:ascii="Times New Roman" w:hAnsi="Times New Roman"/>
          <w:sz w:val="20"/>
        </w:rPr>
        <w:t xml:space="preserve">(j) Liens consisting of Permitted Licenses; </w:t>
      </w:r>
    </w:p>
    <w:p>
      <w:pPr>
        <w:pStyle w:val="TextBody"/>
        <w:bidi w:val="0"/>
        <w:spacing w:before="240" w:after="0"/>
        <w:jc w:val="left"/>
        <w:rPr>
          <w:rFonts w:ascii="Times New Roman" w:hAnsi="Times New Roman"/>
          <w:sz w:val="20"/>
        </w:rPr>
      </w:pPr>
      <w:r>
        <w:rPr>
          <w:rFonts w:ascii="Times New Roman" w:hAnsi="Times New Roman"/>
          <w:sz w:val="20"/>
        </w:rPr>
        <w:t xml:space="preserve">(k) Liens arising from attachments or judgments, orders, or decrees in circumstances not constituting an Event of Default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(l) easements, rights-of-way, restrictions and other similar encumbrances and minor title defects affecting real property which, in the aggregate, are not substantial in amount, and which do not in any case materially detract from the value of the property subject thereto or materially interfere with the ordinary conduct of the business of the applicable Person; </w:t>
      </w:r>
    </w:p>
    <w:p>
      <w:pPr>
        <w:pStyle w:val="TextBody"/>
        <w:bidi w:val="0"/>
        <w:spacing w:before="240" w:after="0"/>
        <w:jc w:val="left"/>
        <w:rPr>
          <w:rFonts w:ascii="Times New Roman" w:hAnsi="Times New Roman"/>
          <w:sz w:val="20"/>
        </w:rPr>
      </w:pPr>
      <w:r>
        <w:rPr>
          <w:rFonts w:ascii="Times New Roman" w:hAnsi="Times New Roman"/>
          <w:sz w:val="20"/>
        </w:rPr>
        <w:t xml:space="preserve">(m) Liens in favor of customs or revenue authorities arising as a matter of law to secure payment of customs duties in connection with the importation of goods; </w:t>
      </w:r>
    </w:p>
    <w:p>
      <w:pPr>
        <w:pStyle w:val="TextBody"/>
        <w:bidi w:val="0"/>
        <w:spacing w:before="240" w:after="0"/>
        <w:jc w:val="left"/>
        <w:rPr>
          <w:rFonts w:ascii="Times New Roman" w:hAnsi="Times New Roman"/>
          <w:sz w:val="20"/>
        </w:rPr>
      </w:pPr>
      <w:r>
        <w:rPr>
          <w:rFonts w:ascii="Times New Roman" w:hAnsi="Times New Roman"/>
          <w:sz w:val="20"/>
        </w:rPr>
        <w:t xml:space="preserve">(n) Liens arising from the filing of any precautionary financing statement regarding operating leases, subleases, licenses or consignments entered into by any Note Party; </w:t>
      </w:r>
    </w:p>
    <w:p>
      <w:pPr>
        <w:pStyle w:val="TextBody"/>
        <w:bidi w:val="0"/>
        <w:spacing w:before="240" w:after="0"/>
        <w:jc w:val="left"/>
        <w:rPr>
          <w:rFonts w:ascii="Times New Roman" w:hAnsi="Times New Roman"/>
          <w:sz w:val="20"/>
        </w:rPr>
      </w:pPr>
      <w:r>
        <w:rPr>
          <w:rFonts w:ascii="Times New Roman" w:hAnsi="Times New Roman"/>
          <w:sz w:val="20"/>
        </w:rPr>
        <w:t xml:space="preserve">(o) 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(p) deposits or Liens arising by virtue of such deposits made in the ordinary course of business to secure liability for premiums to insurance carriers; </w:t>
      </w:r>
    </w:p>
    <w:p>
      <w:pPr>
        <w:pStyle w:val="TextBody"/>
        <w:bidi w:val="0"/>
        <w:spacing w:before="240" w:after="0"/>
        <w:jc w:val="left"/>
        <w:rPr>
          <w:rFonts w:ascii="Times New Roman" w:hAnsi="Times New Roman"/>
          <w:sz w:val="20"/>
        </w:rPr>
      </w:pPr>
      <w:r>
        <w:rPr>
          <w:rFonts w:ascii="Times New Roman" w:hAnsi="Times New Roman"/>
          <w:sz w:val="20"/>
        </w:rPr>
        <w:t xml:space="preserve">(q) Liens on any cash earnest money deposits made in connection with any letter of intent or purchase agreement in connection with an Investment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(r) customary rights of first refusal, “tag-along” and “drag-along” rights, and put and call arrangements under joint venture agreements for joint ventures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(s) Liens securing Indebtedness incurred pursuant to clauses (a), (b), (d), (k), (p), (r) and (s) of Section 4.10 </w:t>
      </w:r>
      <w:r>
        <w:rPr>
          <w:rFonts w:ascii="Times New Roman" w:hAnsi="Times New Roman"/>
          <w:i/>
          <w:sz w:val="20"/>
        </w:rPr>
        <w:t>provided</w:t>
      </w:r>
      <w:r>
        <w:rPr>
          <w:rFonts w:ascii="Times New Roman" w:hAnsi="Times New Roman"/>
          <w:sz w:val="20"/>
        </w:rPr>
        <w:t xml:space="preserve">, that (i) any Liens securing Indebtedness incurred pursuant to clauses (a), (b) or (d) of Section 4.10 are subject to a customary intercreditor agreement, (ii) any Liens securing Indebtedness incurred pursuant to clause (p) of Section 4.10 shall be confined to the assets subject to the applicable financing and any proceeds thereof and (iii) Indebtedness incurred pursuant to clause (k) or (r) of Section 4.10 may only be secured by a Lien to the extent (and with priority equal to) the obligations giving rise to the applicable Guarantees, premiums, fees, expenses, charges or additional or contingent interest are secured by a Permitted Lien; </w:t>
      </w:r>
    </w:p>
    <w:p>
      <w:pPr>
        <w:pStyle w:val="TextBody"/>
        <w:bidi w:val="0"/>
        <w:spacing w:before="240" w:after="0"/>
        <w:jc w:val="left"/>
        <w:rPr>
          <w:rFonts w:ascii="Times New Roman" w:hAnsi="Times New Roman"/>
          <w:sz w:val="20"/>
        </w:rPr>
      </w:pPr>
      <w:r>
        <w:rPr>
          <w:rFonts w:ascii="Times New Roman" w:hAnsi="Times New Roman"/>
          <w:sz w:val="20"/>
        </w:rPr>
        <w:t xml:space="preserve">(t) any Lien existing on any property or asset prior to the acquisition thereof by any Note Party or existing on any property or asset of any Person that becomes a Note Party after the Issue Date prior to the time such Person becomes a Note Party, </w:t>
      </w:r>
      <w:r>
        <w:rPr>
          <w:rFonts w:ascii="Times New Roman" w:hAnsi="Times New Roman"/>
          <w:i/>
          <w:sz w:val="20"/>
        </w:rPr>
        <w:t>provided</w:t>
      </w:r>
      <w:r>
        <w:rPr>
          <w:rFonts w:ascii="Times New Roman" w:hAnsi="Times New Roman"/>
          <w:sz w:val="20"/>
        </w:rPr>
        <w:t xml:space="preserve"> that (i) such Lien is not created in contemplation of or in connection with such acquisition or such Person becoming a Note Party, as the case may be, (ii) such Lien shall not apply to any other property or assets of such Note Party and (iii) such Lien shall secure only those obligations which it secures on the date of such acquisition or the date such Person becomes a Note Party, as the case may be, and extensions, renewals, refinancings and replacements permitted under Section 4.10 that do not increase the outstanding principal amount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 Liens of a collecting bank arising in the ordinary course of business under Section 4-210 of the Code in effect in the relevant jurisdiction covering only the items being collected upon; and </w:t>
      </w:r>
    </w:p>
    <w:p>
      <w:pPr>
        <w:pStyle w:val="TextBody"/>
        <w:bidi w:val="0"/>
        <w:spacing w:before="240" w:after="0"/>
        <w:jc w:val="left"/>
        <w:rPr>
          <w:rFonts w:ascii="Times New Roman" w:hAnsi="Times New Roman"/>
          <w:sz w:val="20"/>
        </w:rPr>
      </w:pPr>
      <w:r>
        <w:rPr>
          <w:rFonts w:ascii="Times New Roman" w:hAnsi="Times New Roman"/>
          <w:sz w:val="20"/>
        </w:rPr>
        <w:t xml:space="preserve">(v) other Liens securing Junior Lien Debt outstanding in an aggregate principal amount not to exceed $9.0 million at any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 Permitted Lien meets the criteria of more than one of the types of Permitted Liens (at the time of incurrence or at a later date), the Company in its sole discretion may divide, classify or from time to time reclassify all or any portion of such Permitted Lien in any manner that complies with Section 4.11 and such Permitted Lien shall be treated as having been made pursuant only to the clause or clauses of this definition to which such Permitted Lien has been classified or reclassified. </w:t>
      </w:r>
    </w:p>
    <w:p>
      <w:pPr>
        <w:pStyle w:val="TextBody"/>
        <w:bidi w:val="0"/>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i/>
          <w:sz w:val="20"/>
        </w:rPr>
        <w:t xml:space="preserve">Investments. </w:t>
      </w:r>
      <w:r>
        <w:rPr>
          <w:rFonts w:ascii="Times New Roman" w:hAnsi="Times New Roman"/>
          <w:sz w:val="20"/>
        </w:rPr>
        <w:t>The Company shall not, and shall not permit any of its Subsidiaries to, directly or indirectly, purchase, acquire or make any Investments, other than, in each case, the following items (collectively, “</w:t>
      </w:r>
      <w:r>
        <w:rPr>
          <w:rFonts w:ascii="Times New Roman" w:hAnsi="Times New Roman"/>
          <w:b/>
          <w:sz w:val="20"/>
        </w:rPr>
        <w:t>Permitted Investments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Investments (including, without limitation, Equity Interests in Subsidiaries) existing on the Issue Date, and any modification, renewal or extension of any of the foregoing that does not increase the amount of the Investment being modified, renewed or extended (as determined as of such date of modification, renewal or extension) unless the incremental increase in such Investment is otherwise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(b) Investments consisting of cash or Cash Equivalents; </w:t>
      </w:r>
    </w:p>
    <w:p>
      <w:pPr>
        <w:pStyle w:val="TextBody"/>
        <w:bidi w:val="0"/>
        <w:spacing w:before="240" w:after="0"/>
        <w:jc w:val="left"/>
        <w:rPr>
          <w:rFonts w:ascii="Times New Roman" w:hAnsi="Times New Roman"/>
          <w:sz w:val="20"/>
        </w:rPr>
      </w:pPr>
      <w:r>
        <w:rPr>
          <w:rFonts w:ascii="Times New Roman" w:hAnsi="Times New Roman"/>
          <w:sz w:val="20"/>
        </w:rPr>
        <w:t xml:space="preserve">(c) Investments in the ordinary course of business consisting of (i) endorsements of negotiable instruments for deposit or collection or similar transactions, (ii) customary trade arrangements with customers and (iii) trade accounts payable incurred by a Note Party on behalf of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(d) Investments consisting of deposit accounts; </w:t>
      </w:r>
    </w:p>
    <w:p>
      <w:pPr>
        <w:pStyle w:val="TextBody"/>
        <w:bidi w:val="0"/>
        <w:spacing w:before="240" w:after="0"/>
        <w:jc w:val="left"/>
        <w:rPr>
          <w:rFonts w:ascii="Times New Roman" w:hAnsi="Times New Roman"/>
          <w:sz w:val="20"/>
        </w:rPr>
      </w:pPr>
      <w:r>
        <w:rPr>
          <w:rFonts w:ascii="Times New Roman" w:hAnsi="Times New Roman"/>
          <w:sz w:val="20"/>
        </w:rPr>
        <w:t xml:space="preserve">(e) Investments (including promissory notes and other non-cash consideration) received in connection with Transfers permitted under Section 4.16; </w:t>
      </w:r>
    </w:p>
    <w:p>
      <w:pPr>
        <w:pStyle w:val="TextBody"/>
        <w:bidi w:val="0"/>
        <w:spacing w:before="240" w:after="0"/>
        <w:jc w:val="left"/>
        <w:rPr>
          <w:rFonts w:ascii="Times New Roman" w:hAnsi="Times New Roman"/>
          <w:sz w:val="20"/>
        </w:rPr>
      </w:pPr>
      <w:r>
        <w:rPr>
          <w:rFonts w:ascii="Times New Roman" w:hAnsi="Times New Roman"/>
          <w:sz w:val="20"/>
        </w:rPr>
        <w:t xml:space="preserve">(f) Investments consisting of the creation of a Subsidiary for the purpose of consummating a merger transaction permitted by Article 11, which is otherwise a Permitted Investment; </w:t>
      </w:r>
      <w:r>
        <w:rPr>
          <w:rFonts w:ascii="Times New Roman" w:hAnsi="Times New Roman"/>
          <w:i/>
          <w:sz w:val="20"/>
        </w:rPr>
        <w:t>provided</w:t>
      </w:r>
      <w:r>
        <w:rPr>
          <w:rFonts w:ascii="Times New Roman" w:hAnsi="Times New Roman"/>
          <w:sz w:val="20"/>
        </w:rPr>
        <w:t xml:space="preserve"> that, for purposes of this clause (f), such Subsidiary shall not own any Material Property prior the consummation of such merger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Investments consisting of (i) travel advances and employee relocation loans and other employee loans and advances in the ordinary course of business, and (ii) loans to employees, officers, directors, partners, managers and members relating to the purchase of equity securities of any Note Party or any Subsidiary pursuant to employee equity purchase plans or similar agreements approved by the board of directors, subject to a maximum of $1.0 million for all Investments made under this clause (g) in the aggregate at any one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(h) (i) Investments by any Note Party in any Subsidiary that is not a Note Party in an aggregate amount not to exceed $5.0 million at any time outstanding, (ii) Investments by any Note Party in any other Note Party and (iii) Investments by any Subsidiary that is not a Note Party in any Note Party or in any other Subsidiary that is not a Note Party; </w:t>
      </w:r>
    </w:p>
    <w:p>
      <w:pPr>
        <w:pStyle w:val="TextBody"/>
        <w:bidi w:val="0"/>
        <w:spacing w:before="240" w:after="0"/>
        <w:jc w:val="left"/>
        <w:rPr>
          <w:rFonts w:ascii="Times New Roman" w:hAnsi="Times New Roman"/>
          <w:sz w:val="20"/>
        </w:rPr>
      </w:pPr>
      <w:r>
        <w:rPr>
          <w:rFonts w:ascii="Times New Roman" w:hAnsi="Times New Roman"/>
          <w:sz w:val="20"/>
        </w:rPr>
        <w:t xml:space="preserve">(i) Investments (including debt obligations and equity interests) received in connection with the bankruptcy or reorganization (by way of voluntary arrangement, schemes of arrangement or otherwise) of customers or suppliers and in settlement of delinquent obligations of, and other disputes with, customers or suppliers arising in the ordinary course of business and upon the foreclosure with respect to any secured Investment or other transfer of title with respect to any secured Investment; </w:t>
      </w:r>
    </w:p>
    <w:p>
      <w:pPr>
        <w:pStyle w:val="TextBody"/>
        <w:bidi w:val="0"/>
        <w:spacing w:before="240" w:after="0"/>
        <w:jc w:val="left"/>
        <w:rPr>
          <w:rFonts w:ascii="Times New Roman" w:hAnsi="Times New Roman"/>
          <w:sz w:val="20"/>
        </w:rPr>
      </w:pPr>
      <w:r>
        <w:rPr>
          <w:rFonts w:ascii="Times New Roman" w:hAnsi="Times New Roman"/>
          <w:sz w:val="20"/>
        </w:rPr>
        <w:t xml:space="preserve">(j) (x) notes payable, or stock or other securities issued to a Note Party pursuant to negotiated agreements with respect to settlement of accounts receivable in the ordinary course of business and (y) settlement, discount, write-off, forgiveness or cancellation of any Indebtedness owing by any present or former consultants, directors, officers or employees of a Note Party or any Subsidiary or any of their successors or assigns; </w:t>
      </w:r>
    </w:p>
    <w:p>
      <w:pPr>
        <w:pStyle w:val="TextBody"/>
        <w:bidi w:val="0"/>
        <w:spacing w:before="240" w:after="0"/>
        <w:jc w:val="left"/>
        <w:rPr>
          <w:rFonts w:ascii="Times New Roman" w:hAnsi="Times New Roman"/>
          <w:sz w:val="20"/>
        </w:rPr>
      </w:pPr>
      <w:r>
        <w:rPr>
          <w:rFonts w:ascii="Times New Roman" w:hAnsi="Times New Roman"/>
          <w:sz w:val="20"/>
        </w:rPr>
        <w:t xml:space="preserve">(k) Investments consisting of notes receivable of, or prepaid royalties and other credit extensions, to customers and suppliers who are not Affiliates, in the ordinary course of business; </w:t>
      </w:r>
      <w:r>
        <w:rPr>
          <w:rFonts w:ascii="Times New Roman" w:hAnsi="Times New Roman"/>
          <w:i/>
          <w:sz w:val="20"/>
        </w:rPr>
        <w:t>provided</w:t>
      </w:r>
      <w:r>
        <w:rPr>
          <w:rFonts w:ascii="Times New Roman" w:hAnsi="Times New Roman"/>
          <w:sz w:val="20"/>
        </w:rPr>
        <w:t xml:space="preserve"> that this clause (k) shall not apply to Investments in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(l) (w) Investments consisting of extensions of credit in the nature of accounts receivable or notes receivable arising from the grant of trade credit in the ordinary course of business (including advances made to distributors), (x) Investments received in satisfaction or partial satisfaction thereof from financially troubled account debtors, (y) Investments consisting of prepayments to suppliers in the ordinary course of business and (z) Investments made in compromise, settlement or resolution of (including upon satisfaction of judgments with respect to) (A) obligations of trade creditors or customers that were incurred in the ordinary course of business of any Note Party or any Subsidiary or (B) litigation, arbitration or other disputes; </w:t>
      </w:r>
    </w:p>
    <w:p>
      <w:pPr>
        <w:pStyle w:val="TextBody"/>
        <w:bidi w:val="0"/>
        <w:spacing w:before="240" w:after="0"/>
        <w:jc w:val="left"/>
        <w:rPr>
          <w:rFonts w:ascii="Times New Roman" w:hAnsi="Times New Roman"/>
          <w:sz w:val="20"/>
        </w:rPr>
      </w:pPr>
      <w:r>
        <w:rPr>
          <w:rFonts w:ascii="Times New Roman" w:hAnsi="Times New Roman"/>
          <w:sz w:val="20"/>
        </w:rPr>
        <w:t xml:space="preserve">(m) (x) non-cash Investments in joint ventures or strategic alliances in the ordinary course of any Note Party’s business and (y) Investments in joint ventures or strategic alliances for the purpose of decreasing sales and/or administrative expenses, </w:t>
      </w:r>
      <w:r>
        <w:rPr>
          <w:rFonts w:ascii="Times New Roman" w:hAnsi="Times New Roman"/>
          <w:i/>
          <w:sz w:val="20"/>
        </w:rPr>
        <w:t>provided</w:t>
      </w:r>
      <w:r>
        <w:rPr>
          <w:rFonts w:ascii="Times New Roman" w:hAnsi="Times New Roman"/>
          <w:sz w:val="20"/>
        </w:rPr>
        <w:t xml:space="preserve"> that the aggregate amount of Investments made pursuant to this clause (m) shall not, together with any Investments made pursuant to clause (q) below, exceed $5.0 million at any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(n) (x) Investments constituting deposits described in clauses (e) and (f) of Section 4.11 and (y) to the extent constituting Investments, transactions expressly permitted (other than by reference to Section 4.11 or Section 4.13 or any clause thereof), under Section 4.15;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Investments of any Person existing at the time such Person becomes a Subsidiary of any Note Party or consolidates or merges with any Note Party or any Subsidiary so long as such Investments were not made in contemplation of such Person becoming a Subsidiary or of such merger; </w:t>
      </w:r>
    </w:p>
    <w:p>
      <w:pPr>
        <w:pStyle w:val="TextBody"/>
        <w:bidi w:val="0"/>
        <w:spacing w:before="240" w:after="0"/>
        <w:jc w:val="left"/>
        <w:rPr>
          <w:rFonts w:ascii="Times New Roman" w:hAnsi="Times New Roman"/>
          <w:sz w:val="20"/>
        </w:rPr>
      </w:pPr>
      <w:r>
        <w:rPr>
          <w:rFonts w:ascii="Times New Roman" w:hAnsi="Times New Roman"/>
          <w:sz w:val="20"/>
        </w:rPr>
        <w:t xml:space="preserve">(p) the cancellation of any Indebtedness in connection with an exchange of consideration for the Existing Notes; and </w:t>
      </w:r>
    </w:p>
    <w:p>
      <w:pPr>
        <w:pStyle w:val="TextBody"/>
        <w:bidi w:val="0"/>
        <w:spacing w:before="240" w:after="0"/>
        <w:jc w:val="left"/>
        <w:rPr>
          <w:rFonts w:ascii="Times New Roman" w:hAnsi="Times New Roman"/>
          <w:sz w:val="20"/>
        </w:rPr>
      </w:pPr>
      <w:r>
        <w:rPr>
          <w:rFonts w:ascii="Times New Roman" w:hAnsi="Times New Roman"/>
          <w:sz w:val="20"/>
        </w:rPr>
        <w:t xml:space="preserve">(q) other Investments in an aggregate amount, together with any Investments made pursuant to clause (m) above, not to exceed $5.0 million at any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Any Investment in any Person other than the Company or a Guarantor that is otherwise permitted by this Section 4.12 may be made through substantially concurrent intermediate Investments in Subsidiaries that are not Guarantors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(as determined by the Company in good faith) valued at the time of the making thereof, and without giving effect to any subsequent write-downs or write-offs thereof.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amount of Investments permitted under this covenant, Investments (excluding loans and advances) shall always be taken at the original cost thereof (regardless of any subsequent appreciation or depreciation therein), and loans and advances shall be taken at the principal amount thereof then remaining unpaid.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covenant, an Investment need not be permitted solely by reference to one category of permitted Investments (or portion thereof) described in the above clauses but may be permitted in part under any combination thereof (but may not thereafter be reclassified).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in this Indenture to the contrary, (a) the Company shall not, nor shall it permit any Subsidiary to, sell, transfer or otherwise dispose of any Material Property (whether pursuant to an Investment, a sale, lease, license, transfer, investment, restricted payment, dividend or otherwise or relating to the exclusive rights thereto) to any Subsidiary or Affiliate of the Company that is not a Note Party, other than the grant of a non-exclusive lease or license of property to any Subsidiary of the Company on arms’-length terms, in the ordinary course of business and for a bona fide business purpose; and (b) no Person that is either (x) a Subsidiary that is not a Note Party or (y) an Affiliate of the Company (that is not a Note Party) shall own or hold an exclusive license to any Material Property, other than Material Property owned by non-Note Party Subsidiaries prior to the Issue Date (and not transferred in anticipation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4.13 </w:t>
      </w:r>
      <w:r>
        <w:rPr>
          <w:rFonts w:ascii="Times New Roman" w:hAnsi="Times New Roman"/>
          <w:i/>
          <w:sz w:val="20"/>
        </w:rPr>
        <w:t xml:space="preserve">Restrictive Agreements. </w:t>
      </w:r>
      <w:r>
        <w:rPr>
          <w:rFonts w:ascii="Times New Roman" w:hAnsi="Times New Roman"/>
          <w:sz w:val="20"/>
        </w:rPr>
        <w:t xml:space="preserve">The Company shall not permit any Subsidiary to enter into any agreement, document, instrument or other arrangement (except with or in favor of the Trustee or the Collateral Agent) with any Person which directly or indirectly prohibits or has the effect of prohibiting any Guarantor or any Subsidiary from assigning, mortgaging, pledging, granting a security interest in or upon, or encumbering any Guarantor’s or any Subsidiary’s Intellectual Property, except the foregoing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any restrictions and conditions imposed by any applicable law, the Loan Agreement, this Indenture or the Second Lien Collateral Documents; </w:t>
      </w:r>
    </w:p>
    <w:p>
      <w:pPr>
        <w:pStyle w:val="TextBody"/>
        <w:bidi w:val="0"/>
        <w:spacing w:before="240" w:after="0"/>
        <w:jc w:val="left"/>
        <w:rPr>
          <w:rFonts w:ascii="Times New Roman" w:hAnsi="Times New Roman"/>
          <w:sz w:val="20"/>
        </w:rPr>
      </w:pPr>
      <w:r>
        <w:rPr>
          <w:rFonts w:ascii="Times New Roman" w:hAnsi="Times New Roman"/>
          <w:sz w:val="20"/>
        </w:rPr>
        <w:t xml:space="preserve">(b) restrictions and conditions existing on the Issue Date (but shall apply to any extension or renewal of, or any amendment or modification expending the scope of, any such restriction or condition); </w:t>
      </w:r>
    </w:p>
    <w:p>
      <w:pPr>
        <w:pStyle w:val="TextBody"/>
        <w:bidi w:val="0"/>
        <w:spacing w:before="240" w:after="0"/>
        <w:jc w:val="left"/>
        <w:rPr>
          <w:rFonts w:ascii="Times New Roman" w:hAnsi="Times New Roman"/>
          <w:sz w:val="20"/>
        </w:rPr>
      </w:pPr>
      <w:r>
        <w:rPr>
          <w:rFonts w:ascii="Times New Roman" w:hAnsi="Times New Roman"/>
          <w:sz w:val="20"/>
        </w:rPr>
        <w:t xml:space="preserve">(c) customary restrictions and conditions contained in agreements relating to the sale of a Subsidiary or property pending such sale, </w:t>
      </w:r>
      <w:r>
        <w:rPr>
          <w:rFonts w:ascii="Times New Roman" w:hAnsi="Times New Roman"/>
          <w:i/>
          <w:sz w:val="20"/>
        </w:rPr>
        <w:t>provided</w:t>
      </w:r>
      <w:r>
        <w:rPr>
          <w:rFonts w:ascii="Times New Roman" w:hAnsi="Times New Roman"/>
          <w:sz w:val="20"/>
        </w:rPr>
        <w:t xml:space="preserve"> that such restrictions and conditions apply only to the Subsidiary or property that is to be sold and such sale is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(d) as is otherwise permitted in Section 4.16 and Section 4.11; </w:t>
      </w:r>
    </w:p>
    <w:p>
      <w:pPr>
        <w:pStyle w:val="TextBody"/>
        <w:bidi w:val="0"/>
        <w:spacing w:before="240" w:after="0"/>
        <w:jc w:val="left"/>
        <w:rPr>
          <w:rFonts w:ascii="Times New Roman" w:hAnsi="Times New Roman"/>
          <w:sz w:val="20"/>
        </w:rPr>
      </w:pPr>
      <w:r>
        <w:rPr>
          <w:rFonts w:ascii="Times New Roman" w:hAnsi="Times New Roman"/>
          <w:sz w:val="20"/>
        </w:rPr>
        <w:t xml:space="preserve">(e) restrictions or conditions imposed by any agreement relating to Indebtedness permitted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(f) customary provisions in leases, sub-leases, licenses, sublicenses, contracts and other similar agreements, but not relating to any Indebtedness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(g) restrictions on cash or other deposits or net worth imposed by customers under contracts entered into in the ordinary course of business and not in contemplation of circumventing the requirements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(h) any encumbrance or restriction arising or agreed to in the ordinary course of business, not relating to any Indebtedness, and that does not, individually or in the aggregate, (a) detract from the value of the property or assets of any Note Party in any manner material to any Note Party or (b) materially affect the Company’s ability to make future principal or interest payments hereunder, in each case, as determined by the Company in good faith; and </w:t>
      </w:r>
    </w:p>
    <w:p>
      <w:pPr>
        <w:pStyle w:val="TextBody"/>
        <w:bidi w:val="0"/>
        <w:spacing w:before="240" w:after="0"/>
        <w:jc w:val="left"/>
        <w:rPr>
          <w:rFonts w:ascii="Times New Roman" w:hAnsi="Times New Roman"/>
          <w:sz w:val="20"/>
        </w:rPr>
      </w:pPr>
      <w:r>
        <w:rPr>
          <w:rFonts w:ascii="Times New Roman" w:hAnsi="Times New Roman"/>
          <w:sz w:val="20"/>
        </w:rPr>
        <w:t xml:space="preserve">(i) customary provisions in joint venture agreements or arrangements and other similar agreements or arrangements relating solely to the applicable joint venture. </w:t>
      </w:r>
    </w:p>
    <w:p>
      <w:pPr>
        <w:pStyle w:val="TextBody"/>
        <w:bidi w:val="0"/>
        <w:spacing w:before="240" w:after="0"/>
        <w:jc w:val="left"/>
        <w:rPr>
          <w:rFonts w:ascii="Times New Roman" w:hAnsi="Times New Roman"/>
          <w:sz w:val="20"/>
        </w:rPr>
      </w:pPr>
      <w:r>
        <w:rPr>
          <w:rFonts w:ascii="Times New Roman" w:hAnsi="Times New Roman"/>
          <w:sz w:val="20"/>
        </w:rPr>
        <w:t xml:space="preserve">so long as such provisions set forth in this paragraph were not made in contemplation of circumventing the requirements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4.14 </w:t>
      </w:r>
      <w:r>
        <w:rPr>
          <w:rFonts w:ascii="Times New Roman" w:hAnsi="Times New Roman"/>
          <w:i/>
          <w:sz w:val="20"/>
        </w:rPr>
        <w:t xml:space="preserve">Transactions with Affiliates. </w:t>
      </w:r>
      <w:r>
        <w:rPr>
          <w:rFonts w:ascii="Times New Roman" w:hAnsi="Times New Roman"/>
          <w:sz w:val="20"/>
        </w:rPr>
        <w:t xml:space="preserve">The Company shall not, and shall not permit any of its Subsidiaries to, directly or indirectly enter into or permit to exist any transaction with a fair market value greater than $1.0 million with any Affiliate of the Company or any of its Subsidiaries, unless: </w:t>
      </w:r>
    </w:p>
    <w:p>
      <w:pPr>
        <w:pStyle w:val="TextBody"/>
        <w:bidi w:val="0"/>
        <w:spacing w:before="120" w:after="0"/>
        <w:jc w:val="left"/>
        <w:rPr>
          <w:rFonts w:ascii="Times New Roman" w:hAnsi="Times New Roman"/>
          <w:sz w:val="20"/>
        </w:rPr>
      </w:pPr>
      <w:r>
        <w:rPr>
          <w:rFonts w:ascii="Times New Roman" w:hAnsi="Times New Roman"/>
          <w:sz w:val="20"/>
        </w:rPr>
        <w:t xml:space="preserve">(a) such transaction is on terms that are no less favorable to the Company or the relevant Subsidiary than those that could reasonably have been obtained in a comparable transaction by the Company or such Subsidiary with a non-affiliated Person;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delivers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(i) with respect to any such transaction or series of related such transactions involving aggregate consideration in excess of $2.5 million, an Officer’s Certificate certifying that such transaction or series of related transactions complies with this Section 4.14; and </w:t>
      </w:r>
    </w:p>
    <w:p>
      <w:pPr>
        <w:pStyle w:val="TextBody"/>
        <w:bidi w:val="0"/>
        <w:spacing w:before="120" w:after="0"/>
        <w:jc w:val="left"/>
        <w:rPr>
          <w:rFonts w:ascii="Times New Roman" w:hAnsi="Times New Roman"/>
          <w:sz w:val="20"/>
        </w:rPr>
      </w:pPr>
      <w:r>
        <w:rPr>
          <w:rFonts w:ascii="Times New Roman" w:hAnsi="Times New Roman"/>
          <w:sz w:val="20"/>
        </w:rPr>
        <w:t xml:space="preserve">(ii) with respect to any such transaction or series of related such transactions involving aggregate consideration in excess of $5.0 million, a Board Resolution set forth in an Officer’s Certificate certifying that such transaction or series of related transactions complies with this Section 4.14 and, if any members of the Board of Directors of the Company shall be disinterested with respect to such transaction, that such transaction or series of related transactions has been approved by a majority of the disinterested members of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restrictions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transactions that are in the ordinary course of the Company’s or such Subsidiary’s business, upon fair and reasonable terms that are no less favorable to the Company or such Subsidiary than would be obtained in an arm’s length transaction with a non-affiliated Person; </w:t>
      </w:r>
    </w:p>
    <w:p>
      <w:pPr>
        <w:pStyle w:val="TextBody"/>
        <w:bidi w:val="0"/>
        <w:spacing w:before="120" w:after="0"/>
        <w:jc w:val="left"/>
        <w:rPr>
          <w:rFonts w:ascii="Times New Roman" w:hAnsi="Times New Roman"/>
          <w:sz w:val="20"/>
        </w:rPr>
      </w:pPr>
      <w:r>
        <w:rPr>
          <w:rFonts w:ascii="Times New Roman" w:hAnsi="Times New Roman"/>
          <w:sz w:val="20"/>
        </w:rPr>
        <w:t xml:space="preserve">(B) transactions between or among the Note Parties (or any entity that becomes a Note Party as a result of such transaction) not involving any other Affiliate; </w:t>
      </w:r>
    </w:p>
    <w:p>
      <w:pPr>
        <w:pStyle w:val="TextBody"/>
        <w:bidi w:val="0"/>
        <w:spacing w:before="120" w:after="0"/>
        <w:jc w:val="left"/>
        <w:rPr>
          <w:rFonts w:ascii="Times New Roman" w:hAnsi="Times New Roman"/>
          <w:sz w:val="20"/>
        </w:rPr>
      </w:pPr>
      <w:r>
        <w:rPr>
          <w:rFonts w:ascii="Times New Roman" w:hAnsi="Times New Roman"/>
          <w:sz w:val="20"/>
        </w:rPr>
        <w:t xml:space="preserve">(C) any transaction between a Note Party and a Wholly-Owned Subsidiary that is not a Note Party that is otherwise expressly permitted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(D) loans or advances to employees permitted under clause (g) of Section 4.12; </w:t>
      </w:r>
    </w:p>
    <w:p>
      <w:pPr>
        <w:pStyle w:val="TextBody"/>
        <w:bidi w:val="0"/>
        <w:spacing w:before="120" w:after="0"/>
        <w:jc w:val="left"/>
        <w:rPr>
          <w:rFonts w:ascii="Times New Roman" w:hAnsi="Times New Roman"/>
          <w:sz w:val="20"/>
        </w:rPr>
      </w:pPr>
      <w:r>
        <w:rPr>
          <w:rFonts w:ascii="Times New Roman" w:hAnsi="Times New Roman"/>
          <w:sz w:val="20"/>
        </w:rPr>
        <w:t xml:space="preserve">(E) the payment of reasonable fees to directors of the Company or any Subsidiary who are not employees of such Note Party or such Subsidiary, and compensation (including bonuses and other awards) and employee benefit arrangements (including retirement, health, stock option and other benefit plans) paid to, and indemnities provided for the benefit of, directors, officers or employees of the Company or any Subsidiary in the ordinary course of business or as otherwise approved by the Board of Directors, board of managers or other equivalent governing body of the Company or such Subsidiary; </w:t>
      </w:r>
    </w:p>
    <w:p>
      <w:pPr>
        <w:pStyle w:val="TextBody"/>
        <w:bidi w:val="0"/>
        <w:spacing w:before="120" w:after="0"/>
        <w:jc w:val="left"/>
        <w:rPr>
          <w:rFonts w:ascii="Times New Roman" w:hAnsi="Times New Roman"/>
          <w:sz w:val="20"/>
        </w:rPr>
      </w:pPr>
      <w:r>
        <w:rPr>
          <w:rFonts w:ascii="Times New Roman" w:hAnsi="Times New Roman"/>
          <w:sz w:val="20"/>
        </w:rPr>
        <w:t xml:space="preserve">(F) any issuances of securities or other payments, awards or grants in cash, securities or otherwise pursuant to, or the funding of, employment agreements, stock appreciation rights, restricted stock, restricted stock units, performance units, performance shares, stock options (including incentive stock options and non-qualified stock options) and stock ownership plans approved by the Company’s Board of Directors or a committee or delegate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investor rights and registration rights agreements, and similar arrangements; </w:t>
      </w:r>
    </w:p>
    <w:p>
      <w:pPr>
        <w:pStyle w:val="TextBody"/>
        <w:bidi w:val="0"/>
        <w:spacing w:before="120" w:after="0"/>
        <w:jc w:val="left"/>
        <w:rPr>
          <w:rFonts w:ascii="Times New Roman" w:hAnsi="Times New Roman"/>
          <w:sz w:val="20"/>
        </w:rPr>
      </w:pPr>
      <w:r>
        <w:rPr>
          <w:rFonts w:ascii="Times New Roman" w:hAnsi="Times New Roman"/>
          <w:sz w:val="20"/>
        </w:rPr>
        <w:t xml:space="preserve">(H) transactions in which the Company or any Subsidiary delivers to the Trustee a written opinion from an independent financial advisor of recognized national standing stating that such transaction is fair to such Note Party or such Subsidiary from a financial point of view; </w:t>
      </w:r>
    </w:p>
    <w:p>
      <w:pPr>
        <w:pStyle w:val="TextBody"/>
        <w:bidi w:val="0"/>
        <w:spacing w:before="120" w:after="0"/>
        <w:jc w:val="left"/>
        <w:rPr>
          <w:rFonts w:ascii="Times New Roman" w:hAnsi="Times New Roman"/>
          <w:sz w:val="20"/>
        </w:rPr>
      </w:pPr>
      <w:r>
        <w:rPr>
          <w:rFonts w:ascii="Times New Roman" w:hAnsi="Times New Roman"/>
          <w:sz w:val="20"/>
        </w:rPr>
        <w:t xml:space="preserve">(I) Subordinated Indebtedness or equity investments by any Note Party’s investors in any Note Party; </w:t>
      </w:r>
    </w:p>
    <w:p>
      <w:pPr>
        <w:pStyle w:val="TextBody"/>
        <w:bidi w:val="0"/>
        <w:spacing w:before="120" w:after="0"/>
        <w:jc w:val="left"/>
        <w:rPr>
          <w:rFonts w:ascii="Times New Roman" w:hAnsi="Times New Roman"/>
          <w:sz w:val="20"/>
        </w:rPr>
      </w:pPr>
      <w:r>
        <w:rPr>
          <w:rFonts w:ascii="Times New Roman" w:hAnsi="Times New Roman"/>
          <w:sz w:val="20"/>
        </w:rPr>
        <w:t xml:space="preserve">(J) transactions permitted pursuant to clause (vii) of the definition of Asset Disposition, Section 4.10 (solely with respect to clauses (j) and (k) thereof) and Section 4.15; and </w:t>
      </w:r>
    </w:p>
    <w:p>
      <w:pPr>
        <w:pStyle w:val="TextBody"/>
        <w:bidi w:val="0"/>
        <w:spacing w:before="120" w:after="0"/>
        <w:jc w:val="left"/>
        <w:rPr>
          <w:rFonts w:ascii="Times New Roman" w:hAnsi="Times New Roman"/>
          <w:sz w:val="20"/>
        </w:rPr>
      </w:pPr>
      <w:r>
        <w:rPr>
          <w:rFonts w:ascii="Times New Roman" w:hAnsi="Times New Roman"/>
          <w:sz w:val="20"/>
        </w:rPr>
        <w:t xml:space="preserve">(K) any intercompany transactions constituting Permitted Investments. </w:t>
      </w:r>
    </w:p>
    <w:p>
      <w:pPr>
        <w:pStyle w:val="TextBody"/>
        <w:bidi w:val="0"/>
        <w:spacing w:before="240" w:after="0"/>
        <w:jc w:val="left"/>
        <w:rPr>
          <w:rFonts w:ascii="Times New Roman" w:hAnsi="Times New Roman"/>
          <w:sz w:val="20"/>
        </w:rPr>
      </w:pPr>
      <w:r>
        <w:rPr>
          <w:rFonts w:ascii="Times New Roman" w:hAnsi="Times New Roman"/>
          <w:sz w:val="20"/>
        </w:rPr>
        <w:t xml:space="preserve">Section 4.15 </w:t>
      </w:r>
      <w:r>
        <w:rPr>
          <w:rFonts w:ascii="Times New Roman" w:hAnsi="Times New Roman"/>
          <w:i/>
          <w:sz w:val="20"/>
        </w:rPr>
        <w:t xml:space="preserve">Restricted Payments. </w:t>
      </w:r>
      <w:r>
        <w:rPr>
          <w:rFonts w:ascii="Times New Roman" w:hAnsi="Times New Roman"/>
          <w:sz w:val="20"/>
        </w:rPr>
        <w:t xml:space="preserve">The Company shall not, and shall not permit any Subsidiary to, directly or indirectly, make any Restricted Payment, except: </w:t>
      </w:r>
    </w:p>
    <w:p>
      <w:pPr>
        <w:pStyle w:val="TextBody"/>
        <w:bidi w:val="0"/>
        <w:spacing w:before="120" w:after="0"/>
        <w:jc w:val="left"/>
        <w:rPr>
          <w:rFonts w:ascii="Times New Roman" w:hAnsi="Times New Roman"/>
          <w:sz w:val="20"/>
        </w:rPr>
      </w:pPr>
      <w:r>
        <w:rPr>
          <w:rFonts w:ascii="Times New Roman" w:hAnsi="Times New Roman"/>
          <w:sz w:val="20"/>
        </w:rPr>
        <w:t xml:space="preserve">(a) such Note Party may convert any of its convertible securities into other securities pursuant to the terms of such convertible securities; </w:t>
      </w:r>
    </w:p>
    <w:p>
      <w:pPr>
        <w:pStyle w:val="TextBody"/>
        <w:bidi w:val="0"/>
        <w:spacing w:before="240" w:after="0"/>
        <w:jc w:val="left"/>
        <w:rPr>
          <w:rFonts w:ascii="Times New Roman" w:hAnsi="Times New Roman"/>
          <w:sz w:val="20"/>
        </w:rPr>
      </w:pPr>
      <w:r>
        <w:rPr>
          <w:rFonts w:ascii="Times New Roman" w:hAnsi="Times New Roman"/>
          <w:sz w:val="20"/>
        </w:rPr>
        <w:t xml:space="preserve">(b) such Note Party may pay dividends (A) with respect to its common stock payable solely in additional shares of its common stock and (B) with respect to its preferred stock, payable solely in additional shares of such preferred stock or in shares of its common stock on a pro rata basis; </w:t>
      </w:r>
    </w:p>
    <w:p>
      <w:pPr>
        <w:pStyle w:val="TextBody"/>
        <w:bidi w:val="0"/>
        <w:spacing w:before="240" w:after="0"/>
        <w:jc w:val="left"/>
        <w:rPr>
          <w:rFonts w:ascii="Times New Roman" w:hAnsi="Times New Roman"/>
          <w:sz w:val="20"/>
        </w:rPr>
      </w:pPr>
      <w:r>
        <w:rPr>
          <w:rFonts w:ascii="Times New Roman" w:hAnsi="Times New Roman"/>
          <w:sz w:val="20"/>
        </w:rPr>
        <w:t xml:space="preserve">(c) such Note Party may repurchase the stock, partnership, membership, or other ownership interest or other equity securities of former employees or consultants pursuant to stock repurchase agreements so long as an Event of Default does not exist at the time of any such repurchase and would not exist after giving effect to any such repurchase, </w:t>
      </w:r>
      <w:r>
        <w:rPr>
          <w:rFonts w:ascii="Times New Roman" w:hAnsi="Times New Roman"/>
          <w:i/>
          <w:sz w:val="20"/>
        </w:rPr>
        <w:t>provided</w:t>
      </w:r>
      <w:r>
        <w:rPr>
          <w:rFonts w:ascii="Times New Roman" w:hAnsi="Times New Roman"/>
          <w:sz w:val="20"/>
        </w:rPr>
        <w:t xml:space="preserve"> that the aggregate amount of all such repurchases does not exceed $1.0 million per fiscal year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such Note Party may consummate transactions permitted by Section 4.19 and Section 4.20; </w:t>
      </w:r>
    </w:p>
    <w:p>
      <w:pPr>
        <w:pStyle w:val="TextBody"/>
        <w:bidi w:val="0"/>
        <w:spacing w:before="240" w:after="0"/>
        <w:jc w:val="left"/>
        <w:rPr>
          <w:rFonts w:ascii="Times New Roman" w:hAnsi="Times New Roman"/>
          <w:sz w:val="20"/>
        </w:rPr>
      </w:pPr>
      <w:r>
        <w:rPr>
          <w:rFonts w:ascii="Times New Roman" w:hAnsi="Times New Roman"/>
          <w:sz w:val="20"/>
        </w:rPr>
        <w:t xml:space="preserve">(e) such Note Party may issue stock under and make payments on the Notes; </w:t>
      </w:r>
    </w:p>
    <w:p>
      <w:pPr>
        <w:pStyle w:val="TextBody"/>
        <w:bidi w:val="0"/>
        <w:spacing w:before="240" w:after="0"/>
        <w:jc w:val="left"/>
        <w:rPr>
          <w:rFonts w:ascii="Times New Roman" w:hAnsi="Times New Roman"/>
          <w:sz w:val="20"/>
        </w:rPr>
      </w:pPr>
      <w:r>
        <w:rPr>
          <w:rFonts w:ascii="Times New Roman" w:hAnsi="Times New Roman"/>
          <w:sz w:val="20"/>
        </w:rPr>
        <w:t xml:space="preserve">(f) such Note Party may cause any Subsidiary of the Company that is not a Note Party to pay dividends or make any other distributions to such Note Party; and </w:t>
      </w:r>
    </w:p>
    <w:p>
      <w:pPr>
        <w:pStyle w:val="TextBody"/>
        <w:bidi w:val="0"/>
        <w:spacing w:before="240" w:after="0"/>
        <w:jc w:val="left"/>
        <w:rPr>
          <w:rFonts w:ascii="Times New Roman" w:hAnsi="Times New Roman"/>
          <w:sz w:val="20"/>
        </w:rPr>
      </w:pPr>
      <w:r>
        <w:rPr>
          <w:rFonts w:ascii="Times New Roman" w:hAnsi="Times New Roman"/>
          <w:sz w:val="20"/>
        </w:rPr>
        <w:t xml:space="preserve">(g) so long as no Event of Default exists or would result therefrom and the Company is in compliance with Section 4.17, calculated on a pro forma basis at the time of and after giving effect to such Restricted Payments, the Company may make Restricted Payments as described in clause (ii) of the definition thereof in an aggregate amount not to exceed $1.0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4.16 </w:t>
      </w:r>
      <w:r>
        <w:rPr>
          <w:rFonts w:ascii="Times New Roman" w:hAnsi="Times New Roman"/>
          <w:i/>
          <w:sz w:val="20"/>
        </w:rPr>
        <w:t xml:space="preserve">Asset Dispositions. </w:t>
      </w:r>
      <w:r>
        <w:rPr>
          <w:rFonts w:ascii="Times New Roman" w:hAnsi="Times New Roman"/>
          <w:sz w:val="20"/>
        </w:rPr>
        <w:t xml:space="preserve">The Company shall not, and shall not permit any Subsidiary to, directly or indirectly, consummate any Asset Disposition unless: </w:t>
      </w:r>
    </w:p>
    <w:p>
      <w:pPr>
        <w:pStyle w:val="TextBody"/>
        <w:bidi w:val="0"/>
        <w:spacing w:before="120" w:after="0"/>
        <w:jc w:val="left"/>
        <w:rPr>
          <w:rFonts w:ascii="Times New Roman" w:hAnsi="Times New Roman"/>
          <w:sz w:val="20"/>
        </w:rPr>
      </w:pPr>
      <w:r>
        <w:rPr>
          <w:rFonts w:ascii="Times New Roman" w:hAnsi="Times New Roman"/>
          <w:sz w:val="20"/>
        </w:rPr>
        <w:t xml:space="preserve">(a) the Company or such Subsidiary, as the case may be, receives consideration at least equal to the Fair Market Value (such Fair Market Value to be determined on the date of contractually agreeing to such Asset Disposition) of the Equity Interests or assets subject to such Asset Disposition; and </w:t>
      </w:r>
    </w:p>
    <w:p>
      <w:pPr>
        <w:pStyle w:val="TextBody"/>
        <w:bidi w:val="0"/>
        <w:spacing w:before="240" w:after="0"/>
        <w:jc w:val="left"/>
        <w:rPr>
          <w:rFonts w:ascii="Times New Roman" w:hAnsi="Times New Roman"/>
          <w:sz w:val="20"/>
        </w:rPr>
      </w:pPr>
      <w:r>
        <w:rPr>
          <w:rFonts w:ascii="Times New Roman" w:hAnsi="Times New Roman"/>
          <w:sz w:val="20"/>
        </w:rPr>
        <w:t xml:space="preserve">(b) at least 75.0% of the total consideration from such Asset Disposition is in the form of cash or Cash Equivalents.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or any Subsidiary engages in an Asset Disposition, the Company or such Subsidiary may, no later than 365 days following the consummation thereof, apply all or any of the Net Available Proceeds therefrom to: </w:t>
      </w:r>
    </w:p>
    <w:p>
      <w:pPr>
        <w:pStyle w:val="TextBody"/>
        <w:bidi w:val="0"/>
        <w:spacing w:before="120" w:after="0"/>
        <w:jc w:val="left"/>
        <w:rPr>
          <w:rFonts w:ascii="Times New Roman" w:hAnsi="Times New Roman"/>
          <w:sz w:val="20"/>
        </w:rPr>
      </w:pPr>
      <w:r>
        <w:rPr>
          <w:rFonts w:ascii="Times New Roman" w:hAnsi="Times New Roman"/>
          <w:sz w:val="20"/>
        </w:rPr>
        <w:t xml:space="preserve">(i) to the extent such Net Available Proceeds constitute proceeds from the sale of First Lien Collateral, repay Indebtedness under the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(ii) repay the Notes; </w:t>
      </w:r>
    </w:p>
    <w:p>
      <w:pPr>
        <w:pStyle w:val="TextBody"/>
        <w:bidi w:val="0"/>
        <w:spacing w:before="120" w:after="0"/>
        <w:jc w:val="left"/>
        <w:rPr>
          <w:rFonts w:ascii="Times New Roman" w:hAnsi="Times New Roman"/>
          <w:sz w:val="20"/>
        </w:rPr>
      </w:pPr>
      <w:r>
        <w:rPr>
          <w:rFonts w:ascii="Times New Roman" w:hAnsi="Times New Roman"/>
          <w:sz w:val="20"/>
        </w:rPr>
        <w:t xml:space="preserve">(iii) repay Second Lien Obligations other than the Notes, </w:t>
      </w:r>
      <w:r>
        <w:rPr>
          <w:rFonts w:ascii="Times New Roman" w:hAnsi="Times New Roman"/>
          <w:i/>
          <w:sz w:val="20"/>
        </w:rPr>
        <w:t>provided</w:t>
      </w:r>
      <w:r>
        <w:rPr>
          <w:rFonts w:ascii="Times New Roman" w:hAnsi="Times New Roman"/>
          <w:sz w:val="20"/>
        </w:rPr>
        <w:t xml:space="preserve"> that if the Company shall so repay any Second Lien Obligations other than the Notes, the Company shall either (a) repay the Notes on a pro rata basis with such Second Lien Obligations by either redeeming the Notes as permitted under Section 15.05 or by purchasing Notes through open-market purchases or in privately negotiated transactions (</w:t>
      </w:r>
      <w:r>
        <w:rPr>
          <w:rFonts w:ascii="Times New Roman" w:hAnsi="Times New Roman"/>
          <w:i/>
          <w:sz w:val="20"/>
        </w:rPr>
        <w:t>provided</w:t>
      </w:r>
      <w:r>
        <w:rPr>
          <w:rFonts w:ascii="Times New Roman" w:hAnsi="Times New Roman"/>
          <w:sz w:val="20"/>
        </w:rPr>
        <w:t xml:space="preserve">, that such purchases are at or above 100% of the principal amount thereof, plus the amount of accrued and unpaid interest, if any, thereon) or (b) make an offer (in accordance with the procedures set forth in Section 15.04 for a Net Proceeds Offer) to all Holders to purchase their Notes on a ratable basis with such Second Lien Obligations; or </w:t>
      </w:r>
    </w:p>
    <w:p>
      <w:pPr>
        <w:pStyle w:val="TextBody"/>
        <w:bidi w:val="0"/>
        <w:spacing w:before="120" w:after="0"/>
        <w:jc w:val="left"/>
        <w:rPr>
          <w:rFonts w:ascii="Times New Roman" w:hAnsi="Times New Roman"/>
          <w:sz w:val="20"/>
        </w:rPr>
      </w:pPr>
      <w:r>
        <w:rPr>
          <w:rFonts w:ascii="Times New Roman" w:hAnsi="Times New Roman"/>
          <w:sz w:val="20"/>
        </w:rPr>
        <w:t xml:space="preserve">(iv) (a) make any capital expenditure or otherwise invest all or any part of the Net Available Proceeds thereof in the purchase of assets (other than securities and excluding working capital or current assets for the avoidance of doubt) to be used by the Company or any Subsidiary in a Permitted Business, or (b) acquire capital stock of a Person (other than the Company or any of its Subsidiaries) engaged in a Permitted Business that shall become a Subsidiary immediately upon the consummation of such acquisition;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in each case</w:t>
      </w:r>
      <w:r>
        <w:rPr>
          <w:rFonts w:ascii="Times New Roman" w:hAnsi="Times New Roman"/>
          <w:sz w:val="20"/>
        </w:rPr>
        <w:t xml:space="preserve">, that to the extent the assets subject to the applicable Asset Disposition comprised part of the Collateral, such capital expenditures or acquisitions shall be with respect to assets or capital stock, as applicable, that constitute Collateral. </w:t>
      </w:r>
    </w:p>
    <w:p>
      <w:pPr>
        <w:pStyle w:val="TextBody"/>
        <w:bidi w:val="0"/>
        <w:spacing w:before="240" w:after="0"/>
        <w:jc w:val="left"/>
        <w:rPr>
          <w:rFonts w:ascii="Times New Roman" w:hAnsi="Times New Roman"/>
          <w:sz w:val="20"/>
        </w:rPr>
      </w:pPr>
      <w:r>
        <w:rPr>
          <w:rFonts w:ascii="Times New Roman" w:hAnsi="Times New Roman"/>
          <w:sz w:val="20"/>
        </w:rPr>
        <w:t>The amount of Net Available Proceeds not applied or invested as provided in clauses (i) through (iv) of the preceding paragraph shall constitute “</w:t>
      </w:r>
      <w:r>
        <w:rPr>
          <w:rFonts w:ascii="Times New Roman" w:hAnsi="Times New Roman"/>
          <w:b/>
          <w:sz w:val="20"/>
        </w:rPr>
        <w:t>Excess Proceeds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sale, conveyance or other disposition of all or substantially all of the assets of the Company and its Subsidiaries, taken as a whole, shall be governed by the provisions of Section 15.02 and/or the provisions of Article 11 and not by the provisions of this Section 4.16.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4.17 </w:t>
      </w:r>
      <w:r>
        <w:rPr>
          <w:rFonts w:ascii="Times New Roman" w:hAnsi="Times New Roman"/>
          <w:i/>
          <w:sz w:val="20"/>
        </w:rPr>
        <w:t xml:space="preserve">Minimum Liquidity. </w:t>
      </w:r>
      <w:r>
        <w:rPr>
          <w:rFonts w:ascii="Times New Roman" w:hAnsi="Times New Roman"/>
          <w:sz w:val="20"/>
        </w:rPr>
        <w:t xml:space="preserve">The Company shall not permit Liquidity, calculated as of the last day of the most recently ended fiscal quarter for which a report has been provided pursuant to Section 4.06 to be less than $15.0 million. </w:t>
      </w:r>
    </w:p>
    <w:p>
      <w:pPr>
        <w:pStyle w:val="TextBody"/>
        <w:bidi w:val="0"/>
        <w:spacing w:before="240" w:after="0"/>
        <w:jc w:val="left"/>
        <w:rPr>
          <w:rFonts w:ascii="Times New Roman" w:hAnsi="Times New Roman"/>
          <w:sz w:val="20"/>
        </w:rPr>
      </w:pPr>
      <w:r>
        <w:rPr>
          <w:rFonts w:ascii="Times New Roman" w:hAnsi="Times New Roman"/>
          <w:sz w:val="20"/>
        </w:rPr>
        <w:t xml:space="preserve">Section 4.18 </w:t>
      </w:r>
      <w:r>
        <w:rPr>
          <w:rFonts w:ascii="Times New Roman" w:hAnsi="Times New Roman"/>
          <w:i/>
          <w:sz w:val="20"/>
        </w:rPr>
        <w:t xml:space="preserve">Existing Notes. </w:t>
      </w:r>
      <w:r>
        <w:rPr>
          <w:rFonts w:ascii="Times New Roman" w:hAnsi="Times New Roman"/>
          <w:sz w:val="20"/>
        </w:rPr>
        <w:t xml:space="preserve">The Company shall not permit more than $60.0 million in aggregate principal amount of the Existing Notes to remain outstanding as of or following the date that is ninety (90) days prior to the maturity of the Existing Notes. </w:t>
      </w:r>
    </w:p>
    <w:p>
      <w:pPr>
        <w:pStyle w:val="TextBody"/>
        <w:bidi w:val="0"/>
        <w:spacing w:before="240" w:after="0"/>
        <w:jc w:val="left"/>
        <w:rPr>
          <w:rFonts w:ascii="Times New Roman" w:hAnsi="Times New Roman"/>
          <w:sz w:val="20"/>
        </w:rPr>
      </w:pPr>
      <w:r>
        <w:rPr>
          <w:rFonts w:ascii="Times New Roman" w:hAnsi="Times New Roman"/>
          <w:sz w:val="20"/>
        </w:rPr>
        <w:t xml:space="preserve">Section 4.19 </w:t>
      </w:r>
      <w:r>
        <w:rPr>
          <w:rFonts w:ascii="Times New Roman" w:hAnsi="Times New Roman"/>
          <w:i/>
          <w:sz w:val="20"/>
        </w:rPr>
        <w:t xml:space="preserve">Repurchases of the Existing Notes. </w:t>
      </w:r>
      <w:r>
        <w:rPr>
          <w:rFonts w:ascii="Times New Roman" w:hAnsi="Times New Roman"/>
          <w:sz w:val="20"/>
        </w:rPr>
        <w:t xml:space="preserve">Following the Issue Date, other than as contemplated by the Exchange Offer pursuant to the terms thereof as in effect immediately prior to the Issue Date, the Company shall not, and shall not permit any of its Subsidiaries to, repurchase, redeem, retire, exchange or otherwise acquire the Existing Notes prior to their maturity, except as follows: </w:t>
      </w:r>
    </w:p>
    <w:p>
      <w:pPr>
        <w:pStyle w:val="TextBody"/>
        <w:bidi w:val="0"/>
        <w:spacing w:before="120" w:after="0"/>
        <w:jc w:val="left"/>
        <w:rPr>
          <w:rFonts w:ascii="Times New Roman" w:hAnsi="Times New Roman"/>
          <w:sz w:val="20"/>
        </w:rPr>
      </w:pPr>
      <w:r>
        <w:rPr>
          <w:rFonts w:ascii="Times New Roman" w:hAnsi="Times New Roman"/>
          <w:sz w:val="20"/>
        </w:rPr>
        <w:t>(a) the Company may exchange Indebtedness (which may be Second Lien Debt, Junior Lien Debt or unsecured Indebtedness) for the Existing Notes with the amount of such Indebtedness limited to the greater of (i) $0.25 per $1.00 of the principal amount of the Existing Notes subject to such exchange and (ii) the product of (x) the trading price of the Existing Notes as of the close of business on the Trading Day for the Existing Notes immediately preceding such repurchase, redemption, retirement or exchange, plus a premium equal to (A) 0.1, multiplied by (B) 100, minus the trading price of the Existing Notes (the “</w:t>
      </w:r>
      <w:r>
        <w:rPr>
          <w:rFonts w:ascii="Times New Roman" w:hAnsi="Times New Roman"/>
          <w:b/>
          <w:sz w:val="20"/>
        </w:rPr>
        <w:t>Floating Mechanic Premium</w:t>
      </w:r>
      <w:r>
        <w:rPr>
          <w:rFonts w:ascii="Times New Roman" w:hAnsi="Times New Roman"/>
          <w:sz w:val="20"/>
        </w:rPr>
        <w:t xml:space="preserve">”) and (y) the principal amount of the Existing Notes subject to such exchange, </w:t>
      </w:r>
      <w:r>
        <w:rPr>
          <w:rFonts w:ascii="Times New Roman" w:hAnsi="Times New Roman"/>
          <w:i/>
          <w:sz w:val="20"/>
        </w:rPr>
        <w:t>provided</w:t>
      </w:r>
      <w:r>
        <w:rPr>
          <w:rFonts w:ascii="Times New Roman" w:hAnsi="Times New Roman"/>
          <w:sz w:val="20"/>
        </w:rPr>
        <w:t xml:space="preserve"> that, with respect to the consideration in such exchange, (I) no more than $0.16 per $1.00 of the principal amount of the Existing Notes subject to such exchange shall be in the form of Second Lien Debt and (II) beginning on June 30, 2026, the amount in clause (i) above shall be $0.50 per $1.00 of the principal amount of the Existing Notes subject to such exchange, which, for the avoidance of doubt, may include up to $0.16 per $1.00 of the principal amount of the Existing Notes subject to such exchange of Second Lien Debt; or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repurchase, redeem, retire, exchange or otherwise acquire the Existing Notes with cash and/or equity consideration at a price not greater than the trading price of the Existing Notes as of the close of business on the Trading Day for the Existing Notes immediately preceding such repurchase, redemption, retirement or exchange, plus a premium equal to the lesser of (i) $0.05 per $1.00 of the principal amount of the Existing Notes exchanged and (ii) the Floating Mechanic Premium, with any such equity consideration valued at the average of the Daily VWAPs of Common Stock (counting only those Daily VWAPs equal to or above the Stock Interest Floor Price) for the 20 VWAP trading period beginning on the 21st scheduled VWAP Trading Day immediately prior to the date of any such repurchase, redemption, retirement, exchange or other acquisition of the Existing Notes. </w:t>
      </w:r>
    </w:p>
    <w:p>
      <w:pPr>
        <w:pStyle w:val="TextBody"/>
        <w:bidi w:val="0"/>
        <w:spacing w:before="240" w:after="0"/>
        <w:jc w:val="left"/>
        <w:rPr>
          <w:rFonts w:ascii="Times New Roman" w:hAnsi="Times New Roman"/>
          <w:sz w:val="20"/>
        </w:rPr>
      </w:pPr>
      <w:r>
        <w:rPr>
          <w:rFonts w:ascii="Times New Roman" w:hAnsi="Times New Roman"/>
          <w:sz w:val="20"/>
        </w:rPr>
        <w:t xml:space="preserve">The options described in clauses (a) and (b) shall be mutually exclusive and the consideration provided by the Company shall consist entirely of either Indebtedness (as described in clause (a)) or a mixture of cash and equity (as described in clause (b)). </w:t>
      </w:r>
    </w:p>
    <w:p>
      <w:pPr>
        <w:pStyle w:val="TextBody"/>
        <w:bidi w:val="0"/>
        <w:spacing w:before="240" w:after="0"/>
        <w:jc w:val="left"/>
        <w:rPr>
          <w:rFonts w:ascii="Times New Roman" w:hAnsi="Times New Roman"/>
          <w:sz w:val="20"/>
        </w:rPr>
      </w:pPr>
      <w:r>
        <w:rPr>
          <w:rFonts w:ascii="Times New Roman" w:hAnsi="Times New Roman"/>
          <w:sz w:val="20"/>
        </w:rPr>
        <w:t xml:space="preserve">Section 4.20 </w:t>
      </w:r>
      <w:r>
        <w:rPr>
          <w:rFonts w:ascii="Times New Roman" w:hAnsi="Times New Roman"/>
          <w:i/>
          <w:sz w:val="20"/>
        </w:rPr>
        <w:t xml:space="preserve">Cash Repayment of the Existing Notes. </w:t>
      </w:r>
      <w:r>
        <w:rPr>
          <w:rFonts w:ascii="Times New Roman" w:hAnsi="Times New Roman"/>
          <w:sz w:val="20"/>
        </w:rPr>
        <w:t xml:space="preserve">The Company shall not, and shall not permit any of its Subsidiaries to, repay or restructure the Existing Notes at maturity thereof with an aggregate amount of cash which exceeds the sum of (a) $60.0 million plus (b) an amount equal to the cash proceeds received by the Company from any issuance of its Equity Interests following the Issue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4.21 </w:t>
      </w:r>
      <w:r>
        <w:rPr>
          <w:rFonts w:ascii="Times New Roman" w:hAnsi="Times New Roman"/>
          <w:i/>
          <w:sz w:val="20"/>
        </w:rPr>
        <w:t xml:space="preserve">Liability Management Transactions. </w:t>
      </w:r>
      <w:r>
        <w:rPr>
          <w:rFonts w:ascii="Times New Roman" w:hAnsi="Times New Roman"/>
          <w:sz w:val="20"/>
        </w:rPr>
        <w:t xml:space="preserve">The Company shall not, and shall not permit any of its Subsidiaries, to directly or indirectly, (a) create, incur, assume or otherwise become or remain liable with respect to any Indebtedness or issue any stock (other than with respect to Indebtedness incurred to repay, refinance, replace or otherwise discharge Indebtedness incurred under the Loan Agreement pursuant to clause (a) of Section 4.10), (b) create, incur, assume or permit or suffer to exist any Lien on or with respect to any property of any kind owned by it, whether now owned or hereafter acquired, or any income or profits therefrom (other than with respect to Indebtedness incurred to repay, refinance, replace or otherwise discharge Indebtedness incurred under the Loan Agreement pursuant to clause (a) of Section 4.10), (c) make or own any Investment in any other Person, (d) enter into any transaction of merger, consolidation or amalgamation, or liquidate, wind up or dissolve themselves (or suffer any liquidation or dissolution) or (e) convey, sell, lease or otherwise dispose of all or any part of its property or assets or to otherwise engage in any other activity, in each case, that is undertaken in connection with a Liability Management Exercise. </w:t>
      </w:r>
    </w:p>
    <w:p>
      <w:pPr>
        <w:pStyle w:val="TextBody"/>
        <w:bidi w:val="0"/>
        <w:spacing w:before="240" w:after="0"/>
        <w:jc w:val="left"/>
        <w:rPr>
          <w:rFonts w:ascii="Times New Roman" w:hAnsi="Times New Roman"/>
          <w:sz w:val="20"/>
        </w:rPr>
      </w:pPr>
      <w:r>
        <w:rPr>
          <w:rFonts w:ascii="Times New Roman" w:hAnsi="Times New Roman"/>
          <w:sz w:val="20"/>
        </w:rPr>
        <w:t xml:space="preserve">Section 4.22 </w:t>
      </w:r>
      <w:r>
        <w:rPr>
          <w:rFonts w:ascii="Times New Roman" w:hAnsi="Times New Roman"/>
          <w:i/>
          <w:sz w:val="20"/>
        </w:rPr>
        <w:t xml:space="preserve">Negative Pledge. </w:t>
      </w:r>
      <w:r>
        <w:rPr>
          <w:rFonts w:ascii="Times New Roman" w:hAnsi="Times New Roman"/>
          <w:sz w:val="20"/>
        </w:rPr>
        <w:t xml:space="preserve">In the event that the Dutch Entity’s works council does not provide positive or neutral advice (which contains no condition, which if not fulfilled, would result in a breach of any of the Note Documents) in respect of the guarantee by the Dutch Entity of the Guaranteed Obligations pursuant to Schedule 13.08, and the Dutch Entity does not become a Guarantor under the Notes, then (a) the Company shall cause the Dutch Entity to not guarantee any Indebtedness for borrowed money, (b) the Company shall cause the Dutch Entity to not, directly or indirectly, create, incur, assume or suffer to exist any Lien of any kind securing Indebtedness for borrowed money on any property or assets of the Dutch Entity and (c) the Company and its Subsidiaries shall not, directly or indirectly, create, incur, assume or suffer to exist any Lien of any kind securing Indebtedness for borrowed money on the shares in the capital of the Dutch Entity, in each case, unless the Dutch Entity equally and ratably secures or guarantees, as applicable, the Notes, other than in respect of Indebtedness incurred under the Loan Agreement as of the Issue Date or any Indebtedness incurred to repay, refinance (whether or not with the same lenders), replace or otherwise discharge Indebtedness incurred under the Loan Agreement pursuant to clause (a) under Section 4.10. </w:t>
      </w:r>
    </w:p>
    <w:p>
      <w:pPr>
        <w:pStyle w:val="TextBody"/>
        <w:bidi w:val="0"/>
        <w:spacing w:before="240" w:after="0"/>
        <w:jc w:val="left"/>
        <w:rPr>
          <w:rFonts w:ascii="Times New Roman" w:hAnsi="Times New Roman"/>
          <w:sz w:val="20"/>
        </w:rPr>
      </w:pPr>
      <w:r>
        <w:rPr>
          <w:rFonts w:ascii="Times New Roman" w:hAnsi="Times New Roman"/>
          <w:sz w:val="20"/>
        </w:rPr>
        <w:t xml:space="preserve">Section 4.23 </w:t>
      </w:r>
      <w:r>
        <w:rPr>
          <w:rFonts w:ascii="Times New Roman" w:hAnsi="Times New Roman"/>
          <w:i/>
          <w:sz w:val="20"/>
        </w:rPr>
        <w:t>Stockholder Approval</w:t>
      </w:r>
      <w:r>
        <w:rPr>
          <w:rFonts w:ascii="Times New Roman" w:hAnsi="Times New Roman"/>
          <w:sz w:val="20"/>
        </w:rPr>
        <w:t>. The Company will use commercially reasonable efforts to seek stockholder approval to approve the issuance of the shares of Common Stock issuable under the Notes pursuant to Rule 5635 of Nasdaq and to increase the number of authorized shares of the Common Stock (such approvals, collectively, the “</w:t>
      </w:r>
      <w:r>
        <w:rPr>
          <w:rFonts w:ascii="Times New Roman" w:hAnsi="Times New Roman"/>
          <w:b/>
          <w:sz w:val="20"/>
        </w:rPr>
        <w:t>Requisite Shareholder Approvals</w:t>
      </w:r>
      <w:r>
        <w:rPr>
          <w:rFonts w:ascii="Times New Roman" w:hAnsi="Times New Roman"/>
          <w:sz w:val="20"/>
        </w:rPr>
        <w:t>” and the first date on which stockholder approval is obtained to both increase the number of authorized shares of Common Stock and for the issuance of the shares of Common Stock under the Notes pursuant to Rule 5635 of Nasdaq, as the “</w:t>
      </w:r>
      <w:r>
        <w:rPr>
          <w:rFonts w:ascii="Times New Roman" w:hAnsi="Times New Roman"/>
          <w:b/>
          <w:sz w:val="20"/>
        </w:rPr>
        <w:t>Requisite Shareholder Approval Date</w:t>
      </w:r>
      <w:r>
        <w:rPr>
          <w:rFonts w:ascii="Times New Roman" w:hAnsi="Times New Roman"/>
          <w:sz w:val="20"/>
        </w:rPr>
        <w:t xml:space="preserve">”). The Company shall notify Holders of Notes of the Requisite Shareholder Approval Date no later than the first Business Day after the Requisite Shareholder Approval Date. Following the Requisite Shareholder Approval Date and at all times thereafter when any Notes are outstanding, the Company will reserve, out of its authorized but unissued and unreserved shares of Common Stock, a number of shares of Common Stock equal to the product of: (a) the aggregate principal amount (expressed in thousands) of all then-outstanding Notes; and (b) the Conversion Rate then in effect (assuming, for these purposes, that the Conversion Rate is increased by the maximum amount the Conversion Rate may be increased pursuant to Section 14.03).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5. </w:t>
      </w:r>
    </w:p>
    <w:p>
      <w:pPr>
        <w:pStyle w:val="TextBody"/>
        <w:bidi w:val="0"/>
        <w:spacing w:before="0" w:after="0"/>
        <w:jc w:val="center"/>
        <w:rPr>
          <w:rFonts w:ascii="Times New Roman" w:hAnsi="Times New Roman"/>
          <w:sz w:val="20"/>
        </w:rPr>
      </w:pPr>
      <w:r>
        <w:rPr>
          <w:rFonts w:ascii="Times New Roman" w:hAnsi="Times New Roman"/>
          <w:sz w:val="20"/>
        </w:rPr>
        <w:t xml:space="preserve">LISTS OF HOLDERS AND REPORTS BY THE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i/>
          <w:sz w:val="20"/>
        </w:rPr>
        <w:t xml:space="preserve">Lists of Holders. </w:t>
      </w:r>
      <w:r>
        <w:rPr>
          <w:rFonts w:ascii="Times New Roman" w:hAnsi="Times New Roman"/>
          <w:sz w:val="20"/>
        </w:rPr>
        <w:t xml:space="preserve">If the Trustee is not the Registrar, then the Company will furnish to the Trustee, semi-annually, a list, in such form and as of such date or time as the Trustee may reasonably require, of the names and addresses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i/>
          <w:sz w:val="20"/>
        </w:rPr>
        <w:t xml:space="preserve">Preservation and Disclosure of Lists. </w:t>
      </w:r>
      <w:r>
        <w:rPr>
          <w:rFonts w:ascii="Times New Roman" w:hAnsi="Times New Roman"/>
          <w:sz w:val="20"/>
        </w:rPr>
        <w:t xml:space="preserve">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 </w:t>
      </w:r>
    </w:p>
    <w:p>
      <w:pPr>
        <w:pStyle w:val="TextBody"/>
        <w:bidi w:val="0"/>
        <w:spacing w:before="240" w:after="0"/>
        <w:jc w:val="center"/>
        <w:rPr>
          <w:rFonts w:ascii="Times New Roman" w:hAnsi="Times New Roman"/>
          <w:sz w:val="20"/>
        </w:rPr>
      </w:pPr>
      <w:r>
        <w:rPr>
          <w:rFonts w:ascii="Times New Roman" w:hAnsi="Times New Roman"/>
          <w:sz w:val="20"/>
        </w:rPr>
        <w:t xml:space="preserve">Article 6. </w:t>
      </w:r>
    </w:p>
    <w:p>
      <w:pPr>
        <w:pStyle w:val="TextBody"/>
        <w:bidi w:val="0"/>
        <w:spacing w:before="0" w:after="0"/>
        <w:jc w:val="center"/>
        <w:rPr>
          <w:rFonts w:ascii="Times New Roman" w:hAnsi="Times New Roman"/>
          <w:sz w:val="20"/>
        </w:rPr>
      </w:pPr>
      <w:r>
        <w:rPr>
          <w:rFonts w:ascii="Times New Roman" w:hAnsi="Times New Roman"/>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i/>
          <w:sz w:val="20"/>
        </w:rPr>
        <w:t xml:space="preserve">Events of Default. </w:t>
      </w:r>
      <w:r>
        <w:rPr>
          <w:rFonts w:ascii="Times New Roman" w:hAnsi="Times New Roman"/>
          <w:sz w:val="20"/>
        </w:rPr>
        <w:t>Each of the following events shall be an “</w:t>
      </w:r>
      <w:r>
        <w:rPr>
          <w:rFonts w:ascii="Times New Roman" w:hAnsi="Times New Roman"/>
          <w:b/>
          <w:sz w:val="20"/>
        </w:rPr>
        <w:t>Event of Default</w:t>
      </w:r>
      <w:r>
        <w:rPr>
          <w:rFonts w:ascii="Times New Roman" w:hAnsi="Times New Roman"/>
          <w:sz w:val="20"/>
        </w:rPr>
        <w:t xml:space="preserve">” with respect to the Notes: </w:t>
      </w:r>
    </w:p>
    <w:p>
      <w:pPr>
        <w:pStyle w:val="TextBody"/>
        <w:bidi w:val="0"/>
        <w:spacing w:before="120" w:after="0"/>
        <w:jc w:val="left"/>
        <w:rPr>
          <w:rFonts w:ascii="Times New Roman" w:hAnsi="Times New Roman"/>
          <w:sz w:val="20"/>
        </w:rPr>
      </w:pPr>
      <w:r>
        <w:rPr>
          <w:rFonts w:ascii="Times New Roman" w:hAnsi="Times New Roman"/>
          <w:sz w:val="20"/>
        </w:rPr>
        <w:t xml:space="preserve">(a) default in any payment of interest on any Note when due and payable and the default continues for a period of thirty (30) consecutive days; </w:t>
      </w:r>
    </w:p>
    <w:p>
      <w:pPr>
        <w:pStyle w:val="TextBody"/>
        <w:bidi w:val="0"/>
        <w:spacing w:before="240" w:after="0"/>
        <w:jc w:val="left"/>
        <w:rPr>
          <w:rFonts w:ascii="Times New Roman" w:hAnsi="Times New Roman"/>
          <w:sz w:val="20"/>
        </w:rPr>
      </w:pPr>
      <w:r>
        <w:rPr>
          <w:rFonts w:ascii="Times New Roman" w:hAnsi="Times New Roman"/>
          <w:sz w:val="20"/>
        </w:rPr>
        <w:t xml:space="preserve">(b) default in the payment of principal of any Note when due and payable at its stated maturity, upon Optional Redemption pursuant to Section 15.06, upon any required repurchase, upon declaration of acceleration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the Company’s failure to comply with its obligation to convert or equitize the Notes in accordance with this Indenture upon exercise of a Holder’s or the Company’s conversion right or the Company’s right to effect a Mandatory Equitization pursuant to Section 17.01, and such failure continues for five (5) Business Days following the date on which such conversion or equitization was required to be effectuated pursuant to the terms of this Indenture; </w:t>
      </w:r>
      <w:r>
        <w:rPr>
          <w:rFonts w:ascii="Times New Roman" w:hAnsi="Times New Roman"/>
          <w:i/>
          <w:sz w:val="20"/>
        </w:rPr>
        <w:t>provided</w:t>
      </w:r>
      <w:r>
        <w:rPr>
          <w:rFonts w:ascii="Times New Roman" w:hAnsi="Times New Roman"/>
          <w:sz w:val="20"/>
        </w:rPr>
        <w:t xml:space="preserve"> that any delays in delivery of shares of Common Stock to Holders due to the operation of the provisions relating to Opt-In Procedures described in Section 14.14, or any inadvertent failure in the accurate execution of such Opt-In Procedures shall not constitute a default or an Event of Default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Company’s failure to give a Fundamental Change Company Notice as described in Section 15.02 when due or to make a Net Proceeds Offer as described Section 15.04 when required and such failure continues for five (5) Business Days; </w:t>
      </w:r>
    </w:p>
    <w:p>
      <w:pPr>
        <w:pStyle w:val="TextBody"/>
        <w:bidi w:val="0"/>
        <w:spacing w:before="240" w:after="0"/>
        <w:jc w:val="left"/>
        <w:rPr>
          <w:rFonts w:ascii="Times New Roman" w:hAnsi="Times New Roman"/>
          <w:sz w:val="20"/>
        </w:rPr>
      </w:pPr>
      <w:r>
        <w:rPr>
          <w:rFonts w:ascii="Times New Roman" w:hAnsi="Times New Roman"/>
          <w:sz w:val="20"/>
        </w:rPr>
        <w:t xml:space="preserve">(e) the Company’s failure to comply with its obligations under (i) Article 11 or (ii) Section 4.18;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Company’s failure for thirty (30) days after written notice from the Trustee or the Holders of at least 25% in principal amount of the Notes then outstanding has been received to comply with any of the Company’s other agreements contained in the Notes or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(g) default by the Company or any of its Significant Subsidiaries with respect to any mortgage, agreement or other instrument under which there may be outstanding, or by which there may be secured or evidenced, any indebtedness for borrowed money that has a principal amount in excess of $10.0 million (or its foreign currency equivalent) in the aggregate of the Company and/or any such Significant Subsidiary, whether such indebtedness now exists or will hereafter be created (i) actually resulting in such indebtedness becoming or being declared due and payable or (ii) constituting a failure to pay the principal of any such indebtedness when due and payable at its stated maturity, upon required repurchase, upon declaration of acceleration or otherwise, in each case after the expiration of any applicable grace period, if such default is not cured or waived, or such acceleration is not rescinded, in the case of the foregoing clause (ii), within sixty (60) days after the occurrence of such default; </w:t>
      </w:r>
    </w:p>
    <w:p>
      <w:pPr>
        <w:pStyle w:val="TextBody"/>
        <w:bidi w:val="0"/>
        <w:spacing w:before="240" w:after="0"/>
        <w:jc w:val="left"/>
        <w:rPr>
          <w:rFonts w:ascii="Times New Roman" w:hAnsi="Times New Roman"/>
          <w:sz w:val="20"/>
        </w:rPr>
      </w:pPr>
      <w:r>
        <w:rPr>
          <w:rFonts w:ascii="Times New Roman" w:hAnsi="Times New Roman"/>
          <w:sz w:val="20"/>
        </w:rPr>
        <w:t xml:space="preserve">(h) the Company, any Guarantor or any Significant Subsidiary shall commence a voluntary case or other proceeding seeking liquidation, reorganization or other relief with respect to the Company or any such Guarantor and/or Significant Subsidiary or its debts under any bankruptcy, insolvency or other similar law now or hereafter in effect or seeking the appointment of a trustee, receiver, liquidator, custodian or other similar official of the Company or any such Guarantor or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w:t>
      </w:r>
    </w:p>
    <w:p>
      <w:pPr>
        <w:pStyle w:val="TextBody"/>
        <w:bidi w:val="0"/>
        <w:spacing w:before="240" w:after="0"/>
        <w:jc w:val="left"/>
        <w:rPr>
          <w:rFonts w:ascii="Times New Roman" w:hAnsi="Times New Roman"/>
          <w:sz w:val="20"/>
        </w:rPr>
      </w:pPr>
      <w:r>
        <w:rPr>
          <w:rFonts w:ascii="Times New Roman" w:hAnsi="Times New Roman"/>
          <w:sz w:val="20"/>
        </w:rPr>
        <w:t xml:space="preserve">(i) a court of competent jurisdiction enters an order or decree against the Company, any Guarantor or any Significant Subsidiary seeking liquidation, reorganization or other relief with respect to the Company or such Guarantor or Significant Subsidiary or its debts under any bankruptcy, insolvency or other similar law now or hereafter in effect or seeking the appointment of a trustee, receiver, liquidator, custodian or other similar official of the Company or such Guarantor or Significant Subsidiary or any substantial part of its property, and such order or decree shall remain undismissed and unstayed for a period of sixty (60) consecutive days; </w:t>
      </w:r>
    </w:p>
    <w:p>
      <w:pPr>
        <w:pStyle w:val="TextBody"/>
        <w:bidi w:val="0"/>
        <w:spacing w:before="240" w:after="0"/>
        <w:jc w:val="left"/>
        <w:rPr>
          <w:rFonts w:ascii="Times New Roman" w:hAnsi="Times New Roman"/>
          <w:sz w:val="20"/>
        </w:rPr>
      </w:pPr>
      <w:r>
        <w:rPr>
          <w:rFonts w:ascii="Times New Roman" w:hAnsi="Times New Roman"/>
          <w:sz w:val="20"/>
        </w:rPr>
        <w:t xml:space="preserve">(j) a final judgment or judgments for the payment of $10.0 million (or its foreign currency equivalent) or more (excluding any amounts covered by insurance) in the aggregate rendered against the Company or any of its Significant Subsidiaries, which judgment is not discharged, bonded, paid, waived or stayed within sixty (60) days after (i) the date on which the right to appeal thereof has expired if no such appeal has commenced, or (ii) the date on which all rights to appeal have been extinguished; </w:t>
      </w:r>
    </w:p>
    <w:p>
      <w:pPr>
        <w:pStyle w:val="TextBody"/>
        <w:bidi w:val="0"/>
        <w:spacing w:before="240" w:after="0"/>
        <w:jc w:val="left"/>
        <w:rPr>
          <w:rFonts w:ascii="Times New Roman" w:hAnsi="Times New Roman"/>
          <w:sz w:val="20"/>
        </w:rPr>
      </w:pPr>
      <w:r>
        <w:rPr>
          <w:rFonts w:ascii="Times New Roman" w:hAnsi="Times New Roman"/>
          <w:sz w:val="20"/>
        </w:rPr>
        <w:t xml:space="preserve">(k) any Note Guarantee ceases to be in full force and effect (other than in accordance with the terms of such Note Guarantee and this Indenture) or is declared null and void and unenforceable or found to be invalid or any Guarantor denies its liability under the Note Guarantee of such Guarantor (other than by reason of release of such Guarantor from its Note Guarantee in accordance with the terms of this Indenture and the Note Guarantee);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unless all of the Collateral has been released from the Liens in accordance with the provisions of this Indenture and the Second Lien Collateral Documents, the Company shall assert, in a pleading in a court of competent jurisdiction, with respect to any material portion of the Collateral, that any security interest therein is invalid or unenforceable and the Company fails to rescind such assertions within sixty (60) days after it has actual knowledge of such assertions; or </w:t>
      </w:r>
    </w:p>
    <w:p>
      <w:pPr>
        <w:pStyle w:val="TextBody"/>
        <w:bidi w:val="0"/>
        <w:spacing w:before="240" w:after="0"/>
        <w:jc w:val="left"/>
        <w:rPr>
          <w:rFonts w:ascii="Times New Roman" w:hAnsi="Times New Roman"/>
          <w:sz w:val="20"/>
        </w:rPr>
      </w:pPr>
      <w:r>
        <w:rPr>
          <w:rFonts w:ascii="Times New Roman" w:hAnsi="Times New Roman"/>
          <w:sz w:val="20"/>
        </w:rPr>
        <w:t xml:space="preserve">(m) the failure by the Company to comply for sixty (60) days after receipt of written notice from the Trustee or the Holders of at least 25% in principal amount of the Notes then outstanding of such failure with a material provision of the Second Lien Collateral Documents except for a failure that would not be material to the holders of the Notes and would not materially affect the value of the Collateral,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i/>
          <w:sz w:val="20"/>
        </w:rPr>
        <w:t>Acceleration; Rescission and Annulment</w:t>
      </w:r>
      <w:r>
        <w:rPr>
          <w:rFonts w:ascii="Times New Roman" w:hAnsi="Times New Roman"/>
          <w:sz w:val="20"/>
        </w:rPr>
        <w:t xml:space="preserve">. If an Event of Default occurs and is continuing, the Trustee by written notice to us, or the Holders of at least 25% in principal amount of the outstanding Notes by written notice to the Company and the Trustee, may declare 100% of the principal of and accrued and unpaid interest, if any, on all the Notes to be due and payable. For the avoidance of doubt, if such Event of Default is not continuing at the time such notice is provided (that is, such Event of Default has been cured or waived as of such time), then such notice shall not be effective to cause such amounts to become due and payable immediately. Upon such a declaration of acceleration, such principal and accrued and unpaid interest, if any, shall be due and payable immediately. In case of the occurrence an Event of Default described in clause (e)(ii), (h) or (i) of Section 6.01, 100% of the principal of and accrued and unpaid interest on the Notes shall automatically become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Fundamental Change Repurchase Price and any cash due upon conversion or equitization, if applicable) of, or accrued and unpaid interest on, any Notes or (ii) a failure to pay or deliver, as the case may be, the consideration due upon conversion or equitization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Without limiting the generality of the foregoing in this Article 6, it is understood and agreed that if the Notes are accelerated as a result of an Event of Default described in Section 6.01 (including an Event of Default pursuant to clause (h) or (i) of such section), by operation of law or otherwise, the notes that become due and payable shall include the make-whole premium described in Section 15.06 (the “</w:t>
      </w:r>
      <w:r>
        <w:rPr>
          <w:rFonts w:ascii="Times New Roman" w:hAnsi="Times New Roman"/>
          <w:b/>
          <w:sz w:val="20"/>
        </w:rPr>
        <w:t>Redemption Premium</w:t>
      </w:r>
      <w:r>
        <w:rPr>
          <w:rFonts w:ascii="Times New Roman" w:hAnsi="Times New Roman"/>
          <w:sz w:val="20"/>
        </w:rPr>
        <w:t xml:space="preserve">”), which shall become immediately due and payable in cash by the Company and the Guarantors and shall constitute part of the Obligations in respect of the Notes as if the Notes were being optionally redeemed as of such date, in view of the impracticability and extreme difficulty of ascertaining actual damages and by mutual agreement of the parties as to a reasonable calculation of each Holder’s lost profits and actual damages as a result thereof. The Redemption Premium shall also be automatically and immediately due and payable if the Notes are satisfied or released by foreclosure (whether by power of judicial proceeding or otherwise), deed in lieu of foreclosure or by any other means. The Redemption Premium payable pursuant to this Indenture shall be presumed to be the liquidated damages sustained by each Holder as the result of the early repayment or prepayment of the Notes (and not unmatured interest or a penalty) and each of the Company and the Guarantors agrees that it is reasonable under the circumstances currently existing. EACH OF THE COMPANY AND THE GUARANTORS EXPRESSLY WAIVE (TO THE FULLEST EXTENT THEY MAY LAWFULLY DO SO) THE PROVISIONS OF ANY PRESENT OR FUTURE STATUTE OR LAW THAT PROHIBITS OR MAY PROHIBIT THE COLLECTION OF THE REDEMPTION PREMIUM, INCLUDING PAYMENT OF THE PREMIUM AT MATURITY, IN CONNECTION WITH ANY SUCH ACCELERATION. Each of the Company and the Guarantors expressly agree (to the fullest extent they may lawfully do so) that: (A) the Redemption Premium is reasonable and the product of an arm’s length transaction between sophisticated business people, ably represented by counsel; (B) the Redemption Premium shall be payable notwithstanding the then prevailing market rates at the time payment or redemption is made; (C) there has been a course of conduct between holders, the Company and the Guarantors giving specific consideration in this transaction for such agreement to pay the Redemption Premium; and (D) the Company and the Guarantors shall be estopped hereafter from claiming differently than as agreed to in this paragraph. Each of the Company and the Guarantors expressly acknowledge that its agreement to pay or guarantee the payment of the Redemption Premium to the Holders as herein described are individually and collectively a material inducement to Holders to receive the Notes in connection with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and without limiting the manner in which any Event of Default or Default can be cured: (a) a failure by the Company to send a notice in accordance with this Indenture other than in connection with the events set forth in Section 6.01(d) shall be subject to Section 6.01(f) (including the 30-day cure period contained therein), and any related Default shall be deemed cured and shall cease to continue upon delivery of such notice to the applicable recipient prior to (i) the expiration of such 30-day period or (ii) if after such 30-day period, the delivery of a notice of acceleration with respect to such Default, in each case whether or not the events or circumstances that are the subject of such notice have already occurred at the time such notice is given; (b) if the Company fails to make any payment of principal or interest when due, such Default shall be deemed cured and shall cease to continue upon the making of such payment, together with any accrued interest thereon, prior to (i) the expiration of any applicable grace period with respect to the Default in the relevant payment set forth in this Article 6 or (ii) if following the expiration of any applicable grace period, the delivery of a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acceleration with respect to such Default; and (c) a Default that is (or, after notice, passage of time or both, would be) a Reporting Event of Default shall be deemed cured and shall cease to continue at such time as the Company files with the Trustee the applicable report or reports that gave rise to such Reporting Event of Default (it being understood that any report that the Company files with the SEC through the EDGAR system (or any successor thereto) will be deemed to be filed with the Trustee at the time such report is so filed via the EDGAR system (or such successor)); </w:t>
      </w:r>
      <w:r>
        <w:rPr>
          <w:rFonts w:ascii="Times New Roman" w:hAnsi="Times New Roman"/>
          <w:i/>
          <w:sz w:val="20"/>
        </w:rPr>
        <w:t>provided</w:t>
      </w:r>
      <w:r>
        <w:rPr>
          <w:rFonts w:ascii="Times New Roman" w:hAnsi="Times New Roman"/>
          <w:sz w:val="20"/>
        </w:rPr>
        <w:t xml:space="preserve"> that (x) the cure of any Event of Default shall not invalidate any acceleration of the Notes on account of such Event of Default that was properly effected prior to such time as such Event of Default was cured and (y) the cure of any Reporting Event of Default shall not affect the Company’s obligation to pay any Additional Interest that accrues prior to the time of such cure. For the avoidance of doubt, nothing in the immediately preceding sentence shall constitute a waiver of or in any way limit any Holder’s right to institute suit for any damages incurred as a result of the Company’s breach of any covenant under this Indenture even if subsequently cured. </w:t>
      </w:r>
    </w:p>
    <w:p>
      <w:pPr>
        <w:pStyle w:val="TextBody"/>
        <w:bidi w:val="0"/>
        <w:spacing w:before="240" w:after="0"/>
        <w:jc w:val="left"/>
        <w:rPr>
          <w:rFonts w:ascii="Times New Roman" w:hAnsi="Times New Roman"/>
          <w:sz w:val="20"/>
        </w:rPr>
      </w:pPr>
      <w:r>
        <w:rPr>
          <w:rFonts w:ascii="Times New Roman" w:hAnsi="Times New Roman"/>
          <w:sz w:val="20"/>
        </w:rPr>
        <w:t xml:space="preserve">In addition, for the avoidance of doubt, if a Default that is not an Event of Default is cured or waived before such Default would have constituted an Event of Default, then no Event of Default will result from such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i/>
          <w:sz w:val="20"/>
        </w:rPr>
        <w:t>Additional Interest</w:t>
      </w:r>
      <w:r>
        <w:rPr>
          <w:rFonts w:ascii="Times New Roman" w:hAnsi="Times New Roman"/>
          <w:sz w:val="20"/>
        </w:rPr>
        <w:t>. Notwithstanding the foregoing, if the Company so elects, the sole remedy for an Event of Default relating to (a) the Company’s failure to file with the Trustee any documents or reports that it is required to file with the SEC pursuant to Section 13 or 15(d) of the Exchange Act or (b) the Company’s failure to comply with its obligations as set forth in Section 4.06 (a “</w:t>
      </w:r>
      <w:r>
        <w:rPr>
          <w:rFonts w:ascii="Times New Roman" w:hAnsi="Times New Roman"/>
          <w:b/>
          <w:sz w:val="20"/>
        </w:rPr>
        <w:t>Reporting Event of Default</w:t>
      </w:r>
      <w:r>
        <w:rPr>
          <w:rFonts w:ascii="Times New Roman" w:hAnsi="Times New Roman"/>
          <w:sz w:val="20"/>
        </w:rPr>
        <w:t xml:space="preserve">”), shall, for the first 180 days after the occurrence of such an Event of Default, consist exclusively of the right to receive Additional Interest in cash on the Notes at a rate equal to (i) 0.25% per annum of the principal amount of the Notes outstanding for the first 90 days during which such Event of Default is continuing, beginning on, and including, the date on which such an Event of Default first occurs and (ii) 0.50% per annum of the principal amount of the Notes outstanding for each day during the next 90-day period during which such Event of Default is continuing. If the Company so elects, such Additional Interest shall be payable in the same manner and on the same dates as the Stated Interest payable on the Notes. On the 181st day after such Event of Default (if the Event of Default relating to the Company’s failure to comply with its reporting obligations as set forth in Section 4.06(a) is not cured or waived prior to such 181st day), the Notes shall be subject to acceleration as provided above. The provisions of this Section 6.03 shall not affect the rights of Holders of Notes in the event of the occurrence of any other Event of Default In the event the Company does not elect to pay the Additional Interest following an Event of Default in accordance with this Section 6.03 or the Company elects to make such payment but does not pay the Additional Interest when due, the Notes shall be immediately subject to acceleration as provided in Section 6.02. </w:t>
      </w:r>
    </w:p>
    <w:p>
      <w:pPr>
        <w:pStyle w:val="TextBody"/>
        <w:bidi w:val="0"/>
        <w:spacing w:before="240" w:after="0"/>
        <w:jc w:val="left"/>
        <w:rPr>
          <w:rFonts w:ascii="Times New Roman" w:hAnsi="Times New Roman"/>
          <w:sz w:val="20"/>
        </w:rPr>
      </w:pPr>
      <w:r>
        <w:rPr>
          <w:rFonts w:ascii="Times New Roman" w:hAnsi="Times New Roman"/>
          <w:sz w:val="20"/>
        </w:rPr>
        <w:t xml:space="preserve">In order to elect to pay the Additional Interest as the sole remedy during the first 180 days after the occurrence of an Event of Default relating to the failure to comply with these reporting obligations in accordance with the immediately preceding paragraph, the Company must notify all Holders of Notes, the Trustee and the Paying Agent of such election prior to the beginning of such 180-day period. Upon the Company’s failure to timely give such notice, the Notes shall be immediately subject to acceleration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6.04 </w:t>
      </w:r>
      <w:r>
        <w:rPr>
          <w:rFonts w:ascii="Times New Roman" w:hAnsi="Times New Roman"/>
          <w:i/>
          <w:sz w:val="20"/>
        </w:rPr>
        <w:t xml:space="preserve">Payments of Notes on Default; Suit Therefor. </w:t>
      </w:r>
      <w:r>
        <w:rPr>
          <w:rFonts w:ascii="Times New Roman" w:hAnsi="Times New Roman"/>
          <w:sz w:val="20"/>
        </w:rPr>
        <w:t xml:space="preserve">If an Event of Default described in clause (a) or (b) of Section 6.01 shall have occurred and be continuing (including upon failure to pay amounts owed following accelerations of the Obligations) the Company shall, upon demand of the Trustee, pay to the Trustee, for the benefit of the Holders of the Notes, the Trustee and the Collateral Agent, the whole amount then due and payable on the Notes for principal and interest, if any, with interest on any overdue principal and interest, if any, at the Stated Interest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and the Collateral Agent, their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and the Collateral Agent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and the Collateral Agent any amount due it for reasonable compensation, expenses, advances and disbursements, including agents and counsel fees, and including any other amounts due to the Trustee and the Collateral Agent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 </w:t>
      </w:r>
    </w:p>
    <w:p>
      <w:pPr>
        <w:pStyle w:val="TextBody"/>
        <w:bidi w:val="0"/>
        <w:spacing w:before="240" w:after="0"/>
        <w:jc w:val="left"/>
        <w:rPr>
          <w:rFonts w:ascii="Times New Roman" w:hAnsi="Times New Roman"/>
          <w:sz w:val="20"/>
        </w:rPr>
      </w:pPr>
      <w:r>
        <w:rPr>
          <w:rFonts w:ascii="Times New Roman" w:hAnsi="Times New Roman"/>
          <w:sz w:val="20"/>
        </w:rPr>
        <w:t xml:space="preserve">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the Trustee and the Collateral Agent shall, subject to any determination in such proceeding, be restored respectively to their several positions and rights hereunder, and all rights, remedies and powers of the Company, the Holders, the Trustee and the Collateral Agent shall continue as though no such proceeding had been instituted.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i/>
          <w:sz w:val="20"/>
        </w:rPr>
        <w:t xml:space="preserve">Application of Monies Collected by Trustee. </w:t>
      </w:r>
      <w:r>
        <w:rPr>
          <w:rFonts w:ascii="Times New Roman" w:hAnsi="Times New Roman"/>
          <w:sz w:val="20"/>
        </w:rPr>
        <w:t xml:space="preserve">Subject to the Intercreditor Agreement, any monies or property collected by the Trustee pursuant to this Article 6 with respect to the Notes or, after an Event of Default, any money or other property distributable in respect of the Company’s obligations under this Indenture shall be applied in the following order, at the date or dates fixed by the Trustee for the distribution of such monies or property, upon presentation of the several Notes, and stamping thereon the payment, if only partially paid, and upon delivery thereof, if fully paid: </w:t>
      </w:r>
    </w:p>
    <w:p>
      <w:pPr>
        <w:pStyle w:val="TextBody"/>
        <w:bidi w:val="0"/>
        <w:spacing w:before="12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to the payment of all amounts due the Trustee (including any predecessor trustee) and Collateral Agent (including any predecessor collateral agent) in all of their capacities, including their agent and counsel, under Section 7.06;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in case the principal of the outstanding Notes shall not have become due and be unpaid, to the payment of interest on, and any cash due upon conversion or equitization of, the Notes in default in the order of the date due of the payments of such interest and cash due upon conversion or equitization, as the case may be, with interest (to the extent that such interest has been collected by the Trustee) upon such overdue payments at the rate borne by the Notes at such time, such payments to be made ratably to the Persons entitled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in case the principal of the outstanding Notes shall have become due, by declaration or otherwise, and be unpaid to the payment of the whole amount (including, if applicable, the payment of the Fundamental Change Repurchase Price and any cash due upon conversion or equitization)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Fundamental Change Repurchase Price and any cash due upon conversion or equitization)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Fundamental Change Repurchase Price and any cash due upon conversion or equitization) and accrued and unpaid interest; and </w:t>
      </w:r>
    </w:p>
    <w:p>
      <w:pPr>
        <w:pStyle w:val="TextBody"/>
        <w:bidi w:val="0"/>
        <w:spacing w:before="240" w:after="0"/>
        <w:jc w:val="left"/>
        <w:rPr>
          <w:rFonts w:ascii="Times New Roman" w:hAnsi="Times New Roman"/>
          <w:sz w:val="20"/>
        </w:rPr>
      </w:pPr>
      <w:r>
        <w:rPr>
          <w:rFonts w:ascii="Times New Roman" w:hAnsi="Times New Roman"/>
          <w:b/>
          <w:sz w:val="20"/>
        </w:rPr>
        <w:t>Fourth</w:t>
      </w:r>
      <w:r>
        <w:rPr>
          <w:rFonts w:ascii="Times New Roman" w:hAnsi="Times New Roman"/>
          <w:sz w:val="20"/>
        </w:rPr>
        <w:t xml:space="preserve">, to the payment of the remainder, if any,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i/>
          <w:sz w:val="20"/>
        </w:rPr>
        <w:t xml:space="preserve">Proceedings by Holders. </w:t>
      </w:r>
      <w:r>
        <w:rPr>
          <w:rFonts w:ascii="Times New Roman" w:hAnsi="Times New Roman"/>
          <w:sz w:val="20"/>
        </w:rPr>
        <w:t xml:space="preserve">Except to enforce the right to receive payment of principal or interest when due, or the right to receive payment or delivery of the consideration due upon conversion or equitization, no Holder may pursue any remedy with respect to this Indenture or the Notes unless: </w:t>
      </w:r>
    </w:p>
    <w:p>
      <w:pPr>
        <w:pStyle w:val="TextBody"/>
        <w:bidi w:val="0"/>
        <w:spacing w:before="120" w:after="0"/>
        <w:jc w:val="left"/>
        <w:rPr>
          <w:rFonts w:ascii="Times New Roman" w:hAnsi="Times New Roman"/>
          <w:sz w:val="20"/>
        </w:rPr>
      </w:pPr>
      <w:r>
        <w:rPr>
          <w:rFonts w:ascii="Times New Roman" w:hAnsi="Times New Roman"/>
          <w:sz w:val="20"/>
        </w:rPr>
        <w:t xml:space="preserve">(a) such Holder has previously given the Trustee notice that an Event of Default is continuing; </w:t>
      </w:r>
    </w:p>
    <w:p>
      <w:pPr>
        <w:pStyle w:val="TextBody"/>
        <w:bidi w:val="0"/>
        <w:spacing w:before="240" w:after="0"/>
        <w:jc w:val="left"/>
        <w:rPr>
          <w:rFonts w:ascii="Times New Roman" w:hAnsi="Times New Roman"/>
          <w:sz w:val="20"/>
        </w:rPr>
      </w:pPr>
      <w:r>
        <w:rPr>
          <w:rFonts w:ascii="Times New Roman" w:hAnsi="Times New Roman"/>
          <w:sz w:val="20"/>
        </w:rPr>
        <w:t xml:space="preserve">(b) Holders of at least 25% in principal amount of the outstanding Notes have requested the Trustee to pursue the remedy; </w:t>
      </w:r>
    </w:p>
    <w:p>
      <w:pPr>
        <w:pStyle w:val="TextBody"/>
        <w:bidi w:val="0"/>
        <w:spacing w:before="240" w:after="0"/>
        <w:jc w:val="left"/>
        <w:rPr>
          <w:rFonts w:ascii="Times New Roman" w:hAnsi="Times New Roman"/>
          <w:sz w:val="20"/>
        </w:rPr>
      </w:pPr>
      <w:r>
        <w:rPr>
          <w:rFonts w:ascii="Times New Roman" w:hAnsi="Times New Roman"/>
          <w:sz w:val="20"/>
        </w:rPr>
        <w:t xml:space="preserve">(c) such Holders have offered the Trustee security or indemnity reasonably satisfactory to it against any loss,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(d) the Trustee has not complied with such request within 60 days after the receipt of the request and the offer of such security or indemnity; and </w:t>
      </w:r>
    </w:p>
    <w:p>
      <w:pPr>
        <w:pStyle w:val="TextBody"/>
        <w:bidi w:val="0"/>
        <w:spacing w:before="240" w:after="0"/>
        <w:jc w:val="left"/>
        <w:rPr>
          <w:rFonts w:ascii="Times New Roman" w:hAnsi="Times New Roman"/>
          <w:sz w:val="20"/>
        </w:rPr>
      </w:pPr>
      <w:r>
        <w:rPr>
          <w:rFonts w:ascii="Times New Roman" w:hAnsi="Times New Roman"/>
          <w:sz w:val="20"/>
        </w:rPr>
        <w:t xml:space="preserve">(e) the Holders of a majority in principal amount of the outstanding Notes have not given the Trustee a direction that, in the opinion of the Trustee, is inconsistent with such request within such 60-day period. </w:t>
      </w:r>
    </w:p>
    <w:p>
      <w:pPr>
        <w:pStyle w:val="TextBody"/>
        <w:bidi w:val="0"/>
        <w:spacing w:before="240" w:after="0"/>
        <w:jc w:val="left"/>
        <w:rPr>
          <w:rFonts w:ascii="Times New Roman" w:hAnsi="Times New Roman"/>
          <w:sz w:val="20"/>
        </w:rPr>
      </w:pPr>
      <w:r>
        <w:rPr>
          <w:rFonts w:ascii="Times New Roman" w:hAnsi="Times New Roman"/>
          <w:sz w:val="20"/>
        </w:rPr>
        <w:t xml:space="preserve">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(it being understood that the Trustee shall not have an affirmative duty to ascertain whether or not any such direction is unduly prejudicial to any other Holder), or to obtain or seek to obtain priority over or preference to any other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 other provision of this Indenture and any provision of any Note, the right of any Holder to receive payment or delivery, as the case may be, of (x) the principal (including the Fundamental Change Repurchase Price, if applicable) of, (y) accrued and unpaid interest, if any, on, and (z) the consideration due upon conversion or equitization of, such Note, on or after the respective due dates expressed or provided for in such Note or in this Indenture, or to institute suit for the enforcement of any such payment or delivery, as the case may be, on or after such respective dates against the Company shall not be impaired or affected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i/>
          <w:sz w:val="20"/>
        </w:rPr>
        <w:t xml:space="preserve">Proceedings by Trustee. </w:t>
      </w:r>
      <w:r>
        <w:rPr>
          <w:rFonts w:ascii="Times New Roman" w:hAnsi="Times New Roman"/>
          <w:sz w:val="20"/>
        </w:rPr>
        <w:t xml:space="preserve">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i/>
          <w:sz w:val="20"/>
        </w:rPr>
        <w:t xml:space="preserve">Remedies Cumulative and Continuing. </w:t>
      </w:r>
      <w:r>
        <w:rPr>
          <w:rFonts w:ascii="Times New Roman" w:hAnsi="Times New Roman"/>
          <w:sz w:val="20"/>
        </w:rPr>
        <w:t xml:space="preserve">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i/>
          <w:sz w:val="20"/>
        </w:rPr>
        <w:t xml:space="preserve">Direction of Proceedings and Waiver of Defaults by Majority of Holders. </w:t>
      </w:r>
      <w:r>
        <w:rPr>
          <w:rFonts w:ascii="Times New Roman" w:hAnsi="Times New Roman"/>
          <w:sz w:val="20"/>
        </w:rPr>
        <w:t xml:space="preserve">Subject to the Trustee’s right to receive security or indemnity from the relevant Holders as described herein, the Holders of a majority of the aggregate principal amount of the Notes at the time outstanding determined in accordance with Section 8.04 shall have the right to direct the time, method and place of conducting any proceeding for any remedy available to the Trustee or the Collateral Agent or exercising any trust or power conferred on the Trustee or the Collateral Agent with respect to the Notes (whether under applicable law, the terms of any of the Note Documents or otherwise);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such direction shall not be in conflict with any rule of law or with the Note Documents, and (b) each of the Trustee and the Collateral Agent may take any other action deemed proper by the Trustee or the Collateral Agent, as applicable, that is not inconsistent with such direction. Each of the Trustee and the Collateral Agent may refuse to follow any direction that the Trustee or the Collateral Agent, as applicable, determines is unduly prejudicial to the rights of any other Holder or that would involve the Trustee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Collateral Agent, as applicable, in personal liability (it being understood that the Trustee and the Collateral Agent shall not have an affirmative duty to ascertain whether or not any such direction is unduly prejudicial to any other Holder). The Holders of a majority in aggregate principal amount of the Notes at the time outstanding determined in accordance with Section 8.04 may on behalf of the Holders of all of the Notes waive any past Default or Event of Default hereunder and its consequences except (i) any continuing defaults relating to the nonpayment of accrued and unpaid interest, if any, on, or the principal (including any Fundamental Change Repurchase Price) of, the Notes when due that has not been cured pursuant to the provisions of Section 6.01, (ii) a failure by the Company to pay or deliver, as the case may be, the consideration due upon conversion or equitization of the Notes or (iii) a default in respect of a covenant or provision hereof which under Article 10 cannot be modified or amended without the consent of each Holder of an outstanding Note affected. Upon any such waiver the Company, the Trustee, the Collateral Agent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i/>
          <w:sz w:val="20"/>
        </w:rPr>
        <w:t xml:space="preserve">Notice of Defaults. </w:t>
      </w:r>
      <w:r>
        <w:rPr>
          <w:rFonts w:ascii="Times New Roman" w:hAnsi="Times New Roman"/>
          <w:sz w:val="20"/>
        </w:rPr>
        <w:t xml:space="preserve">If a default occurs, is continuing, and is actually known to the Trustee or the Collateral Agent, the Trustee or the Collateral Agent, as the case may be, must deliver to each Holder notice of the Default within 90 days after it obtains actual knowledge thereof. Except in the case of a Default in the payment of principal of or interest on any Note or a Default in the payment or delivery of the consideration due upon conversion or equitization, the Trustee or the Collateral Agent may withhold notice if and so long as a responsible officer of the Trustee or the Collateral Agent, as applicable, in good faith determines that withholding notice is in the interests of the Holders. In addition, if the Company shall become aware that any Default or Event of Default has occurred and is continuing, the Company shall deliver to the Trustee, promptly after the occurrence thereof, written notice specifying such event (including status and any action the Company is taking or proposes to take in respect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the Company shall not be required to provide such notification at any time after such Default or Event of Default is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i/>
          <w:sz w:val="20"/>
        </w:rPr>
        <w:t xml:space="preserve">Undertaking to Pay Costs. </w:t>
      </w:r>
      <w:r>
        <w:rPr>
          <w:rFonts w:ascii="Times New Roman" w:hAnsi="Times New Roman"/>
          <w:sz w:val="20"/>
        </w:rPr>
        <w:t xml:space="preserve">All parties to this Indenture agree, and each Holder of any Note by its acceptance thereof shall be deemed to have agreed, that any court may, in its discretion, require, in any suit for the enforcement of any right or remedy under this Indenture, or in any suit against the Trustee and the Collateral Agent for any action taken or omitted by it as Trustee and Collateral Agent,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hAnsi="Times New Roman"/>
          <w:i/>
          <w:sz w:val="20"/>
        </w:rPr>
        <w:t>provided</w:t>
      </w:r>
      <w:r>
        <w:rPr>
          <w:rFonts w:ascii="Times New Roman" w:hAnsi="Times New Roman"/>
          <w:sz w:val="20"/>
        </w:rPr>
        <w:t xml:space="preserve"> that the provisions of this 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Fundamental Change Repurchase Price with respect to the Notes being repurchased as provided in this Indenture) on or after the due date expressed or provided for in such Note or to any suit for the enforcement of the right to convert any Note in accordance with the provisions of Article 14.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7. </w:t>
      </w:r>
    </w:p>
    <w:p>
      <w:pPr>
        <w:pStyle w:val="TextBody"/>
        <w:bidi w:val="0"/>
        <w:spacing w:before="0" w:after="0"/>
        <w:jc w:val="center"/>
        <w:rPr>
          <w:rFonts w:ascii="Times New Roman" w:hAnsi="Times New Roman"/>
          <w:sz w:val="20"/>
        </w:rPr>
      </w:pPr>
      <w:r>
        <w:rPr>
          <w:rFonts w:ascii="Times New Roman" w:hAnsi="Times New Roman"/>
          <w:sz w:val="20"/>
        </w:rPr>
        <w:t xml:space="preserve">CONCERNING THE TRUSTEE AND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i/>
          <w:sz w:val="20"/>
        </w:rPr>
        <w:t xml:space="preserve">Duties and Responsibilities of Trustee. </w:t>
      </w:r>
      <w:r>
        <w:rPr>
          <w:rFonts w:ascii="Times New Roman" w:hAnsi="Times New Roman"/>
          <w:sz w:val="20"/>
        </w:rPr>
        <w:t xml:space="preserve">The Trustee, prior to the occurrence of an Event of Default of which a Responsible Officer of the Trustee has written notice or actual knowledge and after the curing or waiver of all Events of Default that may have occurred, undertakes to perform such duties and only such duties as are specifically set forth in this Indenture. If an Event of Default has occurred and is continuing, the Trustee shall be required in the exercise of its powers to use the degree of care that a prudent person would use in the conduct of its own affairs; </w:t>
      </w:r>
      <w:r>
        <w:rPr>
          <w:rFonts w:ascii="Times New Roman" w:hAnsi="Times New Roman"/>
          <w:i/>
          <w:sz w:val="20"/>
        </w:rPr>
        <w:t>provided</w:t>
      </w:r>
      <w:r>
        <w:rPr>
          <w:rFonts w:ascii="Times New Roman" w:hAnsi="Times New Roman"/>
          <w:sz w:val="20"/>
        </w:rPr>
        <w:t xml:space="preserve">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it against any loss, liability or expense that might be incurred by it in compliance with such request or direction. The Trustee, however, may refuse to follow any direction that conflicts with law or this Indenture or that the Trustee determines is unduly prejudicial to the rights of any other Holder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Trustee shall not have an affirmative duty to determine whether any such direction in unduly prejudicial to the rights of any other Holder) or that would involve the Trustee in personal liability. Prior to taking any action under this Indenture, the Trustee and the Collateral Agent shall be entitled to indemnification satisfactory to it against any loss, liability or expense caused by taking or not taking such action. </w:t>
      </w:r>
    </w:p>
    <w:p>
      <w:pPr>
        <w:pStyle w:val="TextBody"/>
        <w:bidi w:val="0"/>
        <w:spacing w:before="240" w:after="0"/>
        <w:jc w:val="left"/>
        <w:rPr>
          <w:rFonts w:ascii="Times New Roman" w:hAnsi="Times New Roman"/>
          <w:sz w:val="20"/>
        </w:rPr>
      </w:pPr>
      <w:r>
        <w:rPr>
          <w:rFonts w:ascii="Times New Roman" w:hAnsi="Times New Roman"/>
          <w:sz w:val="20"/>
        </w:rPr>
        <w:t xml:space="preserve">No provision of this Indenture shall be construed to relieve the Trustee from liability for its own grossly negligent action, its own grossly negligent failure to act or its own willful misconduct (as finally adjudicated by a court of competent jurisdiction), except that: </w:t>
      </w:r>
    </w:p>
    <w:p>
      <w:pPr>
        <w:pStyle w:val="TextBody"/>
        <w:bidi w:val="0"/>
        <w:spacing w:before="120" w:after="0"/>
        <w:jc w:val="left"/>
        <w:rPr>
          <w:rFonts w:ascii="Times New Roman" w:hAnsi="Times New Roman"/>
          <w:sz w:val="20"/>
        </w:rPr>
      </w:pPr>
      <w:r>
        <w:rPr>
          <w:rFonts w:ascii="Times New Roman" w:hAnsi="Times New Roman"/>
          <w:sz w:val="20"/>
        </w:rPr>
        <w:t xml:space="preserve">(a) prior to the occurrence of an Event of Default and after the curing or waiving of all Events of Default that may have occurred: </w:t>
      </w:r>
    </w:p>
    <w:p>
      <w:pPr>
        <w:pStyle w:val="TextBody"/>
        <w:bidi w:val="0"/>
        <w:spacing w:before="120" w:after="0"/>
        <w:jc w:val="left"/>
        <w:rPr>
          <w:rFonts w:ascii="Times New Roman" w:hAnsi="Times New Roman"/>
          <w:sz w:val="20"/>
        </w:rPr>
      </w:pPr>
      <w:r>
        <w:rPr>
          <w:rFonts w:ascii="Times New Roman" w:hAnsi="Times New Roman"/>
          <w:sz w:val="20"/>
        </w:rPr>
        <w:t xml:space="preserve">(i) 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(ii) in the absence of gross negligence or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Trustee shall not be liable for any error of judgment made in good faith by a Responsible Officer or Officers of the Trustee, unless it shall be proved that the Trustee was grossly negligent in ascertaining the pertinent facts; </w:t>
      </w:r>
    </w:p>
    <w:p>
      <w:pPr>
        <w:pStyle w:val="TextBody"/>
        <w:bidi w:val="0"/>
        <w:spacing w:before="240" w:after="0"/>
        <w:jc w:val="left"/>
        <w:rPr>
          <w:rFonts w:ascii="Times New Roman" w:hAnsi="Times New Roman"/>
          <w:sz w:val="20"/>
        </w:rPr>
      </w:pPr>
      <w:r>
        <w:rPr>
          <w:rFonts w:ascii="Times New Roman" w:hAnsi="Times New Roman"/>
          <w:sz w:val="20"/>
        </w:rPr>
        <w:t xml:space="preserve">(c) 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whether or not therein provided, every provision of this Indenture relating to the conduct or affecting the liability of, or affording protection to, the Trustee shall be subject to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(e) 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(f) 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(g) 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The Note Parties acknowledge that the Trustee is not providing investment supervision, recommendations, or advice regarding any investments. The Trustee shall have no responsibilities (except as expressly set forth herein) as to the validity, sufficiency, value, genuineness, insuring of, ownership or transferability of the Collateral, written instructions, or any other documents in connection therewith, and will not be regarded as making nor be required to make, any representations thereto; </w:t>
      </w:r>
    </w:p>
    <w:p>
      <w:pPr>
        <w:pStyle w:val="TextBody"/>
        <w:bidi w:val="0"/>
        <w:spacing w:before="240" w:after="0"/>
        <w:jc w:val="left"/>
        <w:rPr>
          <w:rFonts w:ascii="Times New Roman" w:hAnsi="Times New Roman"/>
          <w:sz w:val="20"/>
        </w:rPr>
      </w:pPr>
      <w:r>
        <w:rPr>
          <w:rFonts w:ascii="Times New Roman" w:hAnsi="Times New Roman"/>
          <w:sz w:val="20"/>
        </w:rPr>
        <w:t xml:space="preserve">(h) in the event that the Trustee is also acting as Collateral Agent, Custodian, Note Registrar, Paying Agent, or Conversion Agent hereunder, all of the rights, benefits, immunities, indemnities, privileges and protections afforded to the Trustee pursuant to this Indenture shall also be afforded to such Collateral Agent, Custodian, Note Registrar, Paying Agent or Conversion Agent;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only the Trustee, and not any Collateral Agent, Custodian, Note Registrar, Paying Agent or Conversion Agent or any other Person employed to act hereunder, shall be held to a prudent person standard upon the occurrence of and during an Event of Default;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under no circumstances shall the Trustee be liable in its individual capacity for the obligations evidenced by the Notes. </w:t>
      </w:r>
    </w:p>
    <w:p>
      <w:pPr>
        <w:pStyle w:val="TextBody"/>
        <w:bidi w:val="0"/>
        <w:spacing w:before="240" w:after="0"/>
        <w:jc w:val="left"/>
        <w:rPr>
          <w:rFonts w:ascii="Times New Roman" w:hAnsi="Times New Roman"/>
          <w:sz w:val="20"/>
        </w:rPr>
      </w:pPr>
      <w:r>
        <w:rPr>
          <w:rFonts w:ascii="Times New Roman" w:hAnsi="Times New Roman"/>
          <w:sz w:val="20"/>
        </w:rPr>
        <w:t xml:space="preserve">None of the provisions contained in this Indenture shall require the Trustee to expend or risk its own funds or otherwise incur personal financial liability in the performance of any of its duties or in the exercise of any of its rights or powers.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i/>
          <w:sz w:val="20"/>
        </w:rPr>
        <w:t>Reliance on Documents, Opinions, Etc.</w:t>
      </w:r>
      <w:r>
        <w:rPr>
          <w:rFonts w:ascii="Times New Roman" w:hAnsi="Times New Roman"/>
          <w:sz w:val="20"/>
        </w:rPr>
        <w:t xml:space="preserve"> Except as otherwise provided in Section 7.01: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conclusively rely and shall be fully protected in acting upon any resolution, certificate, statement, instrument, opinion, report, notice, request, consent, order, bond, note, coupon or other paper or document (whether in its original or facsimile form) believed by it in good faith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(b) 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consult with counsel of its selection and require an Opinion of Counsel and any written or verbal advice of such counsel or Opinion of Counsel shall be full and complete authorization and protection in respect of any action taken or omitted by it hereunder in good faith and in accordance with such advice or Opinion of Counsel. Before the Trustee acts or refrains from acting, it may require an Officer’s Certificate or an Opinion of Counsel or both. The Trustee shall not be liable for any action it takes or omits to take in good faith in reliance on such Officer’s Certificate or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(d) 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 </w:t>
      </w:r>
    </w:p>
    <w:p>
      <w:pPr>
        <w:pStyle w:val="TextBody"/>
        <w:bidi w:val="0"/>
        <w:spacing w:before="240" w:after="0"/>
        <w:jc w:val="left"/>
        <w:rPr>
          <w:rFonts w:ascii="Times New Roman" w:hAnsi="Times New Roman"/>
          <w:sz w:val="20"/>
        </w:rPr>
      </w:pPr>
      <w:r>
        <w:rPr>
          <w:rFonts w:ascii="Times New Roman" w:hAnsi="Times New Roman"/>
          <w:sz w:val="20"/>
        </w:rPr>
        <w:t xml:space="preserve">(e) 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permissive rights of the Trustee enumerated herein shall not be construed as duties; </w:t>
      </w:r>
    </w:p>
    <w:p>
      <w:pPr>
        <w:pStyle w:val="TextBody"/>
        <w:bidi w:val="0"/>
        <w:spacing w:before="240" w:after="0"/>
        <w:jc w:val="left"/>
        <w:rPr>
          <w:rFonts w:ascii="Times New Roman" w:hAnsi="Times New Roman"/>
          <w:sz w:val="20"/>
        </w:rPr>
      </w:pPr>
      <w:r>
        <w:rPr>
          <w:rFonts w:ascii="Times New Roman" w:hAnsi="Times New Roman"/>
          <w:sz w:val="20"/>
        </w:rPr>
        <w:t xml:space="preserve">(g) the Trustee shall not be required to give any bond or surety in respect of the performance of its powers and duties hereunder; </w:t>
      </w:r>
    </w:p>
    <w:p>
      <w:pPr>
        <w:pStyle w:val="TextBody"/>
        <w:bidi w:val="0"/>
        <w:spacing w:before="240" w:after="0"/>
        <w:jc w:val="left"/>
        <w:rPr>
          <w:rFonts w:ascii="Times New Roman" w:hAnsi="Times New Roman"/>
          <w:sz w:val="20"/>
        </w:rPr>
      </w:pPr>
      <w:r>
        <w:rPr>
          <w:rFonts w:ascii="Times New Roman" w:hAnsi="Times New Roman"/>
          <w:sz w:val="20"/>
        </w:rPr>
        <w:t xml:space="preserve">(h) the Trustee may request that the Company deliver a certificate setting forth the names of individuals and/or titles of officers authorized at such time to take specified actions pursuant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 the Trustee shall not be deemed to have notice or knowledge of any Default or Event of Default (except in the case of a Default or Event of Default in payment of scheduled principal of, premium, if any, or interest on, any Note) unless a Responsible Officer of the Trustee has actual knowledge thereof or unless written notice of any event which is in fact such a Default or Event of Default (and stating the occurrence of a Default or Event of Default) is received by the Trustee at the Corporate Trust Office of the Trustee, and such notice references the Notes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(j) the Trustee shall not be responsible or liable for any action it takes or omits to take in good faith which it reasonably believes to be authorized or within its rights or powers; </w:t>
      </w:r>
    </w:p>
    <w:p>
      <w:pPr>
        <w:pStyle w:val="TextBody"/>
        <w:bidi w:val="0"/>
        <w:spacing w:before="240" w:after="0"/>
        <w:jc w:val="left"/>
        <w:rPr>
          <w:rFonts w:ascii="Times New Roman" w:hAnsi="Times New Roman"/>
          <w:sz w:val="20"/>
        </w:rPr>
      </w:pPr>
      <w:r>
        <w:rPr>
          <w:rFonts w:ascii="Times New Roman" w:hAnsi="Times New Roman"/>
          <w:sz w:val="20"/>
        </w:rPr>
        <w:t xml:space="preserve">(k) the Trustee shall not be responsible or liable for any action taken or omitted by it in good faith at the direction of the Holders of not less than a majority in principal amount of the Notes as to the time, method and place of conducting any proceedings for any remedy available to the Trustee or the exercising of any power conferred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(l) neither the Trustee nor any of its directors, officers, employees, agents or affiliates shall be responsible for nor have any duty to monitor the performance or any action of the Company, or any of their respective directors, members, officers, agents, affiliates or employee, nor shall it have any liability in connection with the malfeasance or nonfeasance by such party. The Trustee shall not be responsible for any inaccuracy in the information obtained from the Company or for any inaccuracy or omission in the records which may result from such information or any failure by the Trustee to perform its duties as set forth herein as a result of any inaccuracy or incompleteness; </w:t>
      </w:r>
    </w:p>
    <w:p>
      <w:pPr>
        <w:pStyle w:val="TextBody"/>
        <w:bidi w:val="0"/>
        <w:spacing w:before="240" w:after="0"/>
        <w:jc w:val="left"/>
        <w:rPr>
          <w:rFonts w:ascii="Times New Roman" w:hAnsi="Times New Roman"/>
          <w:sz w:val="20"/>
        </w:rPr>
      </w:pPr>
      <w:r>
        <w:rPr>
          <w:rFonts w:ascii="Times New Roman" w:hAnsi="Times New Roman"/>
          <w:sz w:val="20"/>
        </w:rPr>
        <w:t xml:space="preserve">(m) in no event shall the Trustee be liable for any consequential, punitive, special or indirect loss or damage of any kind whatsoever (including but not limited to lost profits), even if the Trustee has been advised of the likelihood of such loss or damage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(n) neither the Trustee nor the Collateral Agent shall have any responsibility or liability for any actions taken or not taken by the Depositary or any Conversion Agent or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(o) neither the Trustee nor the Collateral Agent shall be responsible for, nor chargeable with, knowledge of the terms and conditions of any other agreement, instrument, or document other than this Indenture, whether or not an original or a copy of such agreement has been provided to the Trustee or Collateral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neither the Trustee nor the Collateral Agent shall have any duty to know or inquire as to the performance or nonperformance of any provision of any other agreement, instrument, or document other than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(q) in the event that any Collateral shall be attached, garnished or levied upon by any court order, or the delivery thereof shall be stayed or enjoined by an order of a court, or any order, judgment or decree shall be made or entered by any court order affecting the Collateral, the Trustee and Collateral Agent are hereby expressly authorized, in their sole discretion, to respond as they deem appropriate or to comply with all writs, orders or decrees so entered or issued, or which it is advised by legal counsel of its own choosing is binding upon it, whether with or without jurisdiction. In the event that the Trustee or Collateral Agent obeys or complies with any such writ, order or decree it shall not be liable to any of the Parties or to any other person, firm or corporation, should, by reason of such compliance notwithstanding, such writ, order or decree be subsequently reversed, modified, annulled, set aside or vacated; </w:t>
      </w:r>
    </w:p>
    <w:p>
      <w:pPr>
        <w:pStyle w:val="TextBody"/>
        <w:bidi w:val="0"/>
        <w:spacing w:before="240" w:after="0"/>
        <w:jc w:val="left"/>
        <w:rPr>
          <w:rFonts w:ascii="Times New Roman" w:hAnsi="Times New Roman"/>
          <w:sz w:val="20"/>
        </w:rPr>
      </w:pPr>
      <w:r>
        <w:rPr>
          <w:rFonts w:ascii="Times New Roman" w:hAnsi="Times New Roman"/>
          <w:sz w:val="20"/>
        </w:rPr>
        <w:t xml:space="preserve">(r) if any conflict, disagreement or dispute arises between, among, or involving any of the parties hereto concerning the meaning or validity of any provision hereunder or concerning any other matter relating to this Agreement, or the Trustee or Collateral Agent is in doubt as to the action to be taken hereunder, the Trustee and Collateral Agent may, at their option, after sending written notice of the same to Company, refuse to act until such time as it (a) receives a final non-appealable order of a court of competent jurisdiction directing delivery of the Collateral or (b) receives a written instruction, executed by each of the parties involved in such disagreement or dispute, in a form reasonably acceptable to the Trustee and Collateral Agent, directing delivery of the Collateral. The Trustee and Collateral Agent will be entitled to act on any such written instruction or final, non-appealable order of a court of competent jurisdiction without further question, inquiry or consent. The Trustee and Collateral Agent may file an interpleader action in a state or federal court, and upon the filing thereof, the Trustee and Collateral Agent will be relieved of all liability as to the Collateral and will be entitled to recover reasonable and documented out-of-pocket attorneys’ fees, expenses and other costs incurred in commencing and maintaining any such interpleader action; and </w:t>
      </w:r>
    </w:p>
    <w:p>
      <w:pPr>
        <w:pStyle w:val="TextBody"/>
        <w:bidi w:val="0"/>
        <w:spacing w:before="240" w:after="0"/>
        <w:jc w:val="left"/>
        <w:rPr>
          <w:rFonts w:ascii="Times New Roman" w:hAnsi="Times New Roman"/>
          <w:sz w:val="20"/>
        </w:rPr>
      </w:pPr>
      <w:r>
        <w:rPr>
          <w:rFonts w:ascii="Times New Roman" w:hAnsi="Times New Roman"/>
          <w:sz w:val="20"/>
        </w:rPr>
        <w:t xml:space="preserve">(s) subject to Section 7.01, neither the Trustee nor the Collateral Agent nor any of their respective officers, directors, employees, attorneys or agents will be responsible or liable for the existence, genuineness, value, insuring or protection of any Collateral, for the legality, enforceability, effectiveness or sufficiency of the Collateral Documents, for the obtaining or maintaining insurance on any Collateral, for the creation, perfection, priority, sufficiency or protection of any first priority lien, or any defect or deficiency as to any such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i/>
          <w:sz w:val="20"/>
        </w:rPr>
        <w:t>No Responsibility for Recitals, Etc.</w:t>
      </w:r>
      <w:r>
        <w:rPr>
          <w:rFonts w:ascii="Times New Roman" w:hAnsi="Times New Roman"/>
          <w:sz w:val="20"/>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sufficiency or enforceability of this Indenture or of the Notes. The Trustee shall not be accountable for the use or application by the Company of any Notes or the proceeds of any Notes authenticated and delivered by the Trustee in conformity with the provisions of this Indenture or any money paid to the Company or upon the Company’s direction under any provision of this Indenture. The Trustee shall have no responsibility or liability with respect to any information, statement or recital in any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prepared or distributed with respect to the issuance of the Notes. The Trustee shall not be responsible to make any calculation with respect to any matter under this Indenture. The Trustee shall have no duty to monitor or investigate the Company’s, any Holder’s or any other Person’s, other than the Trustee’s, compliance with or breach, performance or observation of, any representation, warranty, covenant, or agreement of any Person, other than the Trustee, made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i/>
          <w:sz w:val="20"/>
        </w:rPr>
        <w:t xml:space="preserve">Trustee, Collateral Agent, Paying Agents, Conversion Agents or Note Registrar May Own Notes. </w:t>
      </w:r>
      <w:r>
        <w:rPr>
          <w:rFonts w:ascii="Times New Roman" w:hAnsi="Times New Roman"/>
          <w:sz w:val="20"/>
        </w:rPr>
        <w:t xml:space="preserve">The Trustee, the Collateral Agent, any Paying Agent, any Conversion Agent or Note Registrar, in its individual or any other capacity, may become the owner or pledgee of Notes with the same rights it would have if it were not the Trustee, Collateral Agent, Paying Agent, Conversion Agent or Note Registrar.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i/>
          <w:sz w:val="20"/>
        </w:rPr>
        <w:t xml:space="preserve">Monies to Be Held in Trust. </w:t>
      </w:r>
      <w:r>
        <w:rPr>
          <w:rFonts w:ascii="Times New Roman" w:hAnsi="Times New Roman"/>
          <w:sz w:val="20"/>
        </w:rPr>
        <w:t xml:space="preserve">All monies received by the Trustee shall, until used or applied as herein provided, be held in trust for the purposes for which they were received. Money held by the Trustee in trust hereunder need not be segregated from other funds or property except to the extent required by law. The Trustee shall be under no liability for interest on any money received by it hereunder except as may be agreed from time to time by the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i/>
          <w:sz w:val="20"/>
        </w:rPr>
        <w:t xml:space="preserve">Compensation and Expenses of Trustee and Collateral Agent. </w:t>
      </w:r>
      <w:r>
        <w:rPr>
          <w:rFonts w:ascii="Times New Roman" w:hAnsi="Times New Roman"/>
          <w:sz w:val="20"/>
        </w:rPr>
        <w:t xml:space="preserve">The Company covenants and agrees to pay to the Trustee and the Collateral Agent, each in any capacity under this Indenture or any other Note Document, from time to time, and the Trustee and the Collateral Agent shall receive such compensation for all services rendered by it hereunder in any capacity (which shall not be limited by any provision of law in regard to the compensation of a trustee of an express trust) as mutually agreed to in writing between the Trustee or the Collateral Agent, as applicable, and the Company, and the Company will pay or reimburse the Trustee and the Collateral Agent upon their respective request for all reasonable expenses, disbursements and advances reasonably incurred or made by the Trustee or the Collateral Agent as applicable,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directly by its gross negligence or willful misconduct as determined by a final, non-appealable decision of a court of competent jurisdiction. The Company and each Person that becomes a Guarantor by execution of a supplemental indenture to this Indenture in accordance with Section 13.07, jointly and severally, covenants to indemnify the Trustee and the Collateral Agent, each in any capacity under this Indenture, any other Note Document and any other document or transaction entered into in connection herewith and its officers, directors, attorneys, employees and agents and any authenticating agent for, and to hold them harmless against, any loss, claim (whether asserted by the Company, a Holder or any other Person), damage, liability or expense (including attorneys’ fees) incurred without gross negligence or willful misconduct on the part of the Trustee, the Collateral Agent, their respective officers, directors, attorneys, agents or employees, or such agent or authenticating agent, as the case may be, as determined by a final, non-appealable decision of a court of competent jurisdiction, and arising out of or in connection with the acceptance or administration of this Indenture or any other Note Document or in any other capacity hereunder, including the costs and expenses of defending themselves against any claim of liability in the premises or the enforcement of this Section 7.06. The obligations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and the Guarantors under this Section 7.06 to compensate or indemnify the Trustee and the Collateral Agent and to pay or reimburse the Trustee and the Collateral Agent for expenses, disbursements and advances shall be secured by a senior lien to which the Notes are hereby made subordinate on the Collateral and all other money or property held or collected by the Trustee, except, subject to the effect of Section 6.05, funds held in trust herewith for the benefit of the Holders of particular Notes, and, for the avoidance of doubt, such lien shall not be extended in a manner that would conflict with the Company’s obligations to its other creditors. The Trustee’s and the Collateral Agent’s right to receive payment of any amounts due under this Section 7.06 shall not be subordinate to any other liability or indebtedness of the Company. The obligation of the Company under this Section 7.06 shall survive the satisfaction and discharge of this Indenture and the other Note Documents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 and the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Without prejudice to any other rights available to the Trustee or the Collateral Agent under applicable law, when the Trustee and the Collateral Agent and their respective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 </w:t>
      </w:r>
    </w:p>
    <w:p>
      <w:pPr>
        <w:pStyle w:val="TextBody"/>
        <w:bidi w:val="0"/>
        <w:spacing w:before="240" w:after="0"/>
        <w:jc w:val="left"/>
        <w:rPr/>
      </w:pPr>
      <w:r>
        <w:rPr/>
        <w:t>“</w:t>
      </w:r>
      <w:r>
        <w:rPr>
          <w:rFonts w:ascii="Times New Roman" w:hAnsi="Times New Roman"/>
          <w:sz w:val="20"/>
        </w:rPr>
        <w:t xml:space="preserve">Trustee” and “Collateral Agent” for purposes of this Section shall include any predecessor Trustee or predecessor Collateral Agent; provided, however, that the negligence, willful misconduct or bad faith of any Trustee or Collateral Agent hereunder shall not affect the rights of any other Trustee or Collateral Agent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i/>
          <w:sz w:val="20"/>
        </w:rPr>
        <w:t>Officer</w:t>
      </w:r>
      <w:r>
        <w:rPr>
          <w:rFonts w:ascii="Times New Roman" w:hAnsi="Times New Roman"/>
          <w:sz w:val="20"/>
        </w:rPr>
        <w:t>’</w:t>
      </w:r>
      <w:r>
        <w:rPr>
          <w:rFonts w:ascii="Times New Roman" w:hAnsi="Times New Roman"/>
          <w:i/>
          <w:sz w:val="20"/>
        </w:rPr>
        <w:t xml:space="preserve">s Certificate and Opinion of Counsel as Evidence. </w:t>
      </w:r>
      <w:r>
        <w:rPr>
          <w:rFonts w:ascii="Times New Roman" w:hAnsi="Times New Roman"/>
          <w:sz w:val="20"/>
        </w:rPr>
        <w:t xml:space="preserve">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or willful misconduct on the part of the Trustee, be deemed to be conclusively proved and established by an Officer’s Certificate and Opinion of Counsel delivered to the Trustee, and such Officer’s Certificate and Opinion of Counsel, in the absence of gross negligence or willful misconduct on the part of the Trustee, shall be full warrant to the Trustee for any action taken or omitted by it under the provisions of this Indenture upon the faith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i/>
          <w:sz w:val="20"/>
        </w:rPr>
        <w:t>Eligibility of Trustee</w:t>
      </w:r>
      <w:r>
        <w:rPr>
          <w:rFonts w:ascii="Times New Roman" w:hAnsi="Times New Roman"/>
          <w:sz w:val="20"/>
        </w:rPr>
        <w:t xml:space="preserve"> </w:t>
      </w:r>
      <w:r>
        <w:rPr>
          <w:rFonts w:ascii="Times New Roman" w:hAnsi="Times New Roman"/>
          <w:i/>
          <w:sz w:val="20"/>
        </w:rPr>
        <w:t>and Collateral Agent.</w:t>
      </w:r>
      <w:r>
        <w:rPr>
          <w:rFonts w:ascii="Times New Roman" w:hAnsi="Times New Roman"/>
          <w:sz w:val="20"/>
        </w:rPr>
        <w:t xml:space="preserve"> There will at all times be a Trustee and a Collateral Agent under this Indenture that is a Person organized and doing business under the laws of the United States of America or of any state thereof, that is authorized under such laws to exercise corporate trustee and collateral agent power, that is subject to supervision or examination by federal or state authorities and that has a combined capital and surplus of at least $100.0 million as set forth in its most recent published annual report of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7.09 </w:t>
      </w:r>
      <w:r>
        <w:rPr>
          <w:rFonts w:ascii="Times New Roman" w:hAnsi="Times New Roman"/>
          <w:i/>
          <w:sz w:val="20"/>
        </w:rPr>
        <w:t>Resignation or Removal of Trustee.</w:t>
      </w:r>
      <w:r>
        <w:rPr>
          <w:rFonts w:ascii="Times New Roman" w:hAnsi="Times New Roman"/>
          <w:sz w:val="20"/>
        </w:rPr>
        <w:t xml:space="preserve"> (a) 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forty five (45) days after the giving of such notice of resignation to the Holders, the resigning Trustee may, upon ten (10) Business Days’ notice to the Company and the Holders and at the expense of the Company, petition any court of competent jurisdiction for the appointment of a successor trustee, or any Holder who has been a bona fide holder of a Note or Notes for at least six (6)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(b) In case at any time any of the following shall occur: </w:t>
      </w:r>
    </w:p>
    <w:p>
      <w:pPr>
        <w:pStyle w:val="TextBody"/>
        <w:bidi w:val="0"/>
        <w:spacing w:before="120" w:after="0"/>
        <w:jc w:val="left"/>
        <w:rPr>
          <w:rFonts w:ascii="Times New Roman" w:hAnsi="Times New Roman"/>
          <w:sz w:val="20"/>
        </w:rPr>
      </w:pPr>
      <w:r>
        <w:rPr>
          <w:rFonts w:ascii="Times New Roman" w:hAnsi="Times New Roman"/>
          <w:sz w:val="20"/>
        </w:rPr>
        <w:t xml:space="preserve">(i) the Trustee shall cease to be eligible and shall fail to resign after written request therefor by the Company or by any such Holder, or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(6) months (or since the date of this Indenture) may, on behalf of himself or herself and all others similarly situated, petition any court of competent jurisdiction at the expense of the Company for the removal of the Trustee and the appointment of a successor trustee. Such court may thereupon, after such notice, if any, as it may deem proper and prescribe, remove the Trustee and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(c) The Holders of a majority in aggregate principal amount of the Notes at the time outstanding, as determined in accordance with Section 8.04, may at any time remove the Trustee and nominate a successor trustee that shall be deemed appointed as successor trustee unless within ten (10)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(d) Any resignation or removal of the Trustee and appointment of a successor trustee pursuant to any of the provisions of this Section 7.09 shall become effective upon acceptance of appointment by the successor trustee as provided in Section 7.10.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7.10 </w:t>
      </w:r>
      <w:r>
        <w:rPr>
          <w:rFonts w:ascii="Times New Roman" w:hAnsi="Times New Roman"/>
          <w:i/>
          <w:sz w:val="20"/>
        </w:rPr>
        <w:t xml:space="preserve">Acceptance by Successor Trustee. </w:t>
      </w:r>
      <w:r>
        <w:rPr>
          <w:rFonts w:ascii="Times New Roman" w:hAnsi="Times New Roman"/>
          <w:sz w:val="20"/>
        </w:rPr>
        <w:t xml:space="preserve">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Section 7.06. </w:t>
      </w:r>
    </w:p>
    <w:p>
      <w:pPr>
        <w:pStyle w:val="TextBody"/>
        <w:bidi w:val="0"/>
        <w:spacing w:before="240" w:after="0"/>
        <w:jc w:val="left"/>
        <w:rPr>
          <w:rFonts w:ascii="Times New Roman" w:hAnsi="Times New Roman"/>
          <w:sz w:val="20"/>
        </w:rPr>
      </w:pPr>
      <w:r>
        <w:rPr>
          <w:rFonts w:ascii="Times New Roman" w:hAnsi="Times New Roman"/>
          <w:sz w:val="20"/>
        </w:rPr>
        <w:t xml:space="preserve">No successor trustee shall accept appointment as provided in this Section 7.10 unless at the time of such acceptance such successor trustee shall be eligible under the provisions of Section 7.08. </w:t>
      </w:r>
    </w:p>
    <w:p>
      <w:pPr>
        <w:pStyle w:val="TextBody"/>
        <w:bidi w:val="0"/>
        <w:spacing w:before="240" w:after="0"/>
        <w:jc w:val="left"/>
        <w:rPr>
          <w:rFonts w:ascii="Times New Roman" w:hAnsi="Times New Roman"/>
          <w:sz w:val="20"/>
        </w:rPr>
      </w:pPr>
      <w:r>
        <w:rPr>
          <w:rFonts w:ascii="Times New Roman" w:hAnsi="Times New Roman"/>
          <w:sz w:val="20"/>
        </w:rPr>
        <w:t xml:space="preserve">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(10) days after acceptance of appointment by the successor trustee, the successor trustee shall cause such notice to be delivered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i/>
          <w:sz w:val="20"/>
        </w:rPr>
        <w:t>Succession by Merger, Etc.</w:t>
      </w:r>
      <w:r>
        <w:rPr>
          <w:rFonts w:ascii="Times New Roman" w:hAnsi="Times New Roman"/>
          <w:sz w:val="20"/>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 w:hAnsi="Times New Roman"/>
          <w:i/>
          <w:sz w:val="20"/>
        </w:rPr>
        <w:t>provided</w:t>
      </w:r>
      <w:r>
        <w:rPr>
          <w:rFonts w:ascii="Times New Roman" w:hAnsi="Times New Roman"/>
          <w:sz w:val="20"/>
        </w:rPr>
        <w:t xml:space="preserve"> that in the case of any corporation or other entity succeeding to all or substantially all of the corporate trust business of the Trustee such corporation or other entity shall be eligible under the provisions of Section 7.08. </w:t>
      </w:r>
    </w:p>
    <w:p>
      <w:pPr>
        <w:pStyle w:val="TextBody"/>
        <w:bidi w:val="0"/>
        <w:spacing w:before="240" w:after="0"/>
        <w:jc w:val="left"/>
        <w:rPr>
          <w:rFonts w:ascii="Times New Roman" w:hAnsi="Times New Roman"/>
          <w:sz w:val="20"/>
        </w:rPr>
      </w:pPr>
      <w:r>
        <w:rPr>
          <w:rFonts w:ascii="Times New Roman" w:hAnsi="Times New Roman"/>
          <w:sz w:val="20"/>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w:t>
      </w:r>
      <w:r>
        <w:rPr>
          <w:rFonts w:ascii="Times New Roman" w:hAnsi="Times New Roman"/>
          <w:i/>
          <w:sz w:val="20"/>
        </w:rPr>
        <w:t>provided</w:t>
      </w:r>
      <w:r>
        <w:rPr>
          <w:rFonts w:ascii="Times New Roman" w:hAnsi="Times New Roman"/>
          <w:sz w:val="20"/>
        </w:rPr>
        <w:t xml:space="preserve"> that the certificate of the Trustee shall have;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right to adopt the certificate of authentication of any predecessor trustee or to authenticate Notes in the name of any predecessor trustee shall apply only to its successor or successors by merger, conversion or consolidation.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7.12 </w:t>
      </w:r>
      <w:r>
        <w:rPr>
          <w:rFonts w:ascii="Times New Roman" w:hAnsi="Times New Roman"/>
          <w:i/>
          <w:sz w:val="20"/>
        </w:rPr>
        <w:t>Trustee</w:t>
      </w:r>
      <w:r>
        <w:rPr>
          <w:rFonts w:ascii="Times New Roman" w:hAnsi="Times New Roman"/>
          <w:sz w:val="20"/>
        </w:rPr>
        <w:t>’</w:t>
      </w:r>
      <w:r>
        <w:rPr>
          <w:rFonts w:ascii="Times New Roman" w:hAnsi="Times New Roman"/>
          <w:i/>
          <w:sz w:val="20"/>
        </w:rPr>
        <w:t xml:space="preserve">s Application for Instructions from the Company. </w:t>
      </w:r>
      <w:r>
        <w:rPr>
          <w:rFonts w:ascii="Times New Roman" w:hAnsi="Times New Roman"/>
          <w:sz w:val="20"/>
        </w:rPr>
        <w:t xml:space="preserve">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(3) Business Days after notice that the Company has been deemed to have been given pursuant to Section 18.03,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i/>
          <w:sz w:val="20"/>
        </w:rPr>
        <w:t>Collateral Agent; Collateral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Wilmington Trust, National Association, is hereby designated and appointed as the Collateral Agent under this Indenture and the other Collateral Documents and Wilmington Trust, National Association, hereby accepts such designation and appointment. </w:t>
      </w:r>
    </w:p>
    <w:p>
      <w:pPr>
        <w:pStyle w:val="TextBody"/>
        <w:bidi w:val="0"/>
        <w:spacing w:before="240" w:after="0"/>
        <w:jc w:val="left"/>
        <w:rPr>
          <w:rFonts w:ascii="Times New Roman" w:hAnsi="Times New Roman"/>
          <w:sz w:val="20"/>
        </w:rPr>
      </w:pPr>
      <w:r>
        <w:rPr>
          <w:rFonts w:ascii="Times New Roman" w:hAnsi="Times New Roman"/>
          <w:sz w:val="20"/>
        </w:rPr>
        <w:t xml:space="preserve">(b) By their acceptance of the Notes, the Holders hereby authorize and direct the Trustee and Collateral Agent, as the case may be, to execute and deliver any Collateral Documents in which the Trustee or the Collateral Agent, as applicable, is named as a party, including any Collateral Documents executed after the date of this Indenture. It is hereby expressly acknowledged and agreed that, in doing so, the Trustee and the Collateral Agent are (a) expressly authorized to make the representations attributed to the Holders in any such agreements and (b) not responsible for the terms or contents of such agreements, or for the validity or enforceability thereof, or the sufficiency thereof for any purpose; </w:t>
      </w:r>
      <w:r>
        <w:rPr>
          <w:rFonts w:ascii="Times New Roman" w:hAnsi="Times New Roman"/>
          <w:i/>
          <w:sz w:val="20"/>
        </w:rPr>
        <w:t>provided</w:t>
      </w:r>
      <w:r>
        <w:rPr>
          <w:rFonts w:ascii="Times New Roman" w:hAnsi="Times New Roman"/>
          <w:sz w:val="20"/>
        </w:rPr>
        <w:t xml:space="preserve"> that nothing in this sentence shall be construed to relieve the Trustee or the Collateral Agent from liability for its own grossly negligent action, its own grossly negligent failure to act or its own willful misconduct, as determined by a final, non-appealable decision of a court of competent jurisdiction. Whether or not so expressly stated therein, in entering into, or taking (or forbearing from) any action under, any Collateral Documents, the Trustee and the Collateral Agent each shall have all of the rights, immunities, indemnities and other protections granted to it under this Indenture (in addition to those that may be granted to it under the terms of such other agreement or agreements). The Collateral Agent shall have all rights, privileges and immunities as are granted to the Trustee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i/>
          <w:sz w:val="20"/>
        </w:rPr>
        <w:t>Replacement of Collateral Agent</w:t>
      </w:r>
      <w:r>
        <w:rPr>
          <w:rFonts w:ascii="Times New Roman" w:hAnsi="Times New Roman"/>
          <w:sz w:val="20"/>
        </w:rPr>
        <w:t xml:space="preserve">. The Collateral Agent may resign, be removed and be replaced in accordance with Section 7.09 as though references to the Trustee therein were references to the Collateral Agent. Any successor collateral agent appointed as provided in this section shall execute, acknowledge and deliver to the Company and to its predecessor collateral agent an instrument accepting such appointment hereunder, and thereupon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resignation or removal of the predecessor collateral agent shall become effective and such successor collateral agent, without any further act, deed or conveyance, shall become vested with all the rights, powers, duties and obligations of its predecessor hereunder, with like effect as if originally named as Collateral Agent herein; but, nevertheless, on the written request of the Company or of the successor collateral agent, the collateral agent ceasing to act shall, at the expense of the Company and subject to payment of any amounts then due pursuant to the provisions of Section 7.06, execute and deliver an instrument transferring to such successor collateral agent all the rights and powers of the trustee so ceasing to act. Upon request of any such collateral agent, the Company shall execute any and all instruments in writing for more fully and certainly vesting in and confirming to such successor collateral agent all such rights and powers. Any collateral agent ceasing to act shall, nevertheless, retain a senior lien to which the Notes are hereby made subordinate on all money or property held or collected by such collateral agent as such, except for funds held in trust for the benefit of Holders of particular Notes, to secure any amounts then due it pursuant to the provisions of Section 7.06. No successor collateral agent shall accept appointment unless at the time of such acceptance, such successor collateral agent shall be eligible. Upon acceptance of appointment by a successor collateral agent, each of the Company and the successor collateral agent, at the written direction and at the expense of the Company, shall give or cause to be given notice of the succession of such collateral agent hereunder to the Holders in accordance with Section 18.03. If the Company fails to give such notice within ten (10) days after acceptance of appointment by the successor collateral agent, the successor collateral agent shall cause such notice to be given at the expense of the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8. </w:t>
      </w:r>
    </w:p>
    <w:p>
      <w:pPr>
        <w:pStyle w:val="TextBody"/>
        <w:bidi w:val="0"/>
        <w:spacing w:before="0" w:after="0"/>
        <w:jc w:val="center"/>
        <w:rPr>
          <w:rFonts w:ascii="Times New Roman" w:hAnsi="Times New Roman"/>
          <w:sz w:val="20"/>
        </w:rPr>
      </w:pPr>
      <w:r>
        <w:rPr>
          <w:rFonts w:ascii="Times New Roman" w:hAnsi="Times New Roman"/>
          <w:sz w:val="20"/>
        </w:rPr>
        <w:t xml:space="preserve">CONCERNING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i/>
          <w:sz w:val="20"/>
        </w:rPr>
        <w:t xml:space="preserve">Action by Holders. </w:t>
      </w:r>
      <w:r>
        <w:rPr>
          <w:rFonts w:ascii="Times New Roman" w:hAnsi="Times New Roman"/>
          <w:sz w:val="20"/>
        </w:rPr>
        <w:t xml:space="preserve">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fix, but shall not be required to, in advance of such solicitation, a date as the record date for determining Holders entitled to take such action. The record date if one is selected shall be not more than fifteen (15) days prior to the date of commencement of solicitation of such action.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i/>
          <w:sz w:val="20"/>
        </w:rPr>
        <w:t xml:space="preserve">Proof of Execution by Holders. </w:t>
      </w:r>
      <w:r>
        <w:rPr>
          <w:rFonts w:ascii="Times New Roman" w:hAnsi="Times New Roman"/>
          <w:sz w:val="20"/>
        </w:rPr>
        <w:t xml:space="preserve">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8.03 </w:t>
      </w:r>
      <w:r>
        <w:rPr>
          <w:rFonts w:ascii="Times New Roman" w:hAnsi="Times New Roman"/>
          <w:i/>
          <w:sz w:val="20"/>
        </w:rPr>
        <w:t xml:space="preserve">Who Are Deemed Absolute Owners. </w:t>
      </w:r>
      <w:r>
        <w:rPr>
          <w:rFonts w:ascii="Times New Roman" w:hAnsi="Times New Roman"/>
          <w:sz w:val="20"/>
        </w:rPr>
        <w:t xml:space="preserve">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Fundamental Change Repurchase Price) of and (subject to Section 2.03) accrued and unpaid interest on such Note, for conversion of such Note and for all other purposes under this Indenture; and neither the Company nor the Trustee nor any Paying Agent nor any Conversion Agent nor any Note Registrar shall be affected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owner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i/>
          <w:sz w:val="20"/>
        </w:rPr>
        <w:t xml:space="preserve">Company-Owned Notes Disregarded. </w:t>
      </w:r>
      <w:r>
        <w:rPr>
          <w:rFonts w:ascii="Times New Roman" w:hAnsi="Times New Roman"/>
          <w:sz w:val="20"/>
        </w:rPr>
        <w:t xml:space="preserve">In determining whether the Holders of the requisite aggregate principal amount of Notes have concurred in any direction, consent, waiver or other action under this Indenture, Notes that are owned by the Company or by any Affiliate or Subsidiary thereof shall be disregarded and deemed not to be outstanding for the purpose of any such determination; </w:t>
      </w:r>
      <w:r>
        <w:rPr>
          <w:rFonts w:ascii="Times New Roman" w:hAnsi="Times New Roman"/>
          <w:i/>
          <w:sz w:val="20"/>
        </w:rPr>
        <w:t>provided</w:t>
      </w:r>
      <w:r>
        <w:rPr>
          <w:rFonts w:ascii="Times New Roman" w:hAnsi="Times New Roman"/>
          <w:sz w:val="20"/>
        </w:rPr>
        <w:t xml:space="preserve">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or an Affiliate or Subsidiary thereof. In the case of a dispute as to such right, any decision or indecision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i/>
          <w:sz w:val="20"/>
        </w:rPr>
        <w:t xml:space="preserve">Revocation of Consents; Future Holders Bound. </w:t>
      </w:r>
      <w:r>
        <w:rPr>
          <w:rFonts w:ascii="Times New Roman" w:hAnsi="Times New Roman"/>
          <w:sz w:val="20"/>
        </w:rPr>
        <w:t xml:space="preserve">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 </w:t>
      </w:r>
    </w:p>
    <w:p>
      <w:pPr>
        <w:pStyle w:val="TextBody"/>
        <w:bidi w:val="0"/>
        <w:spacing w:before="480" w:after="0"/>
        <w:jc w:val="center"/>
        <w:rPr>
          <w:rFonts w:ascii="Times New Roman" w:hAnsi="Times New Roman"/>
          <w:sz w:val="20"/>
        </w:rPr>
      </w:pPr>
      <w:r>
        <w:rPr>
          <w:rFonts w:ascii="Times New Roman" w:hAnsi="Times New Roman"/>
          <w:sz w:val="20"/>
        </w:rPr>
        <w:t xml:space="preserve">Article 9. </w:t>
      </w:r>
    </w:p>
    <w:p>
      <w:pPr>
        <w:pStyle w:val="TextBody"/>
        <w:bidi w:val="0"/>
        <w:spacing w:before="0" w:after="0"/>
        <w:jc w:val="center"/>
        <w:rPr>
          <w:rFonts w:ascii="Times New Roman" w:hAnsi="Times New Roman"/>
          <w:sz w:val="20"/>
        </w:rPr>
      </w:pPr>
      <w:r>
        <w:rPr>
          <w:rFonts w:ascii="Times New Roman" w:hAnsi="Times New Roman"/>
          <w:sz w:val="20"/>
        </w:rPr>
        <w:t xml:space="preserve">HOLDERS’ MEETINGS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i/>
          <w:sz w:val="20"/>
        </w:rPr>
        <w:t xml:space="preserve">Purpose of Meetings. </w:t>
      </w:r>
      <w:r>
        <w:rPr>
          <w:rFonts w:ascii="Times New Roman" w:hAnsi="Times New Roman"/>
          <w:sz w:val="20"/>
        </w:rPr>
        <w:t xml:space="preserve">A meeting of Holders may be called at any time and from time to time pursuant to the provisions of this Article 9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(a) to give any notice to the Company or to the Trustee or the Collateral Agent or to give any directions to the Trustee or the Collateral Agent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 </w:t>
      </w:r>
    </w:p>
    <w:p>
      <w:pPr>
        <w:pStyle w:val="TextBody"/>
        <w:bidi w:val="0"/>
        <w:spacing w:before="240" w:after="0"/>
        <w:jc w:val="left"/>
        <w:rPr>
          <w:rFonts w:ascii="Times New Roman" w:hAnsi="Times New Roman"/>
          <w:sz w:val="20"/>
        </w:rPr>
      </w:pPr>
      <w:r>
        <w:rPr>
          <w:rFonts w:ascii="Times New Roman" w:hAnsi="Times New Roman"/>
          <w:sz w:val="20"/>
        </w:rPr>
        <w:t xml:space="preserve">(b) to remove the Trustee or the Collateral Agent and nominate a successor trustee or collateral agent pursuant to the provisions of Article 7; </w:t>
      </w:r>
    </w:p>
    <w:p>
      <w:pPr>
        <w:pStyle w:val="TextBody"/>
        <w:bidi w:val="0"/>
        <w:spacing w:before="240" w:after="0"/>
        <w:jc w:val="left"/>
        <w:rPr>
          <w:rFonts w:ascii="Times New Roman" w:hAnsi="Times New Roman"/>
          <w:sz w:val="20"/>
        </w:rPr>
      </w:pPr>
      <w:r>
        <w:rPr>
          <w:rFonts w:ascii="Times New Roman" w:hAnsi="Times New Roman"/>
          <w:sz w:val="20"/>
        </w:rPr>
        <w:t xml:space="preserve">(c) to consent to the execution of an indenture or indentures supplemental hereto pursuant to the provisions of Section 10.02; or </w:t>
      </w:r>
    </w:p>
    <w:p>
      <w:pPr>
        <w:pStyle w:val="TextBody"/>
        <w:bidi w:val="0"/>
        <w:spacing w:before="240" w:after="0"/>
        <w:jc w:val="left"/>
        <w:rPr>
          <w:rFonts w:ascii="Times New Roman" w:hAnsi="Times New Roman"/>
          <w:sz w:val="20"/>
        </w:rPr>
      </w:pPr>
      <w:r>
        <w:rPr>
          <w:rFonts w:ascii="Times New Roman" w:hAnsi="Times New Roman"/>
          <w:sz w:val="20"/>
        </w:rPr>
        <w:t xml:space="preserve">(d) to take any other action authorized to be taken by or on behalf of the Holders of any specified aggregate principal amount of the Notes under any other provision of this Indenture or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i/>
          <w:sz w:val="20"/>
        </w:rPr>
        <w:t xml:space="preserve">Call of Meetings by Trustee. </w:t>
      </w:r>
      <w:r>
        <w:rPr>
          <w:rFonts w:ascii="Times New Roman" w:hAnsi="Times New Roman"/>
          <w:sz w:val="20"/>
        </w:rPr>
        <w:t xml:space="preserve">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 </w:t>
      </w:r>
    </w:p>
    <w:p>
      <w:pPr>
        <w:pStyle w:val="TextBody"/>
        <w:bidi w:val="0"/>
        <w:spacing w:before="240" w:after="0"/>
        <w:jc w:val="left"/>
        <w:rPr>
          <w:rFonts w:ascii="Times New Roman" w:hAnsi="Times New Roman"/>
          <w:sz w:val="20"/>
        </w:rPr>
      </w:pPr>
      <w:r>
        <w:rPr>
          <w:rFonts w:ascii="Times New Roman" w:hAnsi="Times New Roman"/>
          <w:sz w:val="20"/>
        </w:rPr>
        <w:t xml:space="preserve">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i/>
          <w:sz w:val="20"/>
        </w:rPr>
        <w:t xml:space="preserve">Call of Meetings by Company or Holders. </w:t>
      </w:r>
      <w:r>
        <w:rPr>
          <w:rFonts w:ascii="Times New Roman" w:hAnsi="Times New Roman"/>
          <w:sz w:val="20"/>
        </w:rPr>
        <w:t xml:space="preserve">In case at any time the Company, pursuant to a Board Resolution or the Holders of at least 10% of the aggregate principal amount of Notes then outstanding, shall have requested the Trustee to call a meeting of Holders, by written request setting forth in reasonable detail the action proposed to be taken at the meeting, and the Trustee shall not have delivered the notice of such meeting within twenty (20) days after receipt of such request, then the Company or such Holders may determine the time and the place for such meeting and may call such meeting to take any action authorized in Section 9.01, by delivering notice thereof as provided in Section 9.02.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9.04 </w:t>
      </w:r>
      <w:r>
        <w:rPr>
          <w:rFonts w:ascii="Times New Roman" w:hAnsi="Times New Roman"/>
          <w:i/>
          <w:sz w:val="20"/>
        </w:rPr>
        <w:t xml:space="preserve">Qualifications for Voting. </w:t>
      </w:r>
      <w:r>
        <w:rPr>
          <w:rFonts w:ascii="Times New Roman" w:hAnsi="Times New Roman"/>
          <w:sz w:val="20"/>
        </w:rPr>
        <w:t xml:space="preserve">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i/>
          <w:sz w:val="20"/>
        </w:rPr>
        <w:t xml:space="preserve">Regulations. </w:t>
      </w:r>
      <w:r>
        <w:rPr>
          <w:rFonts w:ascii="Times New Roman" w:hAnsi="Times New Roman"/>
          <w:sz w:val="20"/>
        </w:rPr>
        <w:t xml:space="preserve">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8.04, at any meeting of Holders each Holder or proxyholder shall be entitled to one vote for each $1.00 principal amount of Notes held or represented by him or her;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i/>
          <w:sz w:val="20"/>
        </w:rPr>
        <w:t xml:space="preserve">Voting. </w:t>
      </w:r>
      <w:r>
        <w:rPr>
          <w:rFonts w:ascii="Times New Roman" w:hAnsi="Times New Roman"/>
          <w:sz w:val="20"/>
        </w:rPr>
        <w:t xml:space="preserve">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record so signed and verified shall be conclusive evidence of the matters therein stated.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i/>
          <w:sz w:val="20"/>
        </w:rPr>
        <w:t xml:space="preserve">No Delay of Rights by Meeting. </w:t>
      </w:r>
      <w:r>
        <w:rPr>
          <w:rFonts w:ascii="Times New Roman" w:hAnsi="Times New Roman"/>
          <w:sz w:val="20"/>
        </w:rPr>
        <w:t xml:space="preserve">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 Nothing contained in this Article 9 shall be deemed or construed to limit any Holder’s actions pursuant to the applicable procedures of the Depositary so long as the Notes are Global Notes. </w:t>
      </w:r>
    </w:p>
    <w:p>
      <w:pPr>
        <w:pStyle w:val="TextBody"/>
        <w:bidi w:val="0"/>
        <w:spacing w:before="480" w:after="0"/>
        <w:jc w:val="center"/>
        <w:rPr>
          <w:rFonts w:ascii="Times New Roman" w:hAnsi="Times New Roman"/>
          <w:sz w:val="20"/>
        </w:rPr>
      </w:pPr>
      <w:r>
        <w:rPr>
          <w:rFonts w:ascii="Times New Roman" w:hAnsi="Times New Roman"/>
          <w:sz w:val="20"/>
        </w:rPr>
        <w:t xml:space="preserve">Article 10. </w:t>
      </w:r>
    </w:p>
    <w:p>
      <w:pPr>
        <w:pStyle w:val="TextBody"/>
        <w:bidi w:val="0"/>
        <w:spacing w:before="0" w:after="0"/>
        <w:jc w:val="center"/>
        <w:rPr>
          <w:rFonts w:ascii="Times New Roman" w:hAnsi="Times New Roman"/>
          <w:sz w:val="20"/>
        </w:rPr>
      </w:pPr>
      <w:r>
        <w:rPr>
          <w:rFonts w:ascii="Times New Roman" w:hAnsi="Times New Roman"/>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i/>
          <w:sz w:val="20"/>
        </w:rPr>
        <w:t xml:space="preserve">Supplemental Indentures Without Consent of Holders. </w:t>
      </w:r>
      <w:r>
        <w:rPr>
          <w:rFonts w:ascii="Times New Roman" w:hAnsi="Times New Roman"/>
          <w:sz w:val="20"/>
        </w:rPr>
        <w:t xml:space="preserve">Without the consent of any Holder of the Notes, the Company, the Guarantors, the Trustee and the Collateral Agent, as applicable, at the Company’s expense, may from time to time and at any time enter into an indenture or indentures supplemental hereto or amend or supplement any of the other Note Documents for one or more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(a) cure any ambiguity, omission, mistake, defect or inconsistency; </w:t>
      </w:r>
    </w:p>
    <w:p>
      <w:pPr>
        <w:pStyle w:val="TextBody"/>
        <w:bidi w:val="0"/>
        <w:spacing w:before="240" w:after="0"/>
        <w:jc w:val="left"/>
        <w:rPr>
          <w:rFonts w:ascii="Times New Roman" w:hAnsi="Times New Roman"/>
          <w:sz w:val="20"/>
        </w:rPr>
      </w:pPr>
      <w:r>
        <w:rPr>
          <w:rFonts w:ascii="Times New Roman" w:hAnsi="Times New Roman"/>
          <w:sz w:val="20"/>
        </w:rPr>
        <w:t xml:space="preserve">(b) provide for the assumption by a successor corporation of the Company’s obligations under this Indenture or a Successor Guarantor of a Guarantor’s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(c) add guarantees with respect to the Notes or release a Guarantor from its obligations under its Note Guarantee or this Indenture, in each case, in accordance with the applicable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add to the Company’s covenants or Events of Default for the benefit of the Holders or surrender any right or power conferred upon the Company; </w:t>
      </w:r>
    </w:p>
    <w:p>
      <w:pPr>
        <w:pStyle w:val="TextBody"/>
        <w:bidi w:val="0"/>
        <w:spacing w:before="240" w:after="0"/>
        <w:jc w:val="left"/>
        <w:rPr>
          <w:rFonts w:ascii="Times New Roman" w:hAnsi="Times New Roman"/>
          <w:sz w:val="20"/>
        </w:rPr>
      </w:pPr>
      <w:r>
        <w:rPr>
          <w:rFonts w:ascii="Times New Roman" w:hAnsi="Times New Roman"/>
          <w:sz w:val="20"/>
        </w:rPr>
        <w:t xml:space="preserve">(e) make any change that does not adversely affect the rights of any Holder in a material respect, as determined by the Company in good faith; </w:t>
      </w:r>
    </w:p>
    <w:p>
      <w:pPr>
        <w:pStyle w:val="TextBody"/>
        <w:bidi w:val="0"/>
        <w:spacing w:before="240" w:after="0"/>
        <w:jc w:val="left"/>
        <w:rPr>
          <w:rFonts w:ascii="Times New Roman" w:hAnsi="Times New Roman"/>
          <w:sz w:val="20"/>
        </w:rPr>
      </w:pPr>
      <w:r>
        <w:rPr>
          <w:rFonts w:ascii="Times New Roman" w:hAnsi="Times New Roman"/>
          <w:sz w:val="20"/>
        </w:rPr>
        <w:t xml:space="preserve">(f) increase the Conversion Rate as provided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(g) (i) provide for the acceptance of appointment by a successor Trustee or facilitate the administration of the trusts under this Indenture by more than one trustee or (ii) provide for the acceptance of an appointment under this Indenture of a successor Collateral Agent; </w:t>
      </w:r>
      <w:r>
        <w:rPr>
          <w:rFonts w:ascii="Times New Roman" w:hAnsi="Times New Roman"/>
          <w:i/>
          <w:sz w:val="20"/>
        </w:rPr>
        <w:t>provided</w:t>
      </w:r>
      <w:r>
        <w:rPr>
          <w:rFonts w:ascii="Times New Roman" w:hAnsi="Times New Roman"/>
          <w:sz w:val="20"/>
        </w:rPr>
        <w:t xml:space="preserve"> that, in each case, such successor is otherwise qualified and eligible to act as such under the terms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irrevocably elect a Settlement Method or a Specified Dollar Amount, or eliminate the Company’s right to elect one or more particular Settlement Methods (including, for the avoidance of doubt, eliminating Combination Settlement with a particular Specified Dollar Amount or range of Specified Dollar Amounts) as permitted by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no such election or elimination will affect any Settlement Method theretofore elected (or deemed to be elected) with respect to any note pursuant to the provisions described in Section 14.02; </w:t>
      </w:r>
    </w:p>
    <w:p>
      <w:pPr>
        <w:pStyle w:val="TextBody"/>
        <w:bidi w:val="0"/>
        <w:spacing w:before="240" w:after="0"/>
        <w:jc w:val="left"/>
        <w:rPr>
          <w:rFonts w:ascii="Times New Roman" w:hAnsi="Times New Roman"/>
          <w:sz w:val="20"/>
        </w:rPr>
      </w:pPr>
      <w:r>
        <w:rPr>
          <w:rFonts w:ascii="Times New Roman" w:hAnsi="Times New Roman"/>
          <w:sz w:val="20"/>
        </w:rPr>
        <w:t xml:space="preserve">(i) in connection with any Common Stock Change Event described in Section 14.08, </w:t>
      </w:r>
      <w:r>
        <w:rPr>
          <w:rFonts w:ascii="Times New Roman" w:hAnsi="Times New Roman"/>
          <w:i/>
          <w:sz w:val="20"/>
        </w:rPr>
        <w:t xml:space="preserve">provided </w:t>
      </w:r>
      <w:r>
        <w:rPr>
          <w:rFonts w:ascii="Times New Roman" w:hAnsi="Times New Roman"/>
          <w:sz w:val="20"/>
        </w:rPr>
        <w:t xml:space="preserve">that the Notes are convertible in the manner described therein, make certain related changes to the terms of the Notes to the extent expressly required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(j) comply with the rules of DTC or any other applicable depositary, so long as such amendment does not materially and adversely affect the rights of any Holder of Notes; </w:t>
      </w:r>
    </w:p>
    <w:p>
      <w:pPr>
        <w:pStyle w:val="TextBody"/>
        <w:bidi w:val="0"/>
        <w:spacing w:before="240" w:after="0"/>
        <w:jc w:val="left"/>
        <w:rPr>
          <w:rFonts w:ascii="Times New Roman" w:hAnsi="Times New Roman"/>
          <w:sz w:val="20"/>
        </w:rPr>
      </w:pPr>
      <w:r>
        <w:rPr>
          <w:rFonts w:ascii="Times New Roman" w:hAnsi="Times New Roman"/>
          <w:sz w:val="20"/>
        </w:rPr>
        <w:t xml:space="preserve">(k) conform the provisions of this Indenture, the Notes and the Note Guarantees to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(l) add additional assets as Collateral to secure the Notes and the Note Guarantees; </w:t>
      </w:r>
    </w:p>
    <w:p>
      <w:pPr>
        <w:pStyle w:val="TextBody"/>
        <w:bidi w:val="0"/>
        <w:spacing w:before="240" w:after="0"/>
        <w:jc w:val="left"/>
        <w:rPr>
          <w:rFonts w:ascii="Times New Roman" w:hAnsi="Times New Roman"/>
          <w:sz w:val="20"/>
        </w:rPr>
      </w:pPr>
      <w:r>
        <w:rPr>
          <w:rFonts w:ascii="Times New Roman" w:hAnsi="Times New Roman"/>
          <w:sz w:val="20"/>
        </w:rPr>
        <w:t xml:space="preserve">(m) release Collateral from any Liens securing the Notes and the Note Guarantees, in each case when permitted, required or automatically effected by this Indenture, the Collateral Documents or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(n) modify this Indenture, the Collateral Documents and/or the Intercreditor Agreement to secure additional extensions of credit and add additional secured creditors holding Obligations permitted pursuant to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(o) subordinate the Liens securing creditors of other Obligations to the Liens on the Collateral securing the Notes and the Note Guarantees; </w:t>
      </w:r>
    </w:p>
    <w:p>
      <w:pPr>
        <w:pStyle w:val="TextBody"/>
        <w:bidi w:val="0"/>
        <w:spacing w:before="240" w:after="0"/>
        <w:jc w:val="left"/>
        <w:rPr>
          <w:rFonts w:ascii="Times New Roman" w:hAnsi="Times New Roman"/>
          <w:sz w:val="20"/>
        </w:rPr>
      </w:pPr>
      <w:r>
        <w:rPr>
          <w:rFonts w:ascii="Times New Roman" w:hAnsi="Times New Roman"/>
          <w:sz w:val="20"/>
        </w:rPr>
        <w:t xml:space="preserve">(p) provide for the succession of any parties to any of the Second Lien Collateral Documents (and other amendments that are administrative or ministerial in nature) and the intercreditor agreement in connection with an amendment, renewal, substitution, refinancing, restructuring, replacement, supplementing or other modification from time to time of the Loan Agreement or any other agreement that is not prohibited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(q) amend the Intercreditor Agreement in accordance with its terms or the terms of the Collateral Documents; or </w:t>
      </w:r>
    </w:p>
    <w:p>
      <w:pPr>
        <w:pStyle w:val="TextBody"/>
        <w:bidi w:val="0"/>
        <w:spacing w:before="240" w:after="0"/>
        <w:jc w:val="left"/>
        <w:rPr>
          <w:rFonts w:ascii="Times New Roman" w:hAnsi="Times New Roman"/>
          <w:sz w:val="20"/>
        </w:rPr>
      </w:pPr>
      <w:r>
        <w:rPr>
          <w:rFonts w:ascii="Times New Roman" w:hAnsi="Times New Roman"/>
          <w:sz w:val="20"/>
        </w:rPr>
        <w:t xml:space="preserve">(r) enter into any intercreditor agreement having substantially similar terms with respect to the holders set forth in the Collateral Documents, taken as a whole, or any joinder thereto. </w:t>
      </w:r>
    </w:p>
    <w:p>
      <w:pPr>
        <w:pStyle w:val="TextBody"/>
        <w:bidi w:val="0"/>
        <w:spacing w:before="240" w:after="0"/>
        <w:jc w:val="left"/>
        <w:rPr>
          <w:rFonts w:ascii="Times New Roman" w:hAnsi="Times New Roman"/>
          <w:sz w:val="20"/>
        </w:rPr>
      </w:pPr>
      <w:r>
        <w:rPr>
          <w:rFonts w:ascii="Times New Roman" w:hAnsi="Times New Roman"/>
          <w:sz w:val="20"/>
        </w:rPr>
        <w:t xml:space="preserve">Upon the written request of the Company, the Trustee and the Collateral Agent are hereby authorized to, and shall join with the Company in the execution of any such supplemental indenture, amendment or supplement, and to make any further appropriate agreements and stipulations that may be therein contained, except that the Trustee and Collateral Agent shall not be obligated to, but may in their respective discretion, enter into any such supplemental indenture, amendment or supplement that affects the Trustee or Collateral Agent’s own rights, duties, liabilities or immunities under this Indenture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supplemental indenture, amendment or supplement authorized by the provisions of this Section 10.01 may be executed by the Company, the Guarantors, the Collateral Agent and the Trustee, as applicable, without the consent of the Holders of any of the Notes at the time outstanding, notwithstanding any of the provisions of Section 10.02.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i/>
          <w:sz w:val="20"/>
        </w:rPr>
        <w:t xml:space="preserve">Supplemental Indentures with Consent of Holders. </w:t>
      </w:r>
      <w:r>
        <w:rPr>
          <w:rFonts w:ascii="Times New Roman" w:hAnsi="Times New Roman"/>
          <w:sz w:val="20"/>
        </w:rPr>
        <w:t xml:space="preserve">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the Notes), the Company, the Guarantors, the Trustee and the Collateral Agent, at the Company’s expense, may from time to time and at any time enter into an indenture or indentures supplemental hereto or amend or supplement any of the other Note Documents for the purpose of adding any provisions to or changing in any manner or eliminating any of the provisions of this Indenture, the Notes, any supplemental indenture or any of the other Note Documents or of modifying in any manner the rights of the 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without the consent of each Holder of an outstanding Note affected, no such supplemental indenture or amendment or supplement to any of the other Note Documents shall: </w:t>
      </w:r>
    </w:p>
    <w:p>
      <w:pPr>
        <w:pStyle w:val="TextBody"/>
        <w:bidi w:val="0"/>
        <w:spacing w:before="120" w:after="0"/>
        <w:jc w:val="left"/>
        <w:rPr>
          <w:rFonts w:ascii="Times New Roman" w:hAnsi="Times New Roman"/>
          <w:sz w:val="20"/>
        </w:rPr>
      </w:pPr>
      <w:r>
        <w:rPr>
          <w:rFonts w:ascii="Times New Roman" w:hAnsi="Times New Roman"/>
          <w:sz w:val="20"/>
        </w:rPr>
        <w:t xml:space="preserve">(a) reduce the amount of Notes whose Holders must consent to an amendment, including the waiver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(b) reduce the rate of or change or have the effect of changing the stated time for payment of interest on any Note; </w:t>
      </w:r>
    </w:p>
    <w:p>
      <w:pPr>
        <w:pStyle w:val="TextBody"/>
        <w:bidi w:val="0"/>
        <w:spacing w:before="240" w:after="0"/>
        <w:jc w:val="left"/>
        <w:rPr>
          <w:rFonts w:ascii="Times New Roman" w:hAnsi="Times New Roman"/>
          <w:sz w:val="20"/>
        </w:rPr>
      </w:pPr>
      <w:r>
        <w:rPr>
          <w:rFonts w:ascii="Times New Roman" w:hAnsi="Times New Roman"/>
          <w:sz w:val="20"/>
        </w:rPr>
        <w:t xml:space="preserve">(c) reduce the principal of or extend or have the effect of extending the stated maturity of any Note; </w:t>
      </w:r>
    </w:p>
    <w:p>
      <w:pPr>
        <w:pStyle w:val="TextBody"/>
        <w:bidi w:val="0"/>
        <w:spacing w:before="240" w:after="0"/>
        <w:jc w:val="left"/>
        <w:rPr>
          <w:rFonts w:ascii="Times New Roman" w:hAnsi="Times New Roman"/>
          <w:sz w:val="20"/>
        </w:rPr>
      </w:pPr>
      <w:r>
        <w:rPr>
          <w:rFonts w:ascii="Times New Roman" w:hAnsi="Times New Roman"/>
          <w:sz w:val="20"/>
        </w:rPr>
        <w:t xml:space="preserve">(d) make any change that adversely affects the conversion rights of any Notes; </w:t>
      </w:r>
    </w:p>
    <w:p>
      <w:pPr>
        <w:pStyle w:val="TextBody"/>
        <w:bidi w:val="0"/>
        <w:spacing w:before="240" w:after="0"/>
        <w:jc w:val="left"/>
        <w:rPr>
          <w:rFonts w:ascii="Times New Roman" w:hAnsi="Times New Roman"/>
          <w:sz w:val="20"/>
        </w:rPr>
      </w:pPr>
      <w:r>
        <w:rPr>
          <w:rFonts w:ascii="Times New Roman" w:hAnsi="Times New Roman"/>
          <w:sz w:val="20"/>
        </w:rPr>
        <w:t xml:space="preserve">(e) reduce the Optional Redemption price or the Fundamental Change Repurchase Price of any Note or amend or modify in any manner adverse to the Holders of Notes the Company’s obligation to make such payments, whether through an amendment or waiver of provisions in the covenants, definitions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(f) make any Note payable in money, or at a place of payment, other than that stated in the Note; </w:t>
      </w:r>
    </w:p>
    <w:p>
      <w:pPr>
        <w:pStyle w:val="TextBody"/>
        <w:bidi w:val="0"/>
        <w:spacing w:before="240" w:after="0"/>
        <w:jc w:val="left"/>
        <w:rPr>
          <w:rFonts w:ascii="Times New Roman" w:hAnsi="Times New Roman"/>
          <w:sz w:val="20"/>
        </w:rPr>
      </w:pPr>
      <w:r>
        <w:rPr>
          <w:rFonts w:ascii="Times New Roman" w:hAnsi="Times New Roman"/>
          <w:sz w:val="20"/>
        </w:rPr>
        <w:t xml:space="preserve">(g) modify or change any provision that has the effect of permitting (to the extent not otherwise permitted by the terms of this Indenture) the incurrence of additional Indebtedness in the form of Additional Notes for the purpose of influencing voting thresholds; </w:t>
      </w:r>
    </w:p>
    <w:p>
      <w:pPr>
        <w:pStyle w:val="TextBody"/>
        <w:bidi w:val="0"/>
        <w:spacing w:before="240" w:after="0"/>
        <w:jc w:val="left"/>
        <w:rPr>
          <w:rFonts w:ascii="Times New Roman" w:hAnsi="Times New Roman"/>
          <w:sz w:val="20"/>
        </w:rPr>
      </w:pPr>
      <w:r>
        <w:rPr>
          <w:rFonts w:ascii="Times New Roman" w:hAnsi="Times New Roman"/>
          <w:sz w:val="20"/>
        </w:rPr>
        <w:t xml:space="preserve">(h) subordinate or have the direct or indirect effect of subordinating any obligations in respect of the Notes in right of payment to any Indebtedness for borrowed money; provided this clause (h) shall not apply to any debtor-in-possession or similar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subordinate or have the direct or indirect effect of subordinating any Liens securing the Obligations in respect of the Notes to any Liens on the Collateral securing any Indebtedness for borrowed money (except, in each case, Indebtedness that (x) is expressly permitted to be senior, or </w:t>
      </w:r>
      <w:r>
        <w:rPr>
          <w:rFonts w:ascii="Times New Roman" w:hAnsi="Times New Roman"/>
          <w:i/>
          <w:sz w:val="20"/>
        </w:rPr>
        <w:t>pari passu</w:t>
      </w:r>
      <w:r>
        <w:rPr>
          <w:rFonts w:ascii="Times New Roman" w:hAnsi="Times New Roman"/>
          <w:sz w:val="20"/>
        </w:rPr>
        <w:t xml:space="preserve"> with, as applicable to the obligations in respect of the Notes as of the Issue Date or (y) incurred pursuant any debtor-in-possession or similar financing); </w:t>
      </w:r>
    </w:p>
    <w:p>
      <w:pPr>
        <w:pStyle w:val="TextBody"/>
        <w:bidi w:val="0"/>
        <w:spacing w:before="240" w:after="0"/>
        <w:jc w:val="left"/>
        <w:rPr>
          <w:rFonts w:ascii="Times New Roman" w:hAnsi="Times New Roman"/>
          <w:sz w:val="20"/>
        </w:rPr>
      </w:pPr>
      <w:r>
        <w:rPr>
          <w:rFonts w:ascii="Times New Roman" w:hAnsi="Times New Roman"/>
          <w:sz w:val="20"/>
        </w:rPr>
        <w:t xml:space="preserve">(j) impair the right of any Holder to institute suit for the enforcement of any payment on or with respect to such Holder’s Notes; or </w:t>
      </w:r>
    </w:p>
    <w:p>
      <w:pPr>
        <w:pStyle w:val="TextBody"/>
        <w:bidi w:val="0"/>
        <w:spacing w:before="240" w:after="0"/>
        <w:jc w:val="left"/>
        <w:rPr>
          <w:rFonts w:ascii="Times New Roman" w:hAnsi="Times New Roman"/>
          <w:sz w:val="20"/>
        </w:rPr>
      </w:pPr>
      <w:r>
        <w:rPr>
          <w:rFonts w:ascii="Times New Roman" w:hAnsi="Times New Roman"/>
          <w:sz w:val="20"/>
        </w:rPr>
        <w:t xml:space="preserve">(k) make any change in this Article 10 that requires each Holder’s consent or in the waiver provisions.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without the consent of Holders of at least 75% in aggregate principal amount of the Notes then outstanding, no amendment, supplement or waiver may: </w:t>
      </w:r>
    </w:p>
    <w:p>
      <w:pPr>
        <w:pStyle w:val="TextBody"/>
        <w:bidi w:val="0"/>
        <w:spacing w:before="120" w:after="0"/>
        <w:jc w:val="left"/>
        <w:rPr>
          <w:rFonts w:ascii="Times New Roman" w:hAnsi="Times New Roman"/>
          <w:sz w:val="20"/>
        </w:rPr>
      </w:pPr>
      <w:r>
        <w:rPr>
          <w:rFonts w:ascii="Times New Roman" w:hAnsi="Times New Roman"/>
          <w:sz w:val="20"/>
        </w:rPr>
        <w:t xml:space="preserve">(i) permit, or have the effect of permitting the concept of “unrestricted subsidiaries” (which shall, for the avoidance of doubt, include any Subsidiaries that are exempt from covenants or representations and warranties in the Second Lien Debt Documents, whether or not labelled as “unrestricted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make any change to the definition of “Material Property” in Section 1.01 or any language in other provisions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(iii) make any change to the definition of “Liability Management Exercise” in Section 1.01 or any language in other provisions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(iv) permit the incurrence of Indebtedness that is pari passu with the Notes in right of payment and Lien priority; </w:t>
      </w:r>
    </w:p>
    <w:p>
      <w:pPr>
        <w:pStyle w:val="TextBody"/>
        <w:bidi w:val="0"/>
        <w:spacing w:before="120" w:after="0"/>
        <w:jc w:val="left"/>
        <w:rPr>
          <w:rFonts w:ascii="Times New Roman" w:hAnsi="Times New Roman"/>
          <w:sz w:val="20"/>
        </w:rPr>
      </w:pPr>
      <w:r>
        <w:rPr>
          <w:rFonts w:ascii="Times New Roman" w:hAnsi="Times New Roman"/>
          <w:sz w:val="20"/>
        </w:rPr>
        <w:t xml:space="preserve">(v) amend the definition of “Excluded Subsidiary” in Section 1.01; </w:t>
      </w:r>
    </w:p>
    <w:p>
      <w:pPr>
        <w:pStyle w:val="TextBody"/>
        <w:bidi w:val="0"/>
        <w:spacing w:before="120" w:after="0"/>
        <w:jc w:val="left"/>
        <w:rPr>
          <w:rFonts w:ascii="Times New Roman" w:hAnsi="Times New Roman"/>
          <w:sz w:val="20"/>
        </w:rPr>
      </w:pPr>
      <w:r>
        <w:rPr>
          <w:rFonts w:ascii="Times New Roman" w:hAnsi="Times New Roman"/>
          <w:sz w:val="20"/>
        </w:rPr>
        <w:t xml:space="preserve">(vi) release, or have the effect of releasing, all or substantially all of the Collateral from the Liens securing the notes and the Note Guarantees, or subordinate or have the direct or indirect effect of subordinating any Liens securing the Obligations in respect of the Notes to any Liens on the Collateral securing any Indebtedness for borrowed money (except, in each case, Indebtedness that is expressly permitted to be senior, or pari passu with, as applicable to the obligations in respect of the Notes as of the Issue Date); or </w:t>
      </w:r>
    </w:p>
    <w:p>
      <w:pPr>
        <w:pStyle w:val="TextBody"/>
        <w:bidi w:val="0"/>
        <w:spacing w:before="120" w:after="0"/>
        <w:jc w:val="left"/>
        <w:rPr>
          <w:rFonts w:ascii="Times New Roman" w:hAnsi="Times New Roman"/>
          <w:sz w:val="20"/>
        </w:rPr>
      </w:pPr>
      <w:r>
        <w:rPr>
          <w:rFonts w:ascii="Times New Roman" w:hAnsi="Times New Roman"/>
          <w:sz w:val="20"/>
        </w:rPr>
        <w:t xml:space="preserve">(vii) amend, waive or modify, or have the effect of amending, waiving or modifying (including through amending, modifying or waiving any definition therein), the provision described in Section 4.21.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(i) through (vii) shall not apply to any transaction where each Holder of Notes has been (or will be) offered a bona fide right to fund, provide, acquire or otherwise participate the same Senior Financing, on a pro rata basis, on not less than five (5) Business Days’ notice prior to the deadline established to elect to participate in such Senior Financing on the same economic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received by the Holders of Notes (or their Affiliates) participating in such Senior Financing </w:t>
      </w:r>
      <w:r>
        <w:rPr>
          <w:rFonts w:ascii="Times New Roman" w:hAnsi="Times New Roman"/>
          <w:i/>
          <w:sz w:val="20"/>
        </w:rPr>
        <w:t>provided</w:t>
      </w:r>
      <w:r>
        <w:rPr>
          <w:rFonts w:ascii="Times New Roman" w:hAnsi="Times New Roman"/>
          <w:sz w:val="20"/>
        </w:rPr>
        <w:t xml:space="preserve"> that such economic terms shall not include bona fide backstop and similar fees (including fees paid to holders of Notes as compensation for backstopping debt or equity rights offering) incurred, and the reimbursement of counsel fees and other expenses incurred, in connection with such Senior Financing or the negotiation of the transactions in connection with which the Senior Financing is to be (or was) incurred. </w:t>
      </w:r>
    </w:p>
    <w:p>
      <w:pPr>
        <w:pStyle w:val="TextBody"/>
        <w:bidi w:val="0"/>
        <w:spacing w:before="240" w:after="0"/>
        <w:jc w:val="left"/>
        <w:rPr>
          <w:rFonts w:ascii="Times New Roman" w:hAnsi="Times New Roman"/>
          <w:sz w:val="20"/>
        </w:rPr>
      </w:pPr>
      <w:r>
        <w:rPr>
          <w:rFonts w:ascii="Times New Roman" w:hAnsi="Times New Roman"/>
          <w:sz w:val="20"/>
        </w:rPr>
        <w:t xml:space="preserve">Upon the written request of the Company, and upon the filing with the Trustee of evidence of the consent of the requisite Holders as aforesaid and subject to Section 10.05, the Trustee and Collateral Agent shall join with the Company in the execution of such supplemental indenture, amendment, supplement or waiver unless such supplemental indenture, amendment, supplement or waiver affects the Collateral Agent or Trustee’s own rights, duties, liabilities or immunities under this Indenture or otherwise, in which case the Collateral Agent or the Trustee, as applicable, may in its discretion, but shall not be obligated to, enter into such supplemental indenture,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Holders do not need under this Section 10.02 to approve the particular form of any proposed supplemental indenture, amendment, supplement or waiver. It shall be sufficient if such Holders approve the substance thereof. After any supplemental indenture, amendment, supplement or waiver becomes effective pursuant to Section 10.01 or this Section 10.02, the Company shall deliver to the Holders (with a copy to the Trustee) a notice briefly describing such supplemental indenture, amendment, supplement or waiver. However, the failure to give such notice to all the Holders (with a copy to the Trustee), or any defect in the notice, will not impair or affect the validity of the supplemental indenture,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i/>
          <w:sz w:val="20"/>
        </w:rPr>
        <w:t xml:space="preserve">Effect of Supplemental Indentures. </w:t>
      </w:r>
      <w:r>
        <w:rPr>
          <w:rFonts w:ascii="Times New Roman" w:hAnsi="Times New Roman"/>
          <w:sz w:val="20"/>
        </w:rPr>
        <w:t xml:space="preserve">Upon the execution of any supplemental indenture, amendment, supplement or waiver pursuant to the provisions of this Article 10, this Indenture or the applicable other Note Document shall be and be deemed to be modified and amended in accordance therewith and the respective rights, limitation of rights, obligations, duties and immunities under this Indenture of the Collateral Agent, the Trustee, the Company and the Holders shall thereafter be determined, exercised and enforced hereunder subject in all respects to such modifications and amendments and all the terms and conditions of any such supplemental indenture, amendment, supplement or waiver shall be and be deemed to be part of the terms and conditions of this Indenture or the applicable other Note Document for any and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i/>
          <w:sz w:val="20"/>
        </w:rPr>
        <w:t xml:space="preserve">Notation on Notes. </w:t>
      </w:r>
      <w:r>
        <w:rPr>
          <w:rFonts w:ascii="Times New Roman" w:hAnsi="Times New Roman"/>
          <w:sz w:val="20"/>
        </w:rPr>
        <w:t xml:space="preserve">Notes authenticated and delivered after the execution of any supplemental indenture, amendment, supplement or waiver pursuant to the provisions of this Article 10 may, at the Company’s request and expense, bear a notation in form approved by the Trustee as to any matter provided for in such supplemental indenture, amendment, supplement or waiver. If the Company or the Trustee shall so determine, new Notes so modified as to conform, in the opinion of the Trustee and the Company, to any modification of this Indenture or the applicable other Note Document contained in any such supplemental indenture, amendment, supplement or waiver may, at the Company’s expense, be prepared and executed by the Company, authenticated, upon receipt of a Company Order, by the Trustee (or an authenticating agent duly appointed by the Trustee pursuant to Section 18.09) and delivered in exchange for the Notes then outstanding, upon delivery of such Notes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10.05 </w:t>
      </w:r>
      <w:r>
        <w:rPr>
          <w:rFonts w:ascii="Times New Roman" w:hAnsi="Times New Roman"/>
          <w:i/>
          <w:sz w:val="20"/>
        </w:rPr>
        <w:t xml:space="preserve">Evidence of Compliance of Supplemental Indenture to Be Furnished Trustee and Collateral Agent. </w:t>
      </w:r>
      <w:r>
        <w:rPr>
          <w:rFonts w:ascii="Times New Roman" w:hAnsi="Times New Roman"/>
          <w:sz w:val="20"/>
        </w:rPr>
        <w:t xml:space="preserve">In addition to the documents required by Section 18.05, the Trustee and the Collateral Agent shall receive an Officer’s Certificate and an Opinion of Counsel as conclusive evidence that any supplemental indenture, amendment, supplement or waiver executed pursuant hereto complies with the requirements of this Article 10 and is permitted or authorized by this Indenture and the other Note Documents and that the supplemental indenture, amendment, supplement or waiver constitutes the legal, valid and binding obligation of the Company enforceable in accordance with its terms.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0" w:after="0"/>
        <w:jc w:val="center"/>
        <w:rPr>
          <w:rFonts w:ascii="Times New Roman" w:hAnsi="Times New Roman"/>
          <w:sz w:val="20"/>
        </w:rPr>
      </w:pPr>
      <w:r>
        <w:rPr>
          <w:rFonts w:ascii="Times New Roman" w:hAnsi="Times New Roman"/>
          <w:sz w:val="20"/>
        </w:rPr>
        <w:t xml:space="preserve">CONSOLIDATION, MERGER AND SALE OF ASSETS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i/>
          <w:sz w:val="20"/>
        </w:rPr>
        <w:t>Company May Consolidate, Etc. on Certain Terms.</w:t>
      </w:r>
      <w:r>
        <w:rPr>
          <w:rFonts w:ascii="Times New Roman" w:hAnsi="Times New Roman"/>
          <w:sz w:val="20"/>
        </w:rPr>
        <w:t xml:space="preserve"> Subject to the provisions of Section 11.02, the Company shall not consolidate with or merge with or into, or sell, convey, transfer or lease all or substantially all of the properties and assets of the Company and its Subsidiaries, taken as a whole, to another Person (other than to one or more of its Wholly-Owned Subsidiaries) (a “</w:t>
      </w:r>
      <w:r>
        <w:rPr>
          <w:rFonts w:ascii="Times New Roman" w:hAnsi="Times New Roman"/>
          <w:b/>
          <w:sz w:val="20"/>
        </w:rPr>
        <w:t>Business Combination Event</w:t>
      </w:r>
      <w:r>
        <w:rPr>
          <w:rFonts w:ascii="Times New Roman" w:hAnsi="Times New Roman"/>
          <w:sz w:val="20"/>
        </w:rPr>
        <w:t xml:space="preserve">”), unless: </w:t>
      </w:r>
    </w:p>
    <w:p>
      <w:pPr>
        <w:pStyle w:val="TextBody"/>
        <w:bidi w:val="0"/>
        <w:spacing w:before="120" w:after="0"/>
        <w:jc w:val="left"/>
        <w:rPr>
          <w:rFonts w:ascii="Times New Roman" w:hAnsi="Times New Roman"/>
          <w:sz w:val="20"/>
        </w:rPr>
      </w:pPr>
      <w:r>
        <w:rPr>
          <w:rFonts w:ascii="Times New Roman" w:hAnsi="Times New Roman"/>
          <w:sz w:val="20"/>
        </w:rPr>
        <w:t xml:space="preserve">(a) the resulting, surviving or transferee person (if not the Company) is a Qualified Successor Entity organized and existing under the laws of the United States of America, any State thereof or the District of Columbia, and such Qualified Successor Entity (if not the Company) expressly assumes by supplemental indenture all of the Company’s obligations under the Notes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immediately after giving effect to such Business Combination Event, no Default or Event of Default has occurred and is continuing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(c) the Qualified Successor Entity executes supplements or joinders to the applicable Second Lien Collateral Documents and pledges its assets as Collateral (to the extent required by the applicable Second Lien Collateral Documents); and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delivered to the Trustee an Officer’s Certificate and an Opinion of Counsel, each stating that (x) such Business Combination Event (and, if applicable, the related supplemental indenture) complies with this Indenture and (y) all conditions precedent to such Business Combination Event provided in this Indenture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i/>
          <w:sz w:val="20"/>
        </w:rPr>
        <w:t xml:space="preserve">Qualified Successor Entity to Be Substituted. </w:t>
      </w:r>
      <w:r>
        <w:rPr>
          <w:rFonts w:ascii="Times New Roman" w:hAnsi="Times New Roman"/>
          <w:sz w:val="20"/>
        </w:rPr>
        <w:t xml:space="preserve">In case of any such consolidation, merger, sale, conveyance, transfer or lease and upon the assumption by the Qualified Successor Entity,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or equitization of the Notes and the due and punctual performance of all of the obligations under this Indenture, the Collateral Documents and the other Note Documents to be performed by the Company, such Qualified Successor Entity (if not the Company) shall succeed to and, except in the case of a lease of all or substantially all of the Company’s properties and assets, shall be substituted for the Company, with the same effect as if it had been named herein as the party of the first part, and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thereafter exercise every right and power of the Company under this Indenture. Such Qualified Successor Entity thereupon may cause to be signed, and may issue either in its own name or in the name of the Company any or all of the Notes issuable hereunder which theretofore shall not have been signed by the Company and delivered to the Trustee; and, upon the order of such Qualified Successor Entity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Qualified Successor Entity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except in the case of a lease, and except as otherwise required by this Indenture, such Person shall be released from its liabilities as obligor and maker of the Notes and from its obligations under this Indenture and the Notes.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such consolidation, merger, sale, conveyance, transfer or lease, such changes in phraseology and form (but not in substance) may be made in the Notes thereafter to be issued as may be appropriate. </w:t>
      </w:r>
    </w:p>
    <w:p>
      <w:pPr>
        <w:pStyle w:val="TextBody"/>
        <w:bidi w:val="0"/>
        <w:spacing w:before="480" w:after="0"/>
        <w:jc w:val="center"/>
        <w:rPr>
          <w:rFonts w:ascii="Times New Roman" w:hAnsi="Times New Roman"/>
          <w:sz w:val="20"/>
        </w:rPr>
      </w:pPr>
      <w:r>
        <w:rPr>
          <w:rFonts w:ascii="Times New Roman" w:hAnsi="Times New Roman"/>
          <w:sz w:val="20"/>
        </w:rPr>
        <w:t xml:space="preserve">Article 12. </w:t>
      </w:r>
    </w:p>
    <w:p>
      <w:pPr>
        <w:pStyle w:val="TextBody"/>
        <w:bidi w:val="0"/>
        <w:spacing w:before="0" w:after="0"/>
        <w:jc w:val="center"/>
        <w:rPr>
          <w:rFonts w:ascii="Times New Roman" w:hAnsi="Times New Roman"/>
          <w:sz w:val="20"/>
        </w:rPr>
      </w:pPr>
      <w:r>
        <w:rPr>
          <w:rFonts w:ascii="Times New Roman" w:hAnsi="Times New Roman"/>
          <w:sz w:val="20"/>
        </w:rPr>
        <w:t xml:space="preserve">IMMUNITY OF DIRECTORS, OFFICERS, EMPLOYEES AND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i/>
          <w:sz w:val="20"/>
        </w:rPr>
        <w:t>No Personal Liability of Directors, Officers, Employees or Shareholders.</w:t>
      </w:r>
      <w:r>
        <w:rPr>
          <w:rFonts w:ascii="Times New Roman" w:hAnsi="Times New Roman"/>
          <w:sz w:val="20"/>
        </w:rPr>
        <w:t xml:space="preserve"> None of the Company’s past, present or future directors, officers, employees or shareholders, as such, will have any liability for any of the Company’s obligations under the Notes or this Indenture or for any claim based on, or in respect or by reason of, such obligations or their creation. By accepting a Note, each Holder waives and releases all such liability. The waiver and release is part of the consideration for the issue of the Notes. However, the waiver and release may not be effective to waive liabilities under U.S. federal securities laws. </w:t>
      </w:r>
    </w:p>
    <w:p>
      <w:pPr>
        <w:pStyle w:val="TextBody"/>
        <w:bidi w:val="0"/>
        <w:spacing w:before="240" w:after="0"/>
        <w:jc w:val="center"/>
        <w:rPr>
          <w:rFonts w:ascii="Times New Roman" w:hAnsi="Times New Roman"/>
          <w:sz w:val="20"/>
        </w:rPr>
      </w:pPr>
      <w:r>
        <w:rPr>
          <w:rFonts w:ascii="Times New Roman" w:hAnsi="Times New Roman"/>
          <w:sz w:val="20"/>
        </w:rPr>
        <w:t xml:space="preserve">Article 13. </w:t>
      </w:r>
    </w:p>
    <w:p>
      <w:pPr>
        <w:pStyle w:val="TextBody"/>
        <w:bidi w:val="0"/>
        <w:spacing w:before="0" w:after="0"/>
        <w:jc w:val="center"/>
        <w:rPr>
          <w:rFonts w:ascii="Times New Roman" w:hAnsi="Times New Roman"/>
          <w:sz w:val="20"/>
        </w:rPr>
      </w:pPr>
      <w:r>
        <w:rPr>
          <w:rFonts w:ascii="Times New Roman" w:hAnsi="Times New Roman"/>
          <w:sz w:val="20"/>
        </w:rPr>
        <w:t xml:space="preserve">GUARANTEE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i/>
          <w:sz w:val="20"/>
        </w:rPr>
        <w:t xml:space="preserve">Guarantee.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this Article 13, each Person that becomes a Guarantor by execution of a supplemental indenture to this Indenture in accordance with Section 13.07, hereby jointly and severally, irrevocable and unconditionally , as a primary obligor and not merely as a surety, guarantees to each Holder, the Trustee, the Collateral Agent and each other Secured Party and their successors and assigns, irrespective of the validity and enforceability of this Indenture, the Notes or the other Note Documents or the Obligations of the Company hereunder or thereunder, the performance and punctual payment or delivery, as applicable, when due, whether at maturity, by acceleration or otherwise, of all Obligations, the Notes and the other Note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including principal (including the Fundamental Change Repurchase Price, if applicable), premium, if any, interest (including interest on overdue amounts), consideration due upon conversion or equitization of the Notes and all other Obligations (including for reimbursement of expenses, indemnity or otherwise) of the Company or any Guarantor, all in accordance with the terms hereof and thereof (all of the foregoing, collectively, the “</w:t>
      </w:r>
      <w:r>
        <w:rPr>
          <w:rFonts w:ascii="Times New Roman" w:hAnsi="Times New Roman"/>
          <w:b/>
          <w:sz w:val="20"/>
        </w:rPr>
        <w:t>Guaranteed Obligations</w:t>
      </w:r>
      <w:r>
        <w:rPr>
          <w:rFonts w:ascii="Times New Roman" w:hAnsi="Times New Roman"/>
          <w:sz w:val="20"/>
        </w:rPr>
        <w:t xml:space="preserve">”). In furtherance of the foregoing and not in limitation of any other right which any Holder of the Notes or the Trustee or the Collateral Agent has at law or in equity against any Guarantor by virtue of this Article 13, failing payment or, if applicable, delivery when due (at maturity, by acceleration or otherwise) of any amount so guaranteed or any performance so guaranteed for whatever reason, the Guarantors will be jointly and severally obligated to pay and, if applicable, perform and deliver the Guaranteed Obligations immediately. Each Guarantor further agrees that the Guaranteed Obligations may be extended or renewed, in whole or in part, without notice or further assent from any Guarantor, and that each shall remain bound under this Article 13 notwithstanding any extension or renewal of any Guaranteed Obligation. Each agrees that this is a guarantee of payment and performance when due (and not a guarantee of collection) and waives any right to require that any resort be had by any Holder of the Notes or the Trustee or Collateral Agent to any security held for payment of the Guaranteed Obligations. The Note Guarantees shall not be convertible and shall automatically terminate with respect to a given Note when such Note is converted. </w:t>
      </w:r>
    </w:p>
    <w:p>
      <w:pPr>
        <w:pStyle w:val="TextBody"/>
        <w:bidi w:val="0"/>
        <w:spacing w:before="240" w:after="0"/>
        <w:jc w:val="left"/>
        <w:rPr>
          <w:rFonts w:ascii="Times New Roman" w:hAnsi="Times New Roman"/>
          <w:sz w:val="20"/>
        </w:rPr>
      </w:pPr>
      <w:r>
        <w:rPr>
          <w:rFonts w:ascii="Times New Roman" w:hAnsi="Times New Roman"/>
          <w:sz w:val="20"/>
        </w:rPr>
        <w:t>(b) The Guarantors hereby agree that their obligations hereunder are unconditional and absolute, irrespective of (i) the validity, regularity or enforceability of the Notes, this Indenture or any other Note Document, (ii) the absence of any action to enforce the same or to exercise any right or remedy against any Guarantor, (iii) any extension or renewal of this Indenture, the Notes or any other Note Document, (iv) any rescission, settlement, compromise, waiver, modification, amendment, consent or release in respect of this Indenture, the Notes or any other Note Document or any of the Guaranteed Obligations, (v) any change in the corporate existence, structure or ownership of the Company, any Guarantor or any of their respective Subsidiaries, (vi) any insolvency, bankruptcy, reorganization or other similar proceeding affecting the Company, any Guarantor, any of their respective Subsidiaries or any of their respective assets or any resulting release or discharge of any obligation of the Company, any Guarantor or any of their respective Subsidiaries contained in this Indenture, the Notes or any other Note Document, (vii) the existence of any claim, set-off or other rights which any Guarantor may have at any time against the Company, the Trustee, the Collateral Agent or any other Person, whether in connection with this Indenture, the Notes, any other Note Document or any unrelated transactions (</w:t>
      </w:r>
      <w:r>
        <w:rPr>
          <w:rFonts w:ascii="Times New Roman" w:hAnsi="Times New Roman"/>
          <w:i/>
          <w:sz w:val="20"/>
        </w:rPr>
        <w:t>provided</w:t>
      </w:r>
      <w:r>
        <w:rPr>
          <w:rFonts w:ascii="Times New Roman" w:hAnsi="Times New Roman"/>
          <w:sz w:val="20"/>
        </w:rPr>
        <w:t xml:space="preserve"> that nothing herein prevents the assertion of any such claim by separate suit or compulsory counterclaim), (viii) any invalidity or unenforceability relating to or against the Company for any reason of this Indenture, the Notes or any of the other Note Documents, (ix) any provision of applicable law or regulation purporting to prohibit the payment by the Company or any of the Guarantors of the principal of or interest on the Notes or any other amount payable and/or deliverable by the Company under this Indenture, the Notes or any other Note Document, (x) the recovery of any judgment against the Company or any Guarantor, any action to enforce the same or any other circumstance which might otherwise constitute a legal or equitable discharge or defense of a Guarantor, or (xi) any other act or omission to act or delay of any kind by the Company, the Trustee, the Collateral Agent or any other Person or any other circumstance whatsoever which might, but for the provisions of this paragraph, constitute a legal or equitable discharge of or defense to such Guarantor’s obligations hereunder. Each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hereby waives diligence, presentment, demand of payment and protest to the Company, filing of claims with a court in the event of insolvency or bankruptcy of the Company, any right to require a proceeding first against the Company, protest, notice and all demands whatsoever and covenant that this Guarantee will not be discharged except by complete performance of the obligations contained in the Notes and this Indenture. Each Guarantor hereby waives any right to which it may be entitled to have its Guarantee hereunder divided among the Guarantors, such that such Guarantor’s Guarantee would be less than the full amount claimed. Each Guarantor hereby waives any right to which it may be entitled to have the assets of the Company first be used and depleted as payment of the Company’s obligations under this Indenture, the Notes and the other Note Documents and such Guarantor’s Guarantee hereunder prior to any amounts being claimed from or paid by such Guarantor hereunder. Each Guarantor hereby waives any right to which it may be entitled to require that the Company be sued prior to an action being initiated against such Guarantor. </w:t>
      </w:r>
    </w:p>
    <w:p>
      <w:pPr>
        <w:pStyle w:val="TextBody"/>
        <w:bidi w:val="0"/>
        <w:spacing w:before="240" w:after="0"/>
        <w:jc w:val="left"/>
        <w:rPr>
          <w:rFonts w:ascii="Times New Roman" w:hAnsi="Times New Roman"/>
          <w:sz w:val="20"/>
        </w:rPr>
      </w:pPr>
      <w:r>
        <w:rPr>
          <w:rFonts w:ascii="Times New Roman" w:hAnsi="Times New Roman"/>
          <w:sz w:val="20"/>
        </w:rPr>
        <w:t xml:space="preserve">(c) Except as expressly set forth in Section 13.02, the Notes Guarantee of each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Notes Guarantee of each Guarantor herein shall not be discharged or impaired or otherwise affected by the failure of any Holder or the Trustee or Collateral Agent to assert any claim or demand or to enforce any remedy under this Indenture, the Notes or any other agreement, by any waiver or modification of any thereof, by any default, failure or delay, willful or otherwise, in the performance of the Guaranteed Obligations, or by any other act or thing or omission or delay to do any other act or thing which may or might in any manner or to any extent vary the risk of any Guarantor or would otherwise operate as a discharge of any Guarantor as a matter of law or equity. </w:t>
      </w:r>
    </w:p>
    <w:p>
      <w:pPr>
        <w:pStyle w:val="TextBody"/>
        <w:bidi w:val="0"/>
        <w:spacing w:before="240" w:after="0"/>
        <w:jc w:val="left"/>
        <w:rPr>
          <w:rFonts w:ascii="Times New Roman" w:hAnsi="Times New Roman"/>
          <w:sz w:val="20"/>
        </w:rPr>
      </w:pPr>
      <w:r>
        <w:rPr>
          <w:rFonts w:ascii="Times New Roman" w:hAnsi="Times New Roman"/>
          <w:sz w:val="20"/>
        </w:rPr>
        <w:t xml:space="preserve">(d) Except as expressly set forth in Section 13.06, each Guarantor agrees that its Guarantee shall remain in full force and effect until payment, performance and delivery in full of all the Guaranteed Obligations of such Guarantor. Each Guarantor further agrees that its Guarantee herein shall continue to be effective or be reinstated, as the case may be, if at any time payment, or any part thereof, of principal of or interest on any Guaranteed Obligation is rescinded or must otherwise be restored by any Holder of the Notes or the Trustee upon the bankruptcy or reorganization of Company or any Guarantor or otherwise. </w:t>
      </w:r>
    </w:p>
    <w:p>
      <w:pPr>
        <w:pStyle w:val="TextBody"/>
        <w:bidi w:val="0"/>
        <w:spacing w:before="240" w:after="0"/>
        <w:jc w:val="left"/>
        <w:rPr>
          <w:rFonts w:ascii="Times New Roman" w:hAnsi="Times New Roman"/>
          <w:sz w:val="20"/>
        </w:rPr>
      </w:pPr>
      <w:r>
        <w:rPr>
          <w:rFonts w:ascii="Times New Roman" w:hAnsi="Times New Roman"/>
          <w:sz w:val="20"/>
        </w:rPr>
        <w:t xml:space="preserve">(e) If any Holder, the Trustee or the Collateral Agent is required by any court or otherwise to return to the Company, the Guarantors or any custodian, trustee, liquidator or other similar official acting in relation to either the Company or the Guarantors, any amount paid by either to the Trustee or such Holder, this Guarantee, to the extent theretofore discharged, shall be reinstated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(f) Each Guarantor agrees that it will not be entitled to any right of subrogation in relation to the Holders in respect of any obligations guaranteed hereby until payment, performance and delivery in full of all obligations guaranteed hereby. Each Guarantor further agrees that, as between the Guarantors, on the one hand, and the Holders, the Trustee and the Collateral Agent, on the other hand, (i) the maturity of the obligations guaranteed hereby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accelerated as provided in Article 6 hereof for the purposes of this Guarantee, notwithstanding any stay, injunction or other prohibition preventing such acceleration in respect of the obligations guaranteed hereby, and (ii) in the event of any declaration of acceleration of such obligations as provided in Article 6 hereof, such obligations (whether or not due and payable) will forthwith become due and payable by the Guarantors for the purpose of this Guarantee. The Guarantors will have the right to seek contribution from any non-paying Guarantor so long as the exercise of such right does not impair the rights of the Holders under the Notes Guarantee.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i/>
          <w:sz w:val="20"/>
        </w:rPr>
        <w:t xml:space="preserve">Limitation on Guarantor Liability. </w:t>
      </w:r>
      <w:r>
        <w:rPr>
          <w:rFonts w:ascii="Times New Roman" w:hAnsi="Times New Roman"/>
          <w:sz w:val="20"/>
        </w:rPr>
        <w:t xml:space="preserve">Each Guarantor, the Trustee and the Collateral Agent, and by its acceptance of Notes, each Holder, hereby confirms that it is the intention of all such parties that the Notes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Collateral Agent, the Holders and each of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and, if applicable, deliveries made by or on behalf of any other Guarantor in respect of the obligations of such other Guarantor under this Article 13, result in the obligations of such Guarantor under its Guarantee not constituting a fraudulent transfer or conveyance. </w:t>
      </w:r>
    </w:p>
    <w:p>
      <w:pPr>
        <w:pStyle w:val="TextBody"/>
        <w:bidi w:val="0"/>
        <w:spacing w:before="240" w:after="0"/>
        <w:jc w:val="left"/>
        <w:rPr>
          <w:rFonts w:ascii="Times New Roman" w:hAnsi="Times New Roman"/>
          <w:sz w:val="20"/>
        </w:rPr>
      </w:pPr>
      <w:r>
        <w:rPr>
          <w:rFonts w:ascii="Times New Roman" w:hAnsi="Times New Roman"/>
          <w:sz w:val="20"/>
        </w:rPr>
        <w:t xml:space="preserve">Section 13.03 </w:t>
      </w:r>
      <w:r>
        <w:rPr>
          <w:rFonts w:ascii="Times New Roman" w:hAnsi="Times New Roman"/>
          <w:i/>
          <w:sz w:val="20"/>
        </w:rPr>
        <w:t>Guarantors May Consolidate, etc., on Certain Terms.</w:t>
      </w:r>
      <w:r>
        <w:rPr>
          <w:rFonts w:ascii="Times New Roman" w:hAnsi="Times New Roman"/>
          <w:sz w:val="20"/>
        </w:rPr>
        <w:t xml:space="preserve"> Except for a transaction made in compliance with Section 11.01, no Guarantor may consolidate with or merge into any other Person other than the Company or another Guarantor, or convey, transfer or lease its properties and assets substantially as an entirety to any Person, other than to the Company or another Guarantor, unless, in each case: </w:t>
      </w:r>
    </w:p>
    <w:p>
      <w:pPr>
        <w:pStyle w:val="TextBody"/>
        <w:bidi w:val="0"/>
        <w:spacing w:before="120" w:after="0"/>
        <w:jc w:val="left"/>
        <w:rPr>
          <w:rFonts w:ascii="Times New Roman" w:hAnsi="Times New Roman"/>
          <w:sz w:val="20"/>
        </w:rPr>
      </w:pPr>
      <w:r>
        <w:rPr>
          <w:rFonts w:ascii="Times New Roman" w:hAnsi="Times New Roman"/>
          <w:sz w:val="20"/>
        </w:rPr>
        <w:t>(a) either (i) in the case of a consolidation or merger, the Guarantor is the surviving entity, or (ii) the Person formed by or surviving such consolidation or merger (if other than the Guarantor) or the Person to which such sale, assignment, transfer, conveyance, lease or other disposition has been made (such Person, the “</w:t>
      </w:r>
      <w:r>
        <w:rPr>
          <w:rFonts w:ascii="Times New Roman" w:hAnsi="Times New Roman"/>
          <w:b/>
          <w:sz w:val="20"/>
        </w:rPr>
        <w:t>Successor Guarantor</w:t>
      </w:r>
      <w:r>
        <w:rPr>
          <w:rFonts w:ascii="Times New Roman" w:hAnsi="Times New Roman"/>
          <w:sz w:val="20"/>
        </w:rPr>
        <w:t xml:space="preserve">”) shall expressly assume by supplemental indenture, or other amendment or supplement, all of the obligations of the Guarantor under the Note Documents; </w:t>
      </w:r>
    </w:p>
    <w:p>
      <w:pPr>
        <w:pStyle w:val="TextBody"/>
        <w:bidi w:val="0"/>
        <w:spacing w:before="240" w:after="0"/>
        <w:jc w:val="left"/>
        <w:rPr>
          <w:rFonts w:ascii="Times New Roman" w:hAnsi="Times New Roman"/>
          <w:sz w:val="20"/>
        </w:rPr>
      </w:pPr>
      <w:r>
        <w:rPr>
          <w:rFonts w:ascii="Times New Roman" w:hAnsi="Times New Roman"/>
          <w:sz w:val="20"/>
        </w:rPr>
        <w:t xml:space="preserve">(b) the Successor Guarantor, if any, is an entity organized and existing under the laws of the United States of America, any state thereof or the District of Columbia; and </w:t>
      </w:r>
    </w:p>
    <w:p>
      <w:pPr>
        <w:pStyle w:val="TextBody"/>
        <w:bidi w:val="0"/>
        <w:spacing w:before="240" w:after="0"/>
        <w:jc w:val="left"/>
        <w:rPr>
          <w:rFonts w:ascii="Times New Roman" w:hAnsi="Times New Roman"/>
          <w:sz w:val="20"/>
        </w:rPr>
      </w:pPr>
      <w:r>
        <w:rPr>
          <w:rFonts w:ascii="Times New Roman" w:hAnsi="Times New Roman"/>
          <w:sz w:val="20"/>
        </w:rPr>
        <w:t xml:space="preserve">(c) immediately after giving effect to such transactions,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(d) the Guarantor has delivered to the Trustee and the Collateral Agent an Officer’s Certificate and an Opinion of Counsel, each stating that such transaction complies with this Article and that all conditions precedent provided for in this Indenture and the other Note Documents relating to such transaction have been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In case of any such consolidation, merger, sale or conveyance and upon the assumption by the Successor Guarantor, by supplemental indenture or other amendment or supplement, as applicable, executed and delivered to the Trustee and the Collateral Agent, of the Notes Guarantee and the due and punctual performance of all of the obligations under this Indenture, the Collateral Documents and the other Note Documents to be performed by the Guarantor, such Successor Guarantor shall succeed to and be substituted for the Guarantor with the same effect as if it had been named herein as a Guarantor. Such Successor Guarantor thereupon may cause to be signed any or all of the Note Guarantees to be endorsed upon all of the Notes issuable hereunder which theretofore shall not have been signed by the Company and delivered to the Trustee. All the Note Guarantees so issued will in all respects have the same legal rank and benefit under this Indenture as the Note Guarantees theretofore and thereafter issued in accordance with the terms of this Indenture as though all of such Guarantees had been issued on the date of the execution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13.04 </w:t>
      </w:r>
      <w:r>
        <w:rPr>
          <w:rFonts w:ascii="Times New Roman" w:hAnsi="Times New Roman"/>
          <w:i/>
          <w:sz w:val="20"/>
        </w:rPr>
        <w:t>Stay of Acceleration</w:t>
      </w:r>
      <w:r>
        <w:rPr>
          <w:rFonts w:ascii="Times New Roman" w:hAnsi="Times New Roman"/>
          <w:sz w:val="20"/>
        </w:rPr>
        <w:t xml:space="preserve">. If acceleration of the time for payment of any amount payable or, if applicable, deliverable by the Company under this Indenture or the Notes is stayed upon the insolvency, bankruptcy or reorganization of the Company, all such amounts otherwise subject to acceleration under the terms of this Indenture are nonetheless payable or, if applicable, deliverable by the Guarantors hereunder forthwith on demand by the Trustee, the Collateral Agent or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13.05 </w:t>
      </w:r>
      <w:r>
        <w:rPr>
          <w:rFonts w:ascii="Times New Roman" w:hAnsi="Times New Roman"/>
          <w:i/>
          <w:sz w:val="20"/>
        </w:rPr>
        <w:t xml:space="preserve">Execution and Delivery of Guarantee. </w:t>
      </w:r>
      <w:r>
        <w:rPr>
          <w:rFonts w:ascii="Times New Roman" w:hAnsi="Times New Roman"/>
          <w:sz w:val="20"/>
        </w:rPr>
        <w:t xml:space="preserve">The execution by each future Guarantor of a supplemental indenture evidences the Notes Guarantee of such Guarantor, whether or not the person signing as an officer of such Guarantor still holds that office at the time of authentication of any Note. The delivery of Notes by the Trustee after authentication constitutes due delivery of the Notes Guarantee set forth in this Indenture on behalf of each Guarantor. </w:t>
      </w:r>
    </w:p>
    <w:p>
      <w:pPr>
        <w:pStyle w:val="TextBody"/>
        <w:bidi w:val="0"/>
        <w:spacing w:before="240" w:after="0"/>
        <w:jc w:val="left"/>
        <w:rPr>
          <w:rFonts w:ascii="Times New Roman" w:hAnsi="Times New Roman"/>
          <w:sz w:val="20"/>
        </w:rPr>
      </w:pPr>
      <w:r>
        <w:rPr>
          <w:rFonts w:ascii="Times New Roman" w:hAnsi="Times New Roman"/>
          <w:sz w:val="20"/>
        </w:rPr>
        <w:t xml:space="preserve">Section 13.06 </w:t>
      </w:r>
      <w:r>
        <w:rPr>
          <w:rFonts w:ascii="Times New Roman" w:hAnsi="Times New Roman"/>
          <w:i/>
          <w:sz w:val="20"/>
        </w:rPr>
        <w:t>Release of Guarantees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 Guarantor’s Guarantee with respect to the Notes will be released automatically and immediately (without the necessity of any action by the Trustee or the Collateral Agent): </w:t>
      </w:r>
    </w:p>
    <w:p>
      <w:pPr>
        <w:pStyle w:val="TextBody"/>
        <w:bidi w:val="0"/>
        <w:spacing w:before="120" w:after="0"/>
        <w:jc w:val="left"/>
        <w:rPr>
          <w:rFonts w:ascii="Times New Roman" w:hAnsi="Times New Roman"/>
          <w:sz w:val="20"/>
        </w:rPr>
      </w:pPr>
      <w:r>
        <w:rPr>
          <w:rFonts w:ascii="Times New Roman" w:hAnsi="Times New Roman"/>
          <w:sz w:val="20"/>
        </w:rPr>
        <w:t xml:space="preserve">(i) upon the conveyance, sale, transfer, assignment or other disposition of all of the Equity Interests of such Guarantor to a Person that is a non-affiliated third party of the Company or any of its Subsidiaries in a transaction permitted (or not prohibited) by the terms of this Indenture with a legitimate business purpose and not for the primary purpose of releasing such Note Guarantee or for the incurrence of Indebtedness or liability management; </w:t>
      </w:r>
    </w:p>
    <w:p>
      <w:pPr>
        <w:pStyle w:val="TextBody"/>
        <w:bidi w:val="0"/>
        <w:spacing w:before="120" w:after="0"/>
        <w:jc w:val="left"/>
        <w:rPr>
          <w:rFonts w:ascii="Times New Roman" w:hAnsi="Times New Roman"/>
          <w:sz w:val="20"/>
        </w:rPr>
      </w:pPr>
      <w:r>
        <w:rPr>
          <w:rFonts w:ascii="Times New Roman" w:hAnsi="Times New Roman"/>
          <w:sz w:val="20"/>
        </w:rPr>
        <w:t xml:space="preserve">(ii) at any time that any Guarantor is (or substantially concurrently with the release of the Note Guarantee of such Guarantor or, if as a result of the release of the Notes Guarantee of such Guarantor, will be) released from all of its obligations or the guarantee that resulted in the obligation of such Guarantor to guarantee the Notes if such Guarantor would not then otherwise be required to guarantee the Notes pursuant to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concurrently with any such Guarantor becoming an Excluded Subsidiary,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Note Guarantee by such Guarantor will not be released upon such Guarantor becoming a non-Wholly-Owned Subsidiary unless (A) it became a non-Wholly-Owned Subsidiary pursuant to a transaction with a non-affiliated third party of any Note Party for a legitimate business purpose and not for the primary purpose of releasing the guarantee or for the incurrence of Indebtedness or liability management and (B) the Company is deemed to have made an Investment in such resulting non-Guarantor Subsidiary, and such Investment is a Permitted Investment, and in each case not in connection with a Liability Management Exercise; </w:t>
      </w:r>
    </w:p>
    <w:p>
      <w:pPr>
        <w:pStyle w:val="TextBody"/>
        <w:bidi w:val="0"/>
        <w:spacing w:before="120" w:after="0"/>
        <w:jc w:val="left"/>
        <w:rPr>
          <w:rFonts w:ascii="Times New Roman" w:hAnsi="Times New Roman"/>
          <w:sz w:val="20"/>
        </w:rPr>
      </w:pPr>
      <w:r>
        <w:rPr>
          <w:rFonts w:ascii="Times New Roman" w:hAnsi="Times New Roman"/>
          <w:sz w:val="20"/>
        </w:rPr>
        <w:t xml:space="preserve">(iv) upon satisfaction and discharge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Upon delivery by the Company to the Trustee and the Collateral Agent of an Officer’s Certificate to the effect that the action or event giving rise to a release has occurred as specified above, the Trustee or the Collateral Agent, as applicable, shall, upon receipt by it of the documents described in Section 18.05, execute any documents reasonably requested by the Company in order to evidence the release of any Guarantor from its obligations under its Guarantee. </w:t>
      </w:r>
    </w:p>
    <w:p>
      <w:pPr>
        <w:pStyle w:val="TextBody"/>
        <w:bidi w:val="0"/>
        <w:spacing w:before="240" w:after="0"/>
        <w:jc w:val="left"/>
        <w:rPr>
          <w:rFonts w:ascii="Times New Roman" w:hAnsi="Times New Roman"/>
          <w:sz w:val="20"/>
        </w:rPr>
      </w:pPr>
      <w:r>
        <w:rPr>
          <w:rFonts w:ascii="Times New Roman" w:hAnsi="Times New Roman"/>
          <w:sz w:val="20"/>
        </w:rPr>
        <w:t xml:space="preserve">(c) Any Guarantor not released from its obligations under its Guarantee as provided in this Section 13.06 will remain liable for the full amount of principal of and interest on the Notes and for the other Obligations of the Company and any Guarantor under this Indenture as provided in this Article 13. </w:t>
      </w:r>
    </w:p>
    <w:p>
      <w:pPr>
        <w:pStyle w:val="TextBody"/>
        <w:bidi w:val="0"/>
        <w:spacing w:before="240" w:after="0"/>
        <w:jc w:val="left"/>
        <w:rPr>
          <w:rFonts w:ascii="Times New Roman" w:hAnsi="Times New Roman"/>
          <w:sz w:val="20"/>
        </w:rPr>
      </w:pPr>
      <w:r>
        <w:rPr>
          <w:rFonts w:ascii="Times New Roman" w:hAnsi="Times New Roman"/>
          <w:sz w:val="20"/>
        </w:rPr>
        <w:t xml:space="preserve">Section 13.07 </w:t>
      </w:r>
      <w:r>
        <w:rPr>
          <w:rFonts w:ascii="Times New Roman" w:hAnsi="Times New Roman"/>
          <w:i/>
          <w:sz w:val="20"/>
        </w:rPr>
        <w:t xml:space="preserve">Future Guarantors. </w:t>
      </w:r>
      <w:r>
        <w:rPr>
          <w:rFonts w:ascii="Times New Roman" w:hAnsi="Times New Roman"/>
          <w:sz w:val="20"/>
        </w:rPr>
        <w:t xml:space="preserve">The Company shall cause each of its direct or indirect Subsidiaries (other than Excluded Subsidiaries) (which is not dissolved within thirty (30) days after its formation or acquisition if formed or acquired after the Issue Date), within thirty (30) days after the formation or acquisition of such Subsidiary, or the date such Subsidiary becomes a Subsidiary of the Company or ceases to be an Excluded Subsidiary, to (i) execute and deliver to the Trustee and Collateral Agent a supplemental indenture substantially in the form attached hereto as Exhibit B, subject to, with respect to the Dutch Entity, any modifications required pursuant to Dutch law, including the Dutch Works Councils Act, pursuant to which such Subsidiary shall unconditionally guarantee all of the Guaranteed Obligations on the terms set forth in this Article 13, (ii) execute and deliver to the Trustee and Collateral Agent joinders or supplements, as applicable, to the Collateral Documents and the Intercreditor Agreement (and, if applicable, any Second Lien Pari Passu Intercreditor Agreement), together with any other filings and agreements (subject to customary extension periods) required by the Collateral Documents to create or perfect the security interests of the Collateral Agent for its benefit and for the benefit of the Trustee and the Holders of the Notes in the Collateral of such Subsidiary and (iii) deliver to the Trustee and the Collateral Agent an Officer’s Certificate and an Opinion of Counsel that such supplemental indenture and joinders or supplements to the Collateral Documents and Intercreditor Agreement (and, if applicable, any Second Lien Pari Passu Intercreditor Agreement) have been duly authorized, executed and delivered by such Subsidiary and constitute legal, valid, binding and enforceable obligations of such Subsidiary. Thereafter, such Subsidiary shall be a Guarantor for all purposes of this Indenture, the Collateral Documents and the Intercreditor Agreement (and, if applicable, any Second Lien Pari Passu Intercreditor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13.08 </w:t>
      </w:r>
      <w:r>
        <w:rPr>
          <w:rFonts w:ascii="Times New Roman" w:hAnsi="Times New Roman"/>
          <w:i/>
          <w:sz w:val="20"/>
        </w:rPr>
        <w:t>Post-Closing</w:t>
      </w:r>
      <w:r>
        <w:rPr>
          <w:rFonts w:ascii="Times New Roman" w:hAnsi="Times New Roman"/>
          <w:sz w:val="20"/>
        </w:rPr>
        <w:t xml:space="preserve">. The Company shall, and shall cause each relevant Subsidiary to, comply with the requirements set forth in Schedule 13.08 within the applicable time periods set forth therein (or such later date as the Collateral Agent may agree at the direction of the Holders). </w:t>
      </w:r>
    </w:p>
    <w:p>
      <w:pPr>
        <w:pStyle w:val="TextBody"/>
        <w:bidi w:val="0"/>
        <w:spacing w:before="480" w:after="0"/>
        <w:jc w:val="center"/>
        <w:rPr>
          <w:rFonts w:ascii="Times New Roman" w:hAnsi="Times New Roman"/>
          <w:sz w:val="20"/>
        </w:rPr>
      </w:pPr>
      <w:r>
        <w:rPr>
          <w:rFonts w:ascii="Times New Roman" w:hAnsi="Times New Roman"/>
          <w:sz w:val="20"/>
        </w:rPr>
        <w:t xml:space="preserve">Article 14. </w:t>
      </w:r>
    </w:p>
    <w:p>
      <w:pPr>
        <w:pStyle w:val="TextBody"/>
        <w:bidi w:val="0"/>
        <w:spacing w:before="0" w:after="0"/>
        <w:jc w:val="center"/>
        <w:rPr>
          <w:rFonts w:ascii="Times New Roman" w:hAnsi="Times New Roman"/>
          <w:sz w:val="20"/>
        </w:rPr>
      </w:pPr>
      <w:r>
        <w:rPr>
          <w:rFonts w:ascii="Times New Roman" w:hAnsi="Times New Roman"/>
          <w:sz w:val="20"/>
        </w:rPr>
        <w:t xml:space="preserve">CONVERSION OF NOTES </w:t>
      </w:r>
    </w:p>
    <w:p>
      <w:pPr>
        <w:pStyle w:val="TextBody"/>
        <w:bidi w:val="0"/>
        <w:spacing w:before="240" w:after="0"/>
        <w:jc w:val="left"/>
        <w:rPr>
          <w:rFonts w:ascii="Times New Roman" w:hAnsi="Times New Roman"/>
          <w:sz w:val="20"/>
        </w:rPr>
      </w:pPr>
      <w:r>
        <w:rPr>
          <w:rFonts w:ascii="Times New Roman" w:hAnsi="Times New Roman"/>
          <w:sz w:val="20"/>
        </w:rPr>
        <w:t xml:space="preserve">Section 14.01 </w:t>
      </w:r>
      <w:r>
        <w:rPr>
          <w:rFonts w:ascii="Times New Roman" w:hAnsi="Times New Roman"/>
          <w:i/>
          <w:sz w:val="20"/>
        </w:rPr>
        <w:t>Conversion Right.</w:t>
      </w:r>
      <w:r>
        <w:rPr>
          <w:rFonts w:ascii="Times New Roman" w:hAnsi="Times New Roman"/>
          <w:sz w:val="20"/>
        </w:rPr>
        <w:t xml:space="preserve"> Subject to, and upon compliance with, the provisions of this Article 14, each Holder of a Note shall have the right, at such Holder’s option, to convert all or any portion (if the portion to be converted is $1,000 principal amount or an integral multiple of $1.00 in excess thereof) of such Note, on any Business Day that is after the Initial Conversion Date and before the close of business on the second Scheduled Trading Day immediately preceding the Maturity Date, in each case, at the applicable Conversion Rate (subject to, and in accordance with, the settlement provisions of Section 14.02, the “</w:t>
      </w:r>
      <w:r>
        <w:rPr>
          <w:rFonts w:ascii="Times New Roman" w:hAnsi="Times New Roman"/>
          <w:b/>
          <w:sz w:val="20"/>
        </w:rPr>
        <w:t>Conversion Obligation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14.02 </w:t>
      </w:r>
      <w:r>
        <w:rPr>
          <w:rFonts w:ascii="Times New Roman" w:hAnsi="Times New Roman"/>
          <w:i/>
          <w:sz w:val="20"/>
        </w:rPr>
        <w:t>Conversion Procedure; Settlement upon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this Section 14.02, Section 14.03, Section 14.04, Section 14.08(a), and Section 14.14, upon conversion of any Note, the Company shall satisfy its Conversion Obligation by paying or delivering, as the case may be, to the converting Holder, in respect of Notes being converted, cash (“</w:t>
      </w:r>
      <w:r>
        <w:rPr>
          <w:rFonts w:ascii="Times New Roman" w:hAnsi="Times New Roman"/>
          <w:b/>
          <w:sz w:val="20"/>
        </w:rPr>
        <w:t>Cash Settlement</w:t>
      </w:r>
      <w:r>
        <w:rPr>
          <w:rFonts w:ascii="Times New Roman" w:hAnsi="Times New Roman"/>
          <w:sz w:val="20"/>
        </w:rPr>
        <w:t>”), shares of Common Stock, together with cash, if applicable, in lieu of delivering any fractional share of Common Stock in accordance with subsection (j) of this Section 14.02 (“</w:t>
      </w:r>
      <w:r>
        <w:rPr>
          <w:rFonts w:ascii="Times New Roman" w:hAnsi="Times New Roman"/>
          <w:b/>
          <w:sz w:val="20"/>
        </w:rPr>
        <w:t>Physical Settlement</w:t>
      </w:r>
      <w:r>
        <w:rPr>
          <w:rFonts w:ascii="Times New Roman" w:hAnsi="Times New Roman"/>
          <w:sz w:val="20"/>
        </w:rPr>
        <w:t>”) or a combination of cash and shares of Common Stock, together with cash, if applicable, in lieu of delivering any fractional share of Common Stock in accordance with subsection (j) of this Section 14.02 (“</w:t>
      </w:r>
      <w:r>
        <w:rPr>
          <w:rFonts w:ascii="Times New Roman" w:hAnsi="Times New Roman"/>
          <w:b/>
          <w:sz w:val="20"/>
        </w:rPr>
        <w:t>Combination Settlement</w:t>
      </w:r>
      <w:r>
        <w:rPr>
          <w:rFonts w:ascii="Times New Roman" w:hAnsi="Times New Roman"/>
          <w:sz w:val="20"/>
        </w:rPr>
        <w:t xml:space="preserve">”), at its election, as set forth in this Section 14.02;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upon conversion of a Note prior to the Requisite Shareholder Approval Date, the Company shall satisfy its Conversion Obligation only through Cash Settlement. Following the Requisite Shareholder Approval Date, the Company will satisfy its Conversion Obligation with any Settlement Method the Company is otherwise permitted to elect.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use the same Settlement Method for all conversions occurring on the same Conversion Date, but the Company shall not have any obligation to use the same Settlement Method with respect to conversions that occur on different Conversion Dates. All conversions for which the relevant Conversion Date occurs on or after the date of the Company’s issuance of an Optional Redemption Notice with respect to any Notes and prior to the related Optional Redemption Date will be settled using the same Settlement Method. </w:t>
      </w:r>
    </w:p>
    <w:p>
      <w:pPr>
        <w:pStyle w:val="TextBody"/>
        <w:bidi w:val="0"/>
        <w:spacing w:before="120" w:after="0"/>
        <w:jc w:val="left"/>
        <w:rPr>
          <w:rFonts w:ascii="Times New Roman" w:hAnsi="Times New Roman"/>
          <w:sz w:val="20"/>
        </w:rPr>
      </w:pPr>
      <w:r>
        <w:rPr>
          <w:rFonts w:ascii="Times New Roman" w:hAnsi="Times New Roman"/>
          <w:sz w:val="20"/>
        </w:rPr>
        <w:t>(ii) If, in respect of any Conversion Date, the Company elects to deliver a notice (the “</w:t>
      </w:r>
      <w:r>
        <w:rPr>
          <w:rFonts w:ascii="Times New Roman" w:hAnsi="Times New Roman"/>
          <w:b/>
          <w:sz w:val="20"/>
        </w:rPr>
        <w:t>Settlement Notice</w:t>
      </w:r>
      <w:r>
        <w:rPr>
          <w:rFonts w:ascii="Times New Roman" w:hAnsi="Times New Roman"/>
          <w:sz w:val="20"/>
        </w:rPr>
        <w:t xml:space="preserve">”) of the relevant Settlement Method in respect of such Conversion Date (or such period, as the case may be), the Company shall deliver such Settlement Notice to converting Holders, the Trustee and the Conversion Agent (if other than the Trustee) no later than the close of business on the Scheduled Trading Day immediately following the relevant Conversion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each case, the “</w:t>
      </w:r>
      <w:r>
        <w:rPr>
          <w:rFonts w:ascii="Times New Roman" w:hAnsi="Times New Roman"/>
          <w:b/>
          <w:sz w:val="20"/>
        </w:rPr>
        <w:t>Settlement Method Election Deadline</w:t>
      </w:r>
      <w:r>
        <w:rPr>
          <w:rFonts w:ascii="Times New Roman" w:hAnsi="Times New Roman"/>
          <w:sz w:val="20"/>
        </w:rPr>
        <w:t xml:space="preserve">”). If the Company does not timely elect a Settlement Method prior to the deadline set forth in the immediately preceding sentence, the Company shall be deemed to have elected Physical Settlement in respect of its Conversion Obligation (provided the Company may change such default settlement method to any permitted Settlement Method by notice to Holders, the Trustee and the Conversion Agent). Such Settlement Notice shall specify the relevant Settlement Method and in the case of an election of Combination Settlement, the relevant Settlement Notice shall indicate the Specified Dollar Amount per $1,000 principal amount of Notes. If the Company timely delivers a Settlement Notice electing Combination Settlement in respect of its Conversion Obligation but does not indicate a Specified Dollar Amount per $1,000 principal amount of Notes in such Settlement Notice, the Specified Dollar Amount per $1,000 principal amount of Notes shall be deemed to be $1,000. </w:t>
      </w:r>
    </w:p>
    <w:p>
      <w:pPr>
        <w:pStyle w:val="TextBody"/>
        <w:bidi w:val="0"/>
        <w:spacing w:before="240" w:after="0"/>
        <w:jc w:val="left"/>
        <w:rPr>
          <w:rFonts w:ascii="Times New Roman" w:hAnsi="Times New Roman"/>
          <w:sz w:val="20"/>
        </w:rPr>
      </w:pPr>
      <w:r>
        <w:rPr>
          <w:rFonts w:ascii="Times New Roman" w:hAnsi="Times New Roman"/>
          <w:sz w:val="20"/>
        </w:rPr>
        <w:t xml:space="preserve">By notice to Holders, the Trustee and the Conversion Agent (if other than the Trustee), the Company may, at its option, irrevocably elect to satisfy its Conversion Obligation with respect to the Notes through any Settlement Method it is then permitted to elect. The irrevocable election will apply to all Note conversions on Conversion Dates occurring subsequent to delivery of such notice;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election will affect any settlement method theretofore elected (or deemed to be elected) with respect to any Note. For the avoidance of doubt, such an irrevocable election, if made, will be effective without the need to amend this Indenture or the Notes, including pursuant to Section 10.01(h). However, the Company may nonetheless choose to execute such an amendment at its option. </w:t>
      </w:r>
    </w:p>
    <w:p>
      <w:pPr>
        <w:pStyle w:val="TextBody"/>
        <w:bidi w:val="0"/>
        <w:spacing w:before="120" w:after="0"/>
        <w:jc w:val="left"/>
        <w:rPr>
          <w:rFonts w:ascii="Times New Roman" w:hAnsi="Times New Roman"/>
          <w:sz w:val="20"/>
        </w:rPr>
      </w:pPr>
      <w:r>
        <w:rPr>
          <w:rFonts w:ascii="Times New Roman" w:hAnsi="Times New Roman"/>
          <w:sz w:val="20"/>
        </w:rPr>
        <w:t>(iii) The cash, shares of Common Stock or combination of cash and shares of Common Stock in respect of any conversion of Notes (the “</w:t>
      </w:r>
      <w:r>
        <w:rPr>
          <w:rFonts w:ascii="Times New Roman" w:hAnsi="Times New Roman"/>
          <w:b/>
          <w:sz w:val="20"/>
        </w:rPr>
        <w:t>Settlement Amount</w:t>
      </w:r>
      <w:r>
        <w:rPr>
          <w:rFonts w:ascii="Times New Roman" w:hAnsi="Times New Roman"/>
          <w:sz w:val="20"/>
        </w:rPr>
        <w:t xml:space="preserve">”) shall be computed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subject to Section 14.14, if the Company elects (or is deemed to have elected) to satisfy its Conversion Obligation in respect of such conversion by Physical Settlement, the Company shall deliver to the converting Holder in respect of each $1,000 principal amount of Notes being converted a number of shares of Common Stock equal to the Conversion Rate in effect on the Conversion Date; </w:t>
      </w:r>
    </w:p>
    <w:p>
      <w:pPr>
        <w:pStyle w:val="TextBody"/>
        <w:bidi w:val="0"/>
        <w:spacing w:before="120" w:after="0"/>
        <w:jc w:val="left"/>
        <w:rPr>
          <w:rFonts w:ascii="Times New Roman" w:hAnsi="Times New Roman"/>
          <w:sz w:val="20"/>
        </w:rPr>
      </w:pPr>
      <w:r>
        <w:rPr>
          <w:rFonts w:ascii="Times New Roman" w:hAnsi="Times New Roman"/>
          <w:sz w:val="20"/>
        </w:rPr>
        <w:t xml:space="preserve">(B) if the Company elects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40 consecutive VWAP Trading Days during the related Observation Period; and </w:t>
      </w:r>
    </w:p>
    <w:p>
      <w:pPr>
        <w:pStyle w:val="TextBody"/>
        <w:bidi w:val="0"/>
        <w:spacing w:before="120" w:after="0"/>
        <w:jc w:val="left"/>
        <w:rPr>
          <w:rFonts w:ascii="Times New Roman" w:hAnsi="Times New Roman"/>
          <w:sz w:val="20"/>
        </w:rPr>
      </w:pPr>
      <w:r>
        <w:rPr>
          <w:rFonts w:ascii="Times New Roman" w:hAnsi="Times New Roman"/>
          <w:sz w:val="20"/>
        </w:rPr>
        <w:t xml:space="preserve">(C) subject to Section 14.14, if the Company elects to satisfy its Conversion Obligation in respect of such conversion by Combination Settlement, the Company shall pay or deliver, as the case may be, to the converting Holder in respect of each $1,000 principal amount of Notes being converted, a Settlement Amount equal to the sum of the Daily Settlement Amounts for each of the 40 consecutive VWAP Trading Days during the related Observation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share of Common Stock, the Company shall notify the Trustee and the Conversion Agent (if other than the Trustee) of the Daily Settlement Amounts or the Daily Conversion Values, as the case may be, and the amount of cash payable in lieu of delivering fractional shares of Common Stock. The Trustee and the Conversion Agent (if other than the Trustee) shall have no responsibility for any such determination. </w:t>
      </w:r>
    </w:p>
    <w:p>
      <w:pPr>
        <w:pStyle w:val="TextBody"/>
        <w:bidi w:val="0"/>
        <w:spacing w:before="240" w:after="0"/>
        <w:jc w:val="left"/>
        <w:rPr>
          <w:rFonts w:ascii="Times New Roman" w:hAnsi="Times New Roman"/>
          <w:sz w:val="20"/>
        </w:rPr>
      </w:pPr>
      <w:r>
        <w:rPr>
          <w:rFonts w:ascii="Times New Roman" w:hAnsi="Times New Roman"/>
          <w:sz w:val="20"/>
        </w:rPr>
        <w:t>(b) Subject to Section 14.02(e), before any Holder of a Note shall be entitled to convert a Note as set forth above, such Holder shall (i) in the case of a Global Note, comply with the applicable procedures of the Depositary in effect at that time and, if required, pay funds equal to interest payable on the next Interest Payment Date to which such Holder is not entitled as set forth in Section 14.02(h) and (ii) in the case of a Physical Note (A) complete, manually sign and deliver an irrevocable notice to the Conversion Agent as set forth in the Form of Notice of Conversion (or a facsimile, PDF or other electronic transmission thereof) (a notice pursuant to the applicable procedures of the Depositary or a notice as set forth in the Form of Notice of Conversion, a “</w:t>
      </w:r>
      <w:r>
        <w:rPr>
          <w:rFonts w:ascii="Times New Roman" w:hAnsi="Times New Roman"/>
          <w:b/>
          <w:sz w:val="20"/>
        </w:rPr>
        <w:t>Notice of Conversion</w:t>
      </w:r>
      <w:r>
        <w:rPr>
          <w:rFonts w:ascii="Times New Roman" w:hAnsi="Times New Roman"/>
          <w:sz w:val="20"/>
        </w:rPr>
        <w:t xml:space="preserve">”)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(B) deliver such Notes, duly endorsed to the Company or in blank (and accompanied by appropriate endorsement and transfer documents), at the office of the Conversion Agent, (C) if required, furnish appropriate endorsements and transfer documents and (D) if required, pay funds equal to interest payable on the next Interest Payment Date to which such Holder is not entitled as set forth in Section 14.02(h). The Trustee (and, if different, the Conversion Agent) shall notify the Company of any conversion pursuant to this Article 14 on the Conversion Date for such conversion. No Notes may be delivered for conversion by a Holder thereof if such Holder has also delivered a Fundamental Change Repurchase Notice to the Company in respect of such Notes and has not validly withdrawn such Fundamental Change Repurchase Notice in accordance with Section 15.02. </w:t>
      </w:r>
    </w:p>
    <w:p>
      <w:pPr>
        <w:pStyle w:val="TextBody"/>
        <w:bidi w:val="0"/>
        <w:spacing w:before="240" w:after="0"/>
        <w:jc w:val="left"/>
        <w:rPr>
          <w:rFonts w:ascii="Times New Roman" w:hAnsi="Times New Roman"/>
          <w:sz w:val="20"/>
        </w:rPr>
      </w:pPr>
      <w:r>
        <w:rPr>
          <w:rFonts w:ascii="Times New Roman" w:hAnsi="Times New Roman"/>
          <w:sz w:val="20"/>
        </w:rPr>
        <w:t xml:space="preserve">If more than one Note shall be delivered for conversion at one time by the same Holder, the Conversion Obligation with respect to such Notes shall be computed on the basis of the aggregate principal amount of the Notes (or specified portions thereof to the extent permitted thereby) so delivered. </w:t>
      </w:r>
    </w:p>
    <w:p>
      <w:pPr>
        <w:pStyle w:val="TextBody"/>
        <w:bidi w:val="0"/>
        <w:spacing w:before="240" w:after="0"/>
        <w:jc w:val="left"/>
        <w:rPr>
          <w:rFonts w:ascii="Times New Roman" w:hAnsi="Times New Roman"/>
          <w:sz w:val="20"/>
        </w:rPr>
      </w:pPr>
      <w:r>
        <w:rPr>
          <w:rFonts w:ascii="Times New Roman" w:hAnsi="Times New Roman"/>
          <w:sz w:val="20"/>
        </w:rPr>
        <w:t>(c) A Note shall be deemed to have been converted immediately prior to the close of business on the date (the “</w:t>
      </w:r>
      <w:r>
        <w:rPr>
          <w:rFonts w:ascii="Times New Roman" w:hAnsi="Times New Roman"/>
          <w:b/>
          <w:sz w:val="20"/>
        </w:rPr>
        <w:t>Conversion Date</w:t>
      </w:r>
      <w:r>
        <w:rPr>
          <w:rFonts w:ascii="Times New Roman" w:hAnsi="Times New Roman"/>
          <w:sz w:val="20"/>
        </w:rPr>
        <w:t xml:space="preserve">”) that the Holder has complied with the requirements set forth in Section 14.02(b). Except as set forth Section 14.08(b), the Company shall pay or deliver, as the case may be, the consideration due in respect of the Conversion Obligation on the second VWAP Trading Day immediately following the relevant Conversion Date, if the Company elects Physical Settlement, or on the second VWAP Trading Day immediately following the last VWAP Trading Day of the relevant Observation Period, in the case of any other Settlement Method;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settle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Maturity Date (or, if the Maturity Date is not a Business Day, the immediately following Business Day) any conversions to which Physical Settlement applies and whose Conversion Date occurs on or after the date that is three months prior to the Maturity Date. If any shares of Common Stock are due to a converting Holder, the Company shall issue or cause to be issued, and deliver to the Transfer Agent or to such Holder, or such Holder’s nominee or nominees, certificates or a book-entry transfer through the Depositary for the full number of shares of Common Stock to which such Holder shall be entitled in satisfaction of the Company’s Conversion Obligation. </w:t>
      </w:r>
    </w:p>
    <w:p>
      <w:pPr>
        <w:pStyle w:val="TextBody"/>
        <w:bidi w:val="0"/>
        <w:spacing w:before="240" w:after="0"/>
        <w:jc w:val="left"/>
        <w:rPr>
          <w:rFonts w:ascii="Times New Roman" w:hAnsi="Times New Roman"/>
          <w:sz w:val="20"/>
        </w:rPr>
      </w:pPr>
      <w:r>
        <w:rPr>
          <w:rFonts w:ascii="Times New Roman" w:hAnsi="Times New Roman"/>
          <w:sz w:val="20"/>
        </w:rPr>
        <w:t xml:space="preserve">(d) In case any Note shall be delivered for partial conversion, the Company shall execute and the Trustee shall authenticate and deliver to or upon the written order of the Holder of the Note so delivered a new Note or Notes in authorized denominations in an aggregate principal amount equal to the unconverted portion of the delivered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delivered for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(e) If a Holder submits a Note for conversion, the Company shall pay any documentary, stamp or similar issue or transfer tax due on the issue of any shares of Common Stock upon conversion, unless the tax is due because the Holder requests such shares to be issued in a name other than the Holder’s name, in which case the Holder shall pay such tax. The Conversion Agent or Transfer Agent may refuse to deliver the certificates representing the shares of Common Stock being issued in a name other than the Holder’s name until the Trustee receives a sum sufficient to pay any tax that is due by such Holder in accordance with the immediately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(f) Except as provided in Section 14.05, no adjustment shall be made for dividends on any shares of Common Stock issued upon the conversion of any Note as provided in this Article 14. </w:t>
      </w:r>
    </w:p>
    <w:p>
      <w:pPr>
        <w:pStyle w:val="TextBody"/>
        <w:bidi w:val="0"/>
        <w:spacing w:before="240" w:after="0"/>
        <w:jc w:val="left"/>
        <w:rPr>
          <w:rFonts w:ascii="Times New Roman" w:hAnsi="Times New Roman"/>
          <w:sz w:val="20"/>
        </w:rPr>
      </w:pPr>
      <w:r>
        <w:rPr>
          <w:rFonts w:ascii="Times New Roman" w:hAnsi="Times New Roman"/>
          <w:sz w:val="20"/>
        </w:rPr>
        <w:t xml:space="preserve">(g) 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 </w:t>
      </w:r>
    </w:p>
    <w:p>
      <w:pPr>
        <w:pStyle w:val="TextBody"/>
        <w:bidi w:val="0"/>
        <w:spacing w:before="240" w:after="0"/>
        <w:jc w:val="left"/>
        <w:rPr>
          <w:rFonts w:ascii="Times New Roman" w:hAnsi="Times New Roman"/>
          <w:sz w:val="20"/>
        </w:rPr>
      </w:pPr>
      <w:r>
        <w:rPr>
          <w:rFonts w:ascii="Times New Roman" w:hAnsi="Times New Roman"/>
          <w:sz w:val="20"/>
        </w:rPr>
        <w:t xml:space="preserve">(h) Upon conversion, a Holder shall not receive any separate cash payment or PIK Payment for accrued and unpaid interest, if any, except as set forth in Section 14.03. The Company’s settlement of the full Conversion Obligation shall be deemed to satisfy in full its obligation to pay the principal amount of the Note and accrued and unpaid interest, if any, to, but excluding, the relevant Conversion Date. As a result, accrued and unpaid interest, if any, to, but excluding, the relevant Conversion Date shall be deemed to be paid in full rather than cancelled, extinguished or forfeited. Upon a conversion of Notes into a combination of cash and shares of Common Stock, accrued and unpaid interest will be deemed to be paid first out of the cash paid upon such conversion. Notwithstanding the foregoing, if Notes are converted after the close of business on a Regular Record Date and prior to the open of business on the corresponding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Payment Date, Holders of such Notes as of the close of business on such Regular Record Date will receive the full amount of interest payable on such Notes on the corresponding Interest Payment Date notwithstanding the conversion. Notes delivered for conversion during the period from the close of business on any Regular Record Date to the open of business on the immediately following Interest Payment Date must be accompanied by funds equal to the amount of Cash Interest payable on the Notes so converted; </w:t>
      </w:r>
      <w:r>
        <w:rPr>
          <w:rFonts w:ascii="Times New Roman" w:hAnsi="Times New Roman"/>
          <w:i/>
          <w:sz w:val="20"/>
        </w:rPr>
        <w:t>provided</w:t>
      </w:r>
      <w:r>
        <w:rPr>
          <w:rFonts w:ascii="Times New Roman" w:hAnsi="Times New Roman"/>
          <w:sz w:val="20"/>
        </w:rPr>
        <w:t xml:space="preserve"> that no such payment shall be required (i) for conversions following the Regular Record Date immediately preceding the Maturity Date; (ii) if the Company has specified a Fundamental Change Repurchase Date that is after a Regular Record Date and on or prior to the Business Day immediately succeeding the corresponding Interest Payment Date; or (iii) to the extent of any Additional Interest or Defaulted Amounts, if any Additional Interest or Defaulted Amounts exist at the time of conversion with respect to such Note. Therefore, for the avoidance of doubt, all Holders of record on the Regular Record Date immediately preceding the Maturity Date or any Fundamental Change Repurchase Date, in each case, as described above, shall receive the full interest payment due on the Maturity Date or other applicable Interest Payment Date via Cash Interest regardless of whether their Notes have been converted and/or repurchased, as applicable, following such Regular Record Date. </w:t>
      </w:r>
    </w:p>
    <w:p>
      <w:pPr>
        <w:pStyle w:val="TextBody"/>
        <w:bidi w:val="0"/>
        <w:spacing w:before="240" w:after="0"/>
        <w:jc w:val="left"/>
        <w:rPr>
          <w:rFonts w:ascii="Times New Roman" w:hAnsi="Times New Roman"/>
          <w:sz w:val="20"/>
        </w:rPr>
      </w:pPr>
      <w:r>
        <w:rPr>
          <w:rFonts w:ascii="Times New Roman" w:hAnsi="Times New Roman"/>
          <w:sz w:val="20"/>
        </w:rPr>
        <w:t xml:space="preserve">(i) The Person in whose name the certificate for any shares of Common Stock delivered upon conversion is registered shall be treated as a stockholder of record as of the close of business on the relevant Conversion Date (if the Company elects to satisfy the related Conversion Obligation by Physical Settlement) or the last VWAP Trading Day of the relevant Observation Period (if the Company elects to satisfy the related Conversion Obligation by Combination Settlement), as the case may be. Upon a conversion of Notes, such Person shall no longer be a Holder of such Notes delivered for conversion. </w:t>
      </w:r>
    </w:p>
    <w:p>
      <w:pPr>
        <w:pStyle w:val="TextBody"/>
        <w:bidi w:val="0"/>
        <w:spacing w:before="240" w:after="0"/>
        <w:jc w:val="left"/>
        <w:rPr>
          <w:rFonts w:ascii="Times New Roman" w:hAnsi="Times New Roman"/>
          <w:sz w:val="20"/>
        </w:rPr>
      </w:pPr>
      <w:r>
        <w:rPr>
          <w:rFonts w:ascii="Times New Roman" w:hAnsi="Times New Roman"/>
          <w:sz w:val="20"/>
        </w:rPr>
        <w:t xml:space="preserve">(j) The Company shall not issue any fractional share of Common Stock upon conversion of the Notes and shall instead pay cash in lieu of delivering any fractional share of Common Stock issuable upon conversion based on the Daily VWAP on the relevant Conversion Date (in the case of Physical Settlement) or based on the Daily VWAP on the last VWAP Trading Day of the relevant Observation Period (in the case of Combination Settlement). For each Note delivered for conversion, if the Company has elected (or is deemed to have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 </w:t>
      </w:r>
    </w:p>
    <w:p>
      <w:pPr>
        <w:pStyle w:val="TextBody"/>
        <w:bidi w:val="0"/>
        <w:spacing w:before="240" w:after="0"/>
        <w:jc w:val="left"/>
        <w:rPr>
          <w:rFonts w:ascii="Times New Roman" w:hAnsi="Times New Roman"/>
          <w:sz w:val="20"/>
        </w:rPr>
      </w:pPr>
      <w:r>
        <w:rPr>
          <w:rFonts w:ascii="Times New Roman" w:hAnsi="Times New Roman"/>
          <w:sz w:val="20"/>
        </w:rPr>
        <w:t xml:space="preserve">Section 14.03 </w:t>
      </w:r>
      <w:r>
        <w:rPr>
          <w:rFonts w:ascii="Times New Roman" w:hAnsi="Times New Roman"/>
          <w:i/>
          <w:sz w:val="20"/>
        </w:rPr>
        <w:t xml:space="preserve">Interest Make-Whole Conversion Rate Adjustment upon Certain Conversions. </w:t>
      </w:r>
      <w:r>
        <w:rPr>
          <w:rFonts w:ascii="Times New Roman" w:hAnsi="Times New Roman"/>
          <w:sz w:val="20"/>
        </w:rPr>
        <w:t xml:space="preserve">Subject to the provisions in Section 14.04 for conversions in connection with a Make-Whole Fundamental Change, which, for the avoidance of doubt, will operate independently from this Section 14.03, if a Holder delivers its Notes for conversion at any time prior to the close of business on the Business Day immediately preceding October 15, 2028, the Conversion Rate then in effect per $1,000 principal amount of Notes to be converted will be increased, solely for purposes of such conversion, by a number of additional shares of Common Stock, if any, equal to the sum of the remaining scheduled payments of Cash Interest that would have been made on such Notes to be converted at the Stated Interest rate had such Notes remained outstanding from the Conversion Date to, and including October 15, 2028, divided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Dollar Conversion Price as of the applicable Conversion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connection with any conversion at the option of a Holder pursuant to Section 14.01 or a Mandatory Conversion pursuant to Section 16.01 or an Optional Redemption pursuant to Section 15.04 (and, for the avoidance of doubt, not in connection with a Mandatory Equitization pursuant to Section 17.01), the Conversion Rate applicable to such a conversion will in no event be increased to greater than 1,029.2716 shares of Common Stock per $1,000 principal amount of Notes (which amount is subject to adjustment in the same manner as, and at the same time and for the same events for which, the Conversion Rate is required to be adjusted as a result of the operation of Section 14.05). For the avoidance of doubt, any increase to the Conversion Rate in connection with a conversion pursuant to this Section 14.03 will only be applicable for purposes of the conversion of such Notes and will not be applicable for any other calculation or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14.04 </w:t>
      </w:r>
      <w:r>
        <w:rPr>
          <w:rFonts w:ascii="Times New Roman" w:hAnsi="Times New Roman"/>
          <w:i/>
          <w:sz w:val="20"/>
        </w:rPr>
        <w:t>Increased Conversion Rate Applicable to Certain Notes Delivered in Connection with Make-Whole Fundamental Changes.</w:t>
      </w:r>
      <w:r>
        <w:rPr>
          <w:rFonts w:ascii="Times New Roman" w:hAnsi="Times New Roman"/>
          <w:sz w:val="20"/>
        </w:rPr>
        <w:t xml:space="preserve"> (a) If a Make-Whole Fundamental Change occurs and the Conversion Date for the conversion of a Note occurs during the related Make-Whole Fundamental Change Conversion Period, then, the Conversion Rate applicable to such conversion will equal the greater of (i) the As-Adjusted Coupon Make-Whole Conversion Rate, and (ii) the “As-Adjusted Table Make-Whole Conversion Rate” (as described below);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for the avoidance of doubt, in no event will the Conversion Rate applicable to any conversion be increased to an amount that exceeds 1,029.2716 shares of Common Stock per $1,000 principal amount of Notes, which amount is subject to adjustment in the same manner as, and at the same time and for the same events for which, the Conversion Rate is required to be adjusted as a result of the operation of the provisions in Section 14.05. </w:t>
      </w:r>
    </w:p>
    <w:p>
      <w:pPr>
        <w:pStyle w:val="TextBody"/>
        <w:bidi w:val="0"/>
        <w:spacing w:before="240" w:after="0"/>
        <w:jc w:val="left"/>
        <w:rPr>
          <w:rFonts w:ascii="Times New Roman" w:hAnsi="Times New Roman"/>
          <w:sz w:val="20"/>
        </w:rPr>
      </w:pPr>
      <w:r>
        <w:rPr>
          <w:rFonts w:ascii="Times New Roman" w:hAnsi="Times New Roman"/>
          <w:sz w:val="20"/>
        </w:rPr>
        <w:t>(b) Subject to the provisions below, the “</w:t>
      </w:r>
      <w:r>
        <w:rPr>
          <w:rFonts w:ascii="Times New Roman" w:hAnsi="Times New Roman"/>
          <w:b/>
          <w:sz w:val="20"/>
        </w:rPr>
        <w:t>As-Adjusted Table Make-Whole Conversion Rate</w:t>
      </w:r>
      <w:r>
        <w:rPr>
          <w:rFonts w:ascii="Times New Roman" w:hAnsi="Times New Roman"/>
          <w:sz w:val="20"/>
        </w:rPr>
        <w:t xml:space="preserve">” will be calculated by multiplying the base Conversion Rate (which, for the avoidance of doubt, will be the Conversion Rate without adjustment, if any, pursuant to Section 14.03) by the percentage set forth in the table below corresponding (after interpolation as described below) to the effective date of such Make-Whole Fundamental Change and the Stock Price of such Make-Whole Fundamental Change: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10"/>
        <w:gridCol w:w="125"/>
        <w:gridCol w:w="60"/>
        <w:gridCol w:w="560"/>
        <w:gridCol w:w="275"/>
        <w:gridCol w:w="67"/>
        <w:gridCol w:w="60"/>
        <w:gridCol w:w="560"/>
        <w:gridCol w:w="275"/>
        <w:gridCol w:w="67"/>
        <w:gridCol w:w="78"/>
        <w:gridCol w:w="741"/>
        <w:gridCol w:w="275"/>
        <w:gridCol w:w="67"/>
        <w:gridCol w:w="78"/>
        <w:gridCol w:w="741"/>
        <w:gridCol w:w="275"/>
        <w:gridCol w:w="66"/>
        <w:gridCol w:w="61"/>
        <w:gridCol w:w="574"/>
        <w:gridCol w:w="275"/>
        <w:gridCol w:w="67"/>
        <w:gridCol w:w="78"/>
        <w:gridCol w:w="741"/>
        <w:gridCol w:w="275"/>
        <w:gridCol w:w="67"/>
        <w:gridCol w:w="78"/>
        <w:gridCol w:w="741"/>
        <w:gridCol w:w="275"/>
        <w:gridCol w:w="67"/>
        <w:gridCol w:w="61"/>
        <w:gridCol w:w="574"/>
        <w:gridCol w:w="291"/>
      </w:tblGrid>
      <w:tr>
        <w:trPr/>
        <w:tc>
          <w:tcPr>
            <w:tcW w:w="161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179"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Stock Price</w:t>
            </w:r>
          </w:p>
        </w:tc>
        <w:tc>
          <w:tcPr>
            <w:tcW w:w="291" w:type="dxa"/>
            <w:tcBorders/>
            <w:vAlign w:val="bottom"/>
          </w:tcPr>
          <w:p>
            <w:pPr>
              <w:pStyle w:val="TableContents"/>
              <w:bidi w:val="0"/>
              <w:spacing w:before="0" w:after="283"/>
              <w:jc w:val="left"/>
              <w:rPr/>
            </w:pPr>
            <w:r>
              <w:rPr/>
              <w:t> </w:t>
            </w:r>
          </w:p>
        </w:tc>
      </w:tr>
      <w:tr>
        <w:trPr/>
        <w:tc>
          <w:tcPr>
            <w:tcW w:w="16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Effective Date</w:t>
            </w:r>
          </w:p>
        </w:tc>
        <w:tc>
          <w:tcPr>
            <w:tcW w:w="125"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$X</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$(Yx1.2)</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$(Yx1.6)</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$(Yx2)</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$(Yx2.4)</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$(Yx3.2)</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$(Yx4)</w:t>
            </w:r>
          </w:p>
        </w:tc>
        <w:tc>
          <w:tcPr>
            <w:tcW w:w="291" w:type="dxa"/>
            <w:tcBorders/>
            <w:vAlign w:val="bottom"/>
          </w:tcPr>
          <w:p>
            <w:pPr>
              <w:pStyle w:val="TableContents"/>
              <w:bidi w:val="0"/>
              <w:spacing w:before="0" w:after="283"/>
              <w:jc w:val="left"/>
              <w:rPr/>
            </w:pPr>
            <w:r>
              <w:rPr/>
              <w:t> </w:t>
            </w:r>
          </w:p>
        </w:tc>
      </w:tr>
      <w:tr>
        <w:trPr/>
        <w:tc>
          <w:tcPr>
            <w:tcW w:w="1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2025</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110.0</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108.7</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107.7</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104.9</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103.3</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102.4</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101.3</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100.7</w:t>
            </w:r>
          </w:p>
        </w:tc>
        <w:tc>
          <w:tcPr>
            <w:tcW w:w="291" w:type="dxa"/>
            <w:tcBorders/>
            <w:shd w:fill="CCEEFF" w:val="clear"/>
            <w:vAlign w:val="bottom"/>
          </w:tcPr>
          <w:p>
            <w:pPr>
              <w:pStyle w:val="TableContents"/>
              <w:bidi w:val="0"/>
              <w:spacing w:before="0" w:after="283"/>
              <w:jc w:val="left"/>
              <w:rPr/>
            </w:pPr>
            <w:r>
              <w:rPr/>
              <w:t>% </w:t>
            </w:r>
          </w:p>
        </w:tc>
      </w:tr>
      <w:tr>
        <w:trPr/>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2026</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110.0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108.7</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107.7</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104.9</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103.3</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102.4</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101.3</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100.7</w:t>
            </w:r>
          </w:p>
        </w:tc>
        <w:tc>
          <w:tcPr>
            <w:tcW w:w="291" w:type="dxa"/>
            <w:tcBorders/>
            <w:vAlign w:val="bottom"/>
          </w:tcPr>
          <w:p>
            <w:pPr>
              <w:pStyle w:val="TableContents"/>
              <w:bidi w:val="0"/>
              <w:spacing w:before="0" w:after="283"/>
              <w:jc w:val="left"/>
              <w:rPr/>
            </w:pPr>
            <w:r>
              <w:rPr/>
              <w:t>% </w:t>
            </w:r>
          </w:p>
        </w:tc>
      </w:tr>
      <w:tr>
        <w:trPr/>
        <w:tc>
          <w:tcPr>
            <w:tcW w:w="1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2027</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110.0</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108.7</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107.6</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104.7</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103.2</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102.2</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101.2</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100.7</w:t>
            </w:r>
          </w:p>
        </w:tc>
        <w:tc>
          <w:tcPr>
            <w:tcW w:w="291" w:type="dxa"/>
            <w:tcBorders/>
            <w:shd w:fill="CCEEFF" w:val="clear"/>
            <w:vAlign w:val="bottom"/>
          </w:tcPr>
          <w:p>
            <w:pPr>
              <w:pStyle w:val="TableContents"/>
              <w:bidi w:val="0"/>
              <w:spacing w:before="0" w:after="283"/>
              <w:jc w:val="left"/>
              <w:rPr/>
            </w:pPr>
            <w:r>
              <w:rPr/>
              <w:t>% </w:t>
            </w:r>
          </w:p>
        </w:tc>
      </w:tr>
      <w:tr>
        <w:trPr/>
        <w:tc>
          <w:tcPr>
            <w:tcW w:w="1610"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2028</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110.0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108.6</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107.3</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104.3</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102.8</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102.0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101.1</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100.6</w:t>
            </w:r>
          </w:p>
        </w:tc>
        <w:tc>
          <w:tcPr>
            <w:tcW w:w="291" w:type="dxa"/>
            <w:tcBorders/>
            <w:vAlign w:val="bottom"/>
          </w:tcPr>
          <w:p>
            <w:pPr>
              <w:pStyle w:val="TableContents"/>
              <w:bidi w:val="0"/>
              <w:spacing w:before="0" w:after="283"/>
              <w:jc w:val="left"/>
              <w:rPr/>
            </w:pPr>
            <w:r>
              <w:rPr/>
              <w:t>% </w:t>
            </w:r>
          </w:p>
        </w:tc>
      </w:tr>
      <w:tr>
        <w:trPr/>
        <w:tc>
          <w:tcPr>
            <w:tcW w:w="1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2029</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110.0</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108.0</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106.3</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103.1</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101.9</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101.3</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100.7</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100.4</w:t>
            </w:r>
          </w:p>
        </w:tc>
        <w:tc>
          <w:tcPr>
            <w:tcW w:w="291" w:type="dxa"/>
            <w:tcBorders/>
            <w:shd w:fill="CCEEFF" w:val="clear"/>
            <w:vAlign w:val="bottom"/>
          </w:tcPr>
          <w:p>
            <w:pPr>
              <w:pStyle w:val="TableContents"/>
              <w:bidi w:val="0"/>
              <w:spacing w:before="0" w:after="283"/>
              <w:jc w:val="left"/>
              <w:rPr/>
            </w:pPr>
            <w:r>
              <w:rPr/>
              <w:t>% </w:t>
            </w:r>
          </w:p>
        </w:tc>
      </w:tr>
      <w:tr>
        <w:trPr/>
        <w:tc>
          <w:tcPr>
            <w:tcW w:w="16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October 15, 2030</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110.0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100.0</w:t>
            </w:r>
          </w:p>
        </w:tc>
        <w:tc>
          <w:tcPr>
            <w:tcW w:w="291"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rFonts w:ascii="Times New Roman" w:hAnsi="Times New Roman"/>
          <w:sz w:val="20"/>
        </w:rPr>
      </w:pPr>
      <w:r>
        <w:rPr>
          <w:rFonts w:ascii="Times New Roman" w:hAnsi="Times New Roman"/>
          <w:sz w:val="20"/>
        </w:rPr>
        <w:t xml:space="preserve">X = (1,000 ÷ Initial Base Conversion Rate); and </w:t>
      </w:r>
    </w:p>
    <w:p>
      <w:pPr>
        <w:pStyle w:val="TextBody"/>
        <w:bidi w:val="0"/>
        <w:spacing w:before="240" w:after="0"/>
        <w:jc w:val="left"/>
        <w:rPr>
          <w:rFonts w:ascii="Times New Roman" w:hAnsi="Times New Roman"/>
          <w:sz w:val="20"/>
        </w:rPr>
      </w:pPr>
      <w:r>
        <w:rPr>
          <w:rFonts w:ascii="Times New Roman" w:hAnsi="Times New Roman"/>
          <w:sz w:val="20"/>
        </w:rPr>
        <w:t xml:space="preserve">Y = (X ÷ 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such effective date or Stock Price is not set forth in the table above, then: </w:t>
      </w:r>
    </w:p>
    <w:p>
      <w:pPr>
        <w:pStyle w:val="TextBody"/>
        <w:bidi w:val="0"/>
        <w:spacing w:before="120" w:after="0"/>
        <w:jc w:val="left"/>
        <w:rPr>
          <w:rFonts w:ascii="Times New Roman" w:hAnsi="Times New Roman"/>
          <w:sz w:val="20"/>
        </w:rPr>
      </w:pPr>
      <w:r>
        <w:rPr>
          <w:rFonts w:ascii="Times New Roman" w:hAnsi="Times New Roman"/>
          <w:sz w:val="20"/>
        </w:rPr>
        <w:t xml:space="preserve">(i) if such Stock Price is between two Stock Prices in the table above or the effective date is between two dates in the table above, then the applicable percentage will be determined by straight-line interpolation between the percentage set forth for the higher and lower Stock Prices in the table above or the earlier and later dates in the table above, based on a 365- or 366-day year, as applicable; and </w:t>
      </w:r>
    </w:p>
    <w:p>
      <w:pPr>
        <w:pStyle w:val="TextBody"/>
        <w:bidi w:val="0"/>
        <w:spacing w:before="120" w:after="0"/>
        <w:jc w:val="left"/>
        <w:rPr>
          <w:rFonts w:ascii="Times New Roman" w:hAnsi="Times New Roman"/>
          <w:sz w:val="20"/>
        </w:rPr>
      </w:pPr>
      <w:r>
        <w:rPr>
          <w:rFonts w:ascii="Times New Roman" w:hAnsi="Times New Roman"/>
          <w:sz w:val="20"/>
        </w:rPr>
        <w:t xml:space="preserve">(ii) if the Stock Price is greater than $(Y x 4) (subject to adjustment in the same manner as the Stock Prices set forth in the column headings of the table above are adjusted), or less than $Y (subject to adjustment in the same manner), per share, then such percentage will be deemed to be 100% (which, for the avoidance of doubt, means there will be no increase to the base Conversion Rate).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no event will the Conversion Rate be increased to an amount that exceeds 1,029.2716 shares of Common Stock per $1,000 principal amount of Notes, which amount is subject to adjustment in the same manner as, and at the same time and for the same events for which, the Conversion Rate is required to be adjusted pursuant to Section 14.05.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Adjustment of Stock Prices</w:t>
      </w:r>
      <w:r>
        <w:rPr>
          <w:rFonts w:ascii="Times New Roman" w:hAnsi="Times New Roman"/>
          <w:sz w:val="20"/>
        </w:rPr>
        <w:t xml:space="preserve">. The Stock Prices in the first row (i.e., the column headers) of the table above will be adjusted in the same manner as, and at the same time and for the same events for which, the Conversion Price is adjusted as a result of the operation of the provisions described in Section 14.05.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 of Make-Whole Fundamental Change</w:t>
      </w:r>
      <w:r>
        <w:rPr>
          <w:rFonts w:ascii="Times New Roman" w:hAnsi="Times New Roman"/>
          <w:sz w:val="20"/>
        </w:rPr>
        <w:t xml:space="preserve">. The Company will notify Holders of each Make-Whole Fundamental Change no later than the Business Day immediately following the effective date of such Make-Whole Fundamental Change. </w:t>
      </w:r>
    </w:p>
    <w:p>
      <w:pPr>
        <w:pStyle w:val="TextBody"/>
        <w:bidi w:val="0"/>
        <w:spacing w:before="240" w:after="0"/>
        <w:jc w:val="left"/>
        <w:rPr>
          <w:rFonts w:ascii="Times New Roman" w:hAnsi="Times New Roman"/>
          <w:sz w:val="20"/>
        </w:rPr>
      </w:pPr>
      <w:r>
        <w:rPr>
          <w:rFonts w:ascii="Times New Roman" w:hAnsi="Times New Roman"/>
          <w:sz w:val="20"/>
        </w:rPr>
        <w:t xml:space="preserve">Section 14.05 </w:t>
      </w:r>
      <w:r>
        <w:rPr>
          <w:rFonts w:ascii="Times New Roman" w:hAnsi="Times New Roman"/>
          <w:i/>
          <w:sz w:val="20"/>
        </w:rPr>
        <w:t xml:space="preserve">Adjustment of Conversion Rate. </w:t>
      </w:r>
      <w:r>
        <w:rPr>
          <w:rFonts w:ascii="Times New Roman" w:hAnsi="Times New Roman"/>
          <w:sz w:val="20"/>
        </w:rPr>
        <w:t xml:space="preserve">The Conversion Rate shall be adjusted from time to time by the Company if any of the following events occurs, except that the Company shall not make any adjustments to the Conversion Rate if each Holder of the Notes participates (other than in the case of (x) a share split or share combination or (y) a tender or exchange offer), at the same time and upon the same terms as holders of the Common Stock and solely as a result of holding the Notes, in any of the transactions described in this Section 14.05, without having to convert its Notes, as if such Holder held a number of shares of Common Stock equal to the Conversion Rate, </w:t>
      </w:r>
      <w:r>
        <w:rPr>
          <w:rFonts w:ascii="Times New Roman" w:hAnsi="Times New Roman"/>
          <w:i/>
          <w:sz w:val="20"/>
        </w:rPr>
        <w:t>multiplied by</w:t>
      </w:r>
      <w:r>
        <w:rPr>
          <w:rFonts w:ascii="Times New Roman" w:hAnsi="Times New Roman"/>
          <w:sz w:val="20"/>
        </w:rPr>
        <w:t xml:space="preserve"> the principal amount (expressed in thousands) of Notes held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(a) If the Company exclusively issues shares of Common Stock as a dividend or distribution on shares of the Common Stock, or if the Company effects a share split or share combination, the Conversion Rate shall be adjusted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1239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4191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1"/>
        <w:gridCol w:w="114"/>
        <w:gridCol w:w="422"/>
        <w:gridCol w:w="133"/>
        <w:gridCol w:w="9125"/>
      </w:tblGrid>
      <w:tr>
        <w:trPr/>
        <w:tc>
          <w:tcPr>
            <w:tcW w:w="411"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9125" w:type="dxa"/>
            <w:tcBorders/>
            <w:vAlign w:val="center"/>
          </w:tcPr>
          <w:p>
            <w:pPr>
              <w:pStyle w:val="TableContents"/>
              <w:bidi w:val="0"/>
              <w:spacing w:before="0" w:after="283"/>
              <w:jc w:val="left"/>
              <w:rPr>
                <w:sz w:val="4"/>
                <w:szCs w:val="4"/>
              </w:rPr>
            </w:pPr>
            <w:r>
              <w:rPr>
                <w:sz w:val="4"/>
                <w:szCs w:val="4"/>
              </w:rPr>
            </w:r>
          </w:p>
        </w:tc>
      </w:tr>
      <w:tr>
        <w:trPr/>
        <w:tc>
          <w:tcPr>
            <w:tcW w:w="411" w:type="dxa"/>
            <w:tcBorders/>
          </w:tcPr>
          <w:p>
            <w:pPr>
              <w:pStyle w:val="TableContents"/>
              <w:bidi w:val="0"/>
              <w:spacing w:before="0" w:after="0"/>
              <w:jc w:val="left"/>
              <w:rPr>
                <w:rFonts w:ascii="Times New Roman" w:hAnsi="Times New Roman"/>
                <w:sz w:val="20"/>
              </w:rPr>
            </w:pPr>
            <w:r>
              <w:rPr>
                <w:rFonts w:ascii="Times New Roman" w:hAnsi="Times New Roman"/>
                <w:sz w:val="20"/>
              </w:rPr>
              <w:t>CR0</w:t>
            </w:r>
          </w:p>
        </w:tc>
        <w:tc>
          <w:tcPr>
            <w:tcW w:w="114" w:type="dxa"/>
            <w:tcBorders/>
            <w:vAlign w:val="bottom"/>
          </w:tcPr>
          <w:p>
            <w:pPr>
              <w:pStyle w:val="TableContents"/>
              <w:bidi w:val="0"/>
              <w:spacing w:before="0" w:after="283"/>
              <w:jc w:val="left"/>
              <w:rPr/>
            </w:pPr>
            <w:r>
              <w:rPr/>
              <w:t> </w:t>
            </w:r>
          </w:p>
        </w:tc>
        <w:tc>
          <w:tcPr>
            <w:tcW w:w="422"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33" w:type="dxa"/>
            <w:tcBorders/>
            <w:vAlign w:val="bottom"/>
          </w:tcPr>
          <w:p>
            <w:pPr>
              <w:pStyle w:val="TableContents"/>
              <w:bidi w:val="0"/>
              <w:spacing w:before="0" w:after="283"/>
              <w:jc w:val="left"/>
              <w:rPr/>
            </w:pPr>
            <w:r>
              <w:rPr/>
              <w:t>  </w:t>
            </w:r>
          </w:p>
        </w:tc>
        <w:tc>
          <w:tcPr>
            <w:tcW w:w="9125" w:type="dxa"/>
            <w:tcBorders/>
            <w:vAlign w:val="bottom"/>
          </w:tcPr>
          <w:p>
            <w:pPr>
              <w:pStyle w:val="TableContents"/>
              <w:bidi w:val="0"/>
              <w:spacing w:before="0" w:after="283"/>
              <w:jc w:val="left"/>
              <w:rPr/>
            </w:pPr>
            <w:r>
              <w:rPr/>
              <w:t>the Conversion Rate in effect immediately prior to the open of business on the Ex-Dividend Date of such dividend or distribution, or immediately prior to the open of business on the Effective Date of such share split or share combination, as applicable;</w:t>
            </w:r>
          </w:p>
        </w:tc>
      </w:tr>
      <w:tr>
        <w:trPr>
          <w:trHeight w:val="120" w:hRule="atLeast"/>
        </w:trPr>
        <w:tc>
          <w:tcPr>
            <w:tcW w:w="411" w:type="dxa"/>
            <w:tcBorders/>
            <w:vAlign w:val="center"/>
          </w:tcPr>
          <w:p>
            <w:pPr>
              <w:pStyle w:val="TableContents"/>
              <w:bidi w:val="0"/>
              <w:spacing w:before="0" w:after="283"/>
              <w:jc w:val="left"/>
              <w:rPr>
                <w:sz w:val="4"/>
                <w:szCs w:val="4"/>
              </w:rPr>
            </w:pPr>
            <w:r>
              <w:rPr>
                <w:sz w:val="4"/>
                <w:szCs w:val="4"/>
              </w:rPr>
            </w:r>
          </w:p>
        </w:tc>
        <w:tc>
          <w:tcPr>
            <w:tcW w:w="536" w:type="dxa"/>
            <w:gridSpan w:val="2"/>
            <w:tcBorders/>
            <w:vAlign w:val="center"/>
          </w:tcPr>
          <w:p>
            <w:pPr>
              <w:pStyle w:val="TableContents"/>
              <w:bidi w:val="0"/>
              <w:spacing w:before="0" w:after="283"/>
              <w:jc w:val="left"/>
              <w:rPr>
                <w:sz w:val="4"/>
                <w:szCs w:val="4"/>
              </w:rPr>
            </w:pPr>
            <w:r>
              <w:rPr>
                <w:sz w:val="4"/>
                <w:szCs w:val="4"/>
              </w:rPr>
            </w:r>
          </w:p>
        </w:tc>
        <w:tc>
          <w:tcPr>
            <w:tcW w:w="9258" w:type="dxa"/>
            <w:gridSpan w:val="2"/>
            <w:tcBorders/>
            <w:vAlign w:val="center"/>
          </w:tcPr>
          <w:p>
            <w:pPr>
              <w:pStyle w:val="TableContents"/>
              <w:bidi w:val="0"/>
              <w:spacing w:before="0" w:after="283"/>
              <w:jc w:val="left"/>
              <w:rPr>
                <w:sz w:val="4"/>
                <w:szCs w:val="4"/>
              </w:rPr>
            </w:pPr>
            <w:r>
              <w:rPr>
                <w:sz w:val="4"/>
                <w:szCs w:val="4"/>
              </w:rPr>
            </w:r>
          </w:p>
        </w:tc>
      </w:tr>
      <w:tr>
        <w:trPr/>
        <w:tc>
          <w:tcPr>
            <w:tcW w:w="411" w:type="dxa"/>
            <w:tcBorders/>
          </w:tcPr>
          <w:p>
            <w:pPr>
              <w:pStyle w:val="TableContents"/>
              <w:bidi w:val="0"/>
              <w:spacing w:before="0" w:after="0"/>
              <w:jc w:val="left"/>
              <w:rPr>
                <w:rFonts w:ascii="Times New Roman" w:hAnsi="Times New Roman"/>
                <w:sz w:val="20"/>
              </w:rPr>
            </w:pPr>
            <w:r>
              <w:rPr>
                <w:rFonts w:ascii="Times New Roman" w:hAnsi="Times New Roman"/>
                <w:sz w:val="20"/>
              </w:rPr>
              <w:t>CR’</w:t>
            </w:r>
          </w:p>
        </w:tc>
        <w:tc>
          <w:tcPr>
            <w:tcW w:w="114" w:type="dxa"/>
            <w:tcBorders/>
            <w:vAlign w:val="bottom"/>
          </w:tcPr>
          <w:p>
            <w:pPr>
              <w:pStyle w:val="TableContents"/>
              <w:bidi w:val="0"/>
              <w:spacing w:before="0" w:after="283"/>
              <w:jc w:val="left"/>
              <w:rPr/>
            </w:pPr>
            <w:r>
              <w:rPr/>
              <w:t> </w:t>
            </w:r>
          </w:p>
        </w:tc>
        <w:tc>
          <w:tcPr>
            <w:tcW w:w="422"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33" w:type="dxa"/>
            <w:tcBorders/>
            <w:vAlign w:val="bottom"/>
          </w:tcPr>
          <w:p>
            <w:pPr>
              <w:pStyle w:val="TableContents"/>
              <w:bidi w:val="0"/>
              <w:spacing w:before="0" w:after="283"/>
              <w:jc w:val="left"/>
              <w:rPr/>
            </w:pPr>
            <w:r>
              <w:rPr/>
              <w:t>  </w:t>
            </w:r>
          </w:p>
        </w:tc>
        <w:tc>
          <w:tcPr>
            <w:tcW w:w="9125" w:type="dxa"/>
            <w:tcBorders/>
            <w:vAlign w:val="bottom"/>
          </w:tcPr>
          <w:p>
            <w:pPr>
              <w:pStyle w:val="TableContents"/>
              <w:bidi w:val="0"/>
              <w:spacing w:before="0" w:after="283"/>
              <w:jc w:val="left"/>
              <w:rPr/>
            </w:pPr>
            <w:r>
              <w:rPr/>
              <w:t>the Conversion Rate in effect immediately after the open of business on such Ex-Dividend Date or Effective Date, as applicable;</w:t>
            </w:r>
          </w:p>
        </w:tc>
      </w:tr>
      <w:tr>
        <w:trPr>
          <w:trHeight w:val="120" w:hRule="atLeast"/>
        </w:trPr>
        <w:tc>
          <w:tcPr>
            <w:tcW w:w="411" w:type="dxa"/>
            <w:tcBorders/>
            <w:vAlign w:val="center"/>
          </w:tcPr>
          <w:p>
            <w:pPr>
              <w:pStyle w:val="TableContents"/>
              <w:bidi w:val="0"/>
              <w:spacing w:before="0" w:after="283"/>
              <w:jc w:val="left"/>
              <w:rPr>
                <w:sz w:val="4"/>
                <w:szCs w:val="4"/>
              </w:rPr>
            </w:pPr>
            <w:r>
              <w:rPr>
                <w:sz w:val="4"/>
                <w:szCs w:val="4"/>
              </w:rPr>
            </w:r>
          </w:p>
        </w:tc>
        <w:tc>
          <w:tcPr>
            <w:tcW w:w="536" w:type="dxa"/>
            <w:gridSpan w:val="2"/>
            <w:tcBorders/>
            <w:vAlign w:val="center"/>
          </w:tcPr>
          <w:p>
            <w:pPr>
              <w:pStyle w:val="TableContents"/>
              <w:bidi w:val="0"/>
              <w:spacing w:before="0" w:after="283"/>
              <w:jc w:val="left"/>
              <w:rPr>
                <w:sz w:val="4"/>
                <w:szCs w:val="4"/>
              </w:rPr>
            </w:pPr>
            <w:r>
              <w:rPr>
                <w:sz w:val="4"/>
                <w:szCs w:val="4"/>
              </w:rPr>
            </w:r>
          </w:p>
        </w:tc>
        <w:tc>
          <w:tcPr>
            <w:tcW w:w="9258" w:type="dxa"/>
            <w:gridSpan w:val="2"/>
            <w:tcBorders/>
            <w:vAlign w:val="center"/>
          </w:tcPr>
          <w:p>
            <w:pPr>
              <w:pStyle w:val="TableContents"/>
              <w:bidi w:val="0"/>
              <w:spacing w:before="0" w:after="283"/>
              <w:jc w:val="left"/>
              <w:rPr>
                <w:sz w:val="4"/>
                <w:szCs w:val="4"/>
              </w:rPr>
            </w:pPr>
            <w:r>
              <w:rPr>
                <w:sz w:val="4"/>
                <w:szCs w:val="4"/>
              </w:rPr>
            </w:r>
          </w:p>
        </w:tc>
      </w:tr>
      <w:tr>
        <w:trPr/>
        <w:tc>
          <w:tcPr>
            <w:tcW w:w="411" w:type="dxa"/>
            <w:tcBorders/>
          </w:tcPr>
          <w:p>
            <w:pPr>
              <w:pStyle w:val="TableContents"/>
              <w:bidi w:val="0"/>
              <w:spacing w:before="0" w:after="0"/>
              <w:jc w:val="left"/>
              <w:rPr>
                <w:rFonts w:ascii="Times New Roman" w:hAnsi="Times New Roman"/>
                <w:sz w:val="20"/>
              </w:rPr>
            </w:pPr>
            <w:r>
              <w:rPr>
                <w:rFonts w:ascii="Times New Roman" w:hAnsi="Times New Roman"/>
                <w:sz w:val="20"/>
              </w:rPr>
              <w:t>OS0</w:t>
            </w:r>
          </w:p>
        </w:tc>
        <w:tc>
          <w:tcPr>
            <w:tcW w:w="114" w:type="dxa"/>
            <w:tcBorders/>
            <w:vAlign w:val="bottom"/>
          </w:tcPr>
          <w:p>
            <w:pPr>
              <w:pStyle w:val="TableContents"/>
              <w:bidi w:val="0"/>
              <w:spacing w:before="0" w:after="283"/>
              <w:jc w:val="left"/>
              <w:rPr/>
            </w:pPr>
            <w:r>
              <w:rPr/>
              <w:t> </w:t>
            </w:r>
          </w:p>
        </w:tc>
        <w:tc>
          <w:tcPr>
            <w:tcW w:w="422"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33" w:type="dxa"/>
            <w:tcBorders/>
            <w:vAlign w:val="bottom"/>
          </w:tcPr>
          <w:p>
            <w:pPr>
              <w:pStyle w:val="TableContents"/>
              <w:bidi w:val="0"/>
              <w:spacing w:before="0" w:after="283"/>
              <w:jc w:val="left"/>
              <w:rPr/>
            </w:pPr>
            <w:r>
              <w:rPr/>
              <w:t>  </w:t>
            </w:r>
          </w:p>
        </w:tc>
        <w:tc>
          <w:tcPr>
            <w:tcW w:w="9125" w:type="dxa"/>
            <w:tcBorders/>
            <w:vAlign w:val="bottom"/>
          </w:tcPr>
          <w:p>
            <w:pPr>
              <w:pStyle w:val="TableContents"/>
              <w:bidi w:val="0"/>
              <w:spacing w:before="0" w:after="283"/>
              <w:jc w:val="left"/>
              <w:rPr/>
            </w:pPr>
            <w:r>
              <w:rPr/>
              <w:t>the number of shares of Common Stock outstanding immediately prior to the open of business on such Ex-Dividend Date or Effective Date, as applicable (before giving effect to any such dividend, distribution, share split or share combination); and</w:t>
            </w:r>
          </w:p>
        </w:tc>
      </w:tr>
      <w:tr>
        <w:trPr>
          <w:trHeight w:val="120" w:hRule="atLeast"/>
        </w:trPr>
        <w:tc>
          <w:tcPr>
            <w:tcW w:w="411" w:type="dxa"/>
            <w:tcBorders/>
            <w:vAlign w:val="center"/>
          </w:tcPr>
          <w:p>
            <w:pPr>
              <w:pStyle w:val="TableContents"/>
              <w:bidi w:val="0"/>
              <w:spacing w:before="0" w:after="283"/>
              <w:jc w:val="left"/>
              <w:rPr>
                <w:sz w:val="4"/>
                <w:szCs w:val="4"/>
              </w:rPr>
            </w:pPr>
            <w:r>
              <w:rPr>
                <w:sz w:val="4"/>
                <w:szCs w:val="4"/>
              </w:rPr>
            </w:r>
          </w:p>
        </w:tc>
        <w:tc>
          <w:tcPr>
            <w:tcW w:w="536" w:type="dxa"/>
            <w:gridSpan w:val="2"/>
            <w:tcBorders/>
            <w:vAlign w:val="center"/>
          </w:tcPr>
          <w:p>
            <w:pPr>
              <w:pStyle w:val="TableContents"/>
              <w:bidi w:val="0"/>
              <w:spacing w:before="0" w:after="283"/>
              <w:jc w:val="left"/>
              <w:rPr>
                <w:sz w:val="4"/>
                <w:szCs w:val="4"/>
              </w:rPr>
            </w:pPr>
            <w:r>
              <w:rPr>
                <w:sz w:val="4"/>
                <w:szCs w:val="4"/>
              </w:rPr>
            </w:r>
          </w:p>
        </w:tc>
        <w:tc>
          <w:tcPr>
            <w:tcW w:w="9258" w:type="dxa"/>
            <w:gridSpan w:val="2"/>
            <w:tcBorders/>
            <w:vAlign w:val="center"/>
          </w:tcPr>
          <w:p>
            <w:pPr>
              <w:pStyle w:val="TableContents"/>
              <w:bidi w:val="0"/>
              <w:spacing w:before="0" w:after="283"/>
              <w:jc w:val="left"/>
              <w:rPr>
                <w:sz w:val="4"/>
                <w:szCs w:val="4"/>
              </w:rPr>
            </w:pPr>
            <w:r>
              <w:rPr>
                <w:sz w:val="4"/>
                <w:szCs w:val="4"/>
              </w:rPr>
            </w:r>
          </w:p>
        </w:tc>
      </w:tr>
      <w:tr>
        <w:trPr/>
        <w:tc>
          <w:tcPr>
            <w:tcW w:w="411" w:type="dxa"/>
            <w:tcBorders/>
          </w:tcPr>
          <w:p>
            <w:pPr>
              <w:pStyle w:val="TableContents"/>
              <w:bidi w:val="0"/>
              <w:spacing w:before="0" w:after="0"/>
              <w:jc w:val="left"/>
              <w:rPr>
                <w:rFonts w:ascii="Times New Roman" w:hAnsi="Times New Roman"/>
                <w:sz w:val="20"/>
              </w:rPr>
            </w:pPr>
            <w:r>
              <w:rPr>
                <w:rFonts w:ascii="Times New Roman" w:hAnsi="Times New Roman"/>
                <w:sz w:val="20"/>
              </w:rPr>
              <w:t>OS’</w:t>
            </w:r>
          </w:p>
        </w:tc>
        <w:tc>
          <w:tcPr>
            <w:tcW w:w="114" w:type="dxa"/>
            <w:tcBorders/>
            <w:vAlign w:val="bottom"/>
          </w:tcPr>
          <w:p>
            <w:pPr>
              <w:pStyle w:val="TableContents"/>
              <w:bidi w:val="0"/>
              <w:spacing w:before="0" w:after="283"/>
              <w:jc w:val="left"/>
              <w:rPr/>
            </w:pPr>
            <w:r>
              <w:rPr/>
              <w:t> </w:t>
            </w:r>
          </w:p>
        </w:tc>
        <w:tc>
          <w:tcPr>
            <w:tcW w:w="422" w:type="dxa"/>
            <w:tcBorders/>
          </w:tcPr>
          <w:p>
            <w:pPr>
              <w:pStyle w:val="TableContents"/>
              <w:bidi w:val="0"/>
              <w:spacing w:before="0" w:after="20"/>
              <w:jc w:val="center"/>
              <w:rPr>
                <w:rFonts w:ascii="Times New Roman" w:hAnsi="Times New Roman"/>
                <w:sz w:val="20"/>
              </w:rPr>
            </w:pPr>
            <w:r>
              <w:rPr>
                <w:rFonts w:ascii="Times New Roman" w:hAnsi="Times New Roman"/>
                <w:sz w:val="20"/>
              </w:rPr>
              <w:t>=</w:t>
            </w:r>
          </w:p>
        </w:tc>
        <w:tc>
          <w:tcPr>
            <w:tcW w:w="133" w:type="dxa"/>
            <w:tcBorders/>
            <w:vAlign w:val="bottom"/>
          </w:tcPr>
          <w:p>
            <w:pPr>
              <w:pStyle w:val="TableContents"/>
              <w:bidi w:val="0"/>
              <w:spacing w:before="0" w:after="283"/>
              <w:jc w:val="left"/>
              <w:rPr/>
            </w:pPr>
            <w:r>
              <w:rPr/>
              <w:t>  </w:t>
            </w:r>
          </w:p>
        </w:tc>
        <w:tc>
          <w:tcPr>
            <w:tcW w:w="9125" w:type="dxa"/>
            <w:tcBorders/>
            <w:vAlign w:val="bottom"/>
          </w:tcPr>
          <w:p>
            <w:pPr>
              <w:pStyle w:val="TableContents"/>
              <w:bidi w:val="0"/>
              <w:spacing w:before="0" w:after="283"/>
              <w:jc w:val="left"/>
              <w:rPr/>
            </w:pPr>
            <w:r>
              <w:rPr/>
              <w:t>the number of shares of Common Stock outstanding immediately after giving effect to such dividend, distribution, share split or share combination, as applicable.</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adjustment made under this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14.05(a),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issues to all or substantially all holders of the Common Stock any rights, options or warrants (other than pursuant to a stockholder rights plan) entitling them, for a period of not more than forty-five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the Conversion Rate shall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343025"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43025"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9"/>
        <w:gridCol w:w="114"/>
        <w:gridCol w:w="422"/>
        <w:gridCol w:w="133"/>
        <w:gridCol w:w="9127"/>
      </w:tblGrid>
      <w:tr>
        <w:trPr/>
        <w:tc>
          <w:tcPr>
            <w:tcW w:w="409"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9127" w:type="dxa"/>
            <w:tcBorders/>
            <w:vAlign w:val="center"/>
          </w:tcPr>
          <w:p>
            <w:pPr>
              <w:pStyle w:val="TableContents"/>
              <w:bidi w:val="0"/>
              <w:spacing w:before="0" w:after="283"/>
              <w:jc w:val="left"/>
              <w:rPr>
                <w:sz w:val="4"/>
                <w:szCs w:val="4"/>
              </w:rPr>
            </w:pPr>
            <w:r>
              <w:rPr>
                <w:sz w:val="4"/>
                <w:szCs w:val="4"/>
              </w:rPr>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CR0</w:t>
            </w:r>
          </w:p>
        </w:tc>
        <w:tc>
          <w:tcPr>
            <w:tcW w:w="114" w:type="dxa"/>
            <w:tcBorders/>
            <w:vAlign w:val="bottom"/>
          </w:tcPr>
          <w:p>
            <w:pPr>
              <w:pStyle w:val="TableContents"/>
              <w:bidi w:val="0"/>
              <w:spacing w:before="0" w:after="283"/>
              <w:jc w:val="left"/>
              <w:rPr/>
            </w:pPr>
            <w:r>
              <w:rPr/>
              <w:t> </w:t>
            </w:r>
          </w:p>
        </w:tc>
        <w:tc>
          <w:tcPr>
            <w:tcW w:w="422"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33" w:type="dxa"/>
            <w:tcBorders/>
            <w:vAlign w:val="bottom"/>
          </w:tcPr>
          <w:p>
            <w:pPr>
              <w:pStyle w:val="TableContents"/>
              <w:bidi w:val="0"/>
              <w:spacing w:before="0" w:after="283"/>
              <w:jc w:val="left"/>
              <w:rPr/>
            </w:pPr>
            <w:r>
              <w:rPr/>
              <w:t>  </w:t>
            </w:r>
          </w:p>
        </w:tc>
        <w:tc>
          <w:tcPr>
            <w:tcW w:w="9127" w:type="dxa"/>
            <w:tcBorders/>
            <w:vAlign w:val="bottom"/>
          </w:tcPr>
          <w:p>
            <w:pPr>
              <w:pStyle w:val="TableContents"/>
              <w:bidi w:val="0"/>
              <w:spacing w:before="0" w:after="283"/>
              <w:jc w:val="left"/>
              <w:rPr/>
            </w:pPr>
            <w:r>
              <w:rPr/>
              <w:t>the Conversion Rate in effect immediately prior to the open of business on the Ex-Dividend Date for such issuance;</w:t>
            </w:r>
          </w:p>
        </w:tc>
      </w:tr>
      <w:tr>
        <w:trPr>
          <w:trHeight w:val="120" w:hRule="atLeast"/>
        </w:trPr>
        <w:tc>
          <w:tcPr>
            <w:tcW w:w="409" w:type="dxa"/>
            <w:tcBorders/>
            <w:vAlign w:val="center"/>
          </w:tcPr>
          <w:p>
            <w:pPr>
              <w:pStyle w:val="TableContents"/>
              <w:bidi w:val="0"/>
              <w:spacing w:before="0" w:after="283"/>
              <w:jc w:val="left"/>
              <w:rPr>
                <w:sz w:val="4"/>
                <w:szCs w:val="4"/>
              </w:rPr>
            </w:pPr>
            <w:r>
              <w:rPr>
                <w:sz w:val="4"/>
                <w:szCs w:val="4"/>
              </w:rPr>
            </w:r>
          </w:p>
        </w:tc>
        <w:tc>
          <w:tcPr>
            <w:tcW w:w="536" w:type="dxa"/>
            <w:gridSpan w:val="2"/>
            <w:tcBorders/>
            <w:vAlign w:val="center"/>
          </w:tcPr>
          <w:p>
            <w:pPr>
              <w:pStyle w:val="TableContents"/>
              <w:bidi w:val="0"/>
              <w:spacing w:before="0" w:after="283"/>
              <w:jc w:val="left"/>
              <w:rPr>
                <w:sz w:val="4"/>
                <w:szCs w:val="4"/>
              </w:rPr>
            </w:pPr>
            <w:r>
              <w:rPr>
                <w:sz w:val="4"/>
                <w:szCs w:val="4"/>
              </w:rPr>
            </w:r>
          </w:p>
        </w:tc>
        <w:tc>
          <w:tcPr>
            <w:tcW w:w="9260" w:type="dxa"/>
            <w:gridSpan w:val="2"/>
            <w:tcBorders/>
            <w:vAlign w:val="center"/>
          </w:tcPr>
          <w:p>
            <w:pPr>
              <w:pStyle w:val="TableContents"/>
              <w:bidi w:val="0"/>
              <w:spacing w:before="0" w:after="283"/>
              <w:jc w:val="left"/>
              <w:rPr>
                <w:sz w:val="4"/>
                <w:szCs w:val="4"/>
              </w:rPr>
            </w:pPr>
            <w:r>
              <w:rPr>
                <w:sz w:val="4"/>
                <w:szCs w:val="4"/>
              </w:rPr>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CR’</w:t>
            </w:r>
          </w:p>
        </w:tc>
        <w:tc>
          <w:tcPr>
            <w:tcW w:w="114" w:type="dxa"/>
            <w:tcBorders/>
            <w:vAlign w:val="bottom"/>
          </w:tcPr>
          <w:p>
            <w:pPr>
              <w:pStyle w:val="TableContents"/>
              <w:bidi w:val="0"/>
              <w:spacing w:before="0" w:after="283"/>
              <w:jc w:val="left"/>
              <w:rPr/>
            </w:pPr>
            <w:r>
              <w:rPr/>
              <w:t> </w:t>
            </w:r>
          </w:p>
        </w:tc>
        <w:tc>
          <w:tcPr>
            <w:tcW w:w="422"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33" w:type="dxa"/>
            <w:tcBorders/>
            <w:vAlign w:val="bottom"/>
          </w:tcPr>
          <w:p>
            <w:pPr>
              <w:pStyle w:val="TableContents"/>
              <w:bidi w:val="0"/>
              <w:spacing w:before="0" w:after="283"/>
              <w:jc w:val="left"/>
              <w:rPr/>
            </w:pPr>
            <w:r>
              <w:rPr/>
              <w:t>  </w:t>
            </w:r>
          </w:p>
        </w:tc>
        <w:tc>
          <w:tcPr>
            <w:tcW w:w="9127" w:type="dxa"/>
            <w:tcBorders/>
            <w:vAlign w:val="bottom"/>
          </w:tcPr>
          <w:p>
            <w:pPr>
              <w:pStyle w:val="TableContents"/>
              <w:bidi w:val="0"/>
              <w:spacing w:before="0" w:after="283"/>
              <w:jc w:val="left"/>
              <w:rPr/>
            </w:pPr>
            <w:r>
              <w:rPr/>
              <w:t>the Conversion Rate in effect immediately after the open of business on such Ex-Dividend Date;</w:t>
            </w:r>
          </w:p>
        </w:tc>
      </w:tr>
      <w:tr>
        <w:trPr>
          <w:trHeight w:val="120" w:hRule="atLeast"/>
        </w:trPr>
        <w:tc>
          <w:tcPr>
            <w:tcW w:w="409" w:type="dxa"/>
            <w:tcBorders/>
            <w:vAlign w:val="center"/>
          </w:tcPr>
          <w:p>
            <w:pPr>
              <w:pStyle w:val="TableContents"/>
              <w:bidi w:val="0"/>
              <w:spacing w:before="0" w:after="283"/>
              <w:jc w:val="left"/>
              <w:rPr>
                <w:sz w:val="4"/>
                <w:szCs w:val="4"/>
              </w:rPr>
            </w:pPr>
            <w:r>
              <w:rPr>
                <w:sz w:val="4"/>
                <w:szCs w:val="4"/>
              </w:rPr>
            </w:r>
          </w:p>
        </w:tc>
        <w:tc>
          <w:tcPr>
            <w:tcW w:w="536" w:type="dxa"/>
            <w:gridSpan w:val="2"/>
            <w:tcBorders/>
            <w:vAlign w:val="center"/>
          </w:tcPr>
          <w:p>
            <w:pPr>
              <w:pStyle w:val="TableContents"/>
              <w:bidi w:val="0"/>
              <w:spacing w:before="0" w:after="283"/>
              <w:jc w:val="left"/>
              <w:rPr>
                <w:sz w:val="4"/>
                <w:szCs w:val="4"/>
              </w:rPr>
            </w:pPr>
            <w:r>
              <w:rPr>
                <w:sz w:val="4"/>
                <w:szCs w:val="4"/>
              </w:rPr>
            </w:r>
          </w:p>
        </w:tc>
        <w:tc>
          <w:tcPr>
            <w:tcW w:w="9260" w:type="dxa"/>
            <w:gridSpan w:val="2"/>
            <w:tcBorders/>
            <w:vAlign w:val="center"/>
          </w:tcPr>
          <w:p>
            <w:pPr>
              <w:pStyle w:val="TableContents"/>
              <w:bidi w:val="0"/>
              <w:spacing w:before="0" w:after="283"/>
              <w:jc w:val="left"/>
              <w:rPr>
                <w:sz w:val="4"/>
                <w:szCs w:val="4"/>
              </w:rPr>
            </w:pPr>
            <w:r>
              <w:rPr>
                <w:sz w:val="4"/>
                <w:szCs w:val="4"/>
              </w:rPr>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OS0</w:t>
            </w:r>
          </w:p>
        </w:tc>
        <w:tc>
          <w:tcPr>
            <w:tcW w:w="114" w:type="dxa"/>
            <w:tcBorders/>
            <w:vAlign w:val="bottom"/>
          </w:tcPr>
          <w:p>
            <w:pPr>
              <w:pStyle w:val="TableContents"/>
              <w:bidi w:val="0"/>
              <w:spacing w:before="0" w:after="283"/>
              <w:jc w:val="left"/>
              <w:rPr/>
            </w:pPr>
            <w:r>
              <w:rPr/>
              <w:t> </w:t>
            </w:r>
          </w:p>
        </w:tc>
        <w:tc>
          <w:tcPr>
            <w:tcW w:w="422"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33" w:type="dxa"/>
            <w:tcBorders/>
            <w:vAlign w:val="bottom"/>
          </w:tcPr>
          <w:p>
            <w:pPr>
              <w:pStyle w:val="TableContents"/>
              <w:bidi w:val="0"/>
              <w:spacing w:before="0" w:after="283"/>
              <w:jc w:val="left"/>
              <w:rPr/>
            </w:pPr>
            <w:r>
              <w:rPr/>
              <w:t>  </w:t>
            </w:r>
          </w:p>
        </w:tc>
        <w:tc>
          <w:tcPr>
            <w:tcW w:w="9127" w:type="dxa"/>
            <w:tcBorders/>
            <w:vAlign w:val="bottom"/>
          </w:tcPr>
          <w:p>
            <w:pPr>
              <w:pStyle w:val="TableContents"/>
              <w:bidi w:val="0"/>
              <w:spacing w:before="0" w:after="283"/>
              <w:jc w:val="left"/>
              <w:rPr/>
            </w:pPr>
            <w:r>
              <w:rPr/>
              <w:t>the number of shares of Common Stock outstanding immediately prior to the open of business on such Ex-Dividend 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25"/>
        <w:gridCol w:w="110"/>
        <w:gridCol w:w="418"/>
        <w:gridCol w:w="123"/>
        <w:gridCol w:w="9229"/>
      </w:tblGrid>
      <w:tr>
        <w:trPr/>
        <w:tc>
          <w:tcPr>
            <w:tcW w:w="32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229" w:type="dxa"/>
            <w:tcBorders/>
            <w:vAlign w:val="center"/>
          </w:tcPr>
          <w:p>
            <w:pPr>
              <w:pStyle w:val="TableContents"/>
              <w:bidi w:val="0"/>
              <w:spacing w:before="0" w:after="283"/>
              <w:jc w:val="left"/>
              <w:rPr>
                <w:sz w:val="4"/>
                <w:szCs w:val="4"/>
              </w:rPr>
            </w:pPr>
            <w:r>
              <w:rPr>
                <w:sz w:val="4"/>
                <w:szCs w:val="4"/>
              </w:rPr>
            </w:r>
          </w:p>
        </w:tc>
      </w:tr>
      <w:tr>
        <w:trPr/>
        <w:tc>
          <w:tcPr>
            <w:tcW w:w="325" w:type="dxa"/>
            <w:tcBorders/>
          </w:tcPr>
          <w:p>
            <w:pPr>
              <w:pStyle w:val="TableContents"/>
              <w:bidi w:val="0"/>
              <w:spacing w:before="0" w:after="0"/>
              <w:jc w:val="left"/>
              <w:rPr>
                <w:rFonts w:ascii="Times New Roman" w:hAnsi="Times New Roman"/>
                <w:sz w:val="20"/>
              </w:rPr>
            </w:pPr>
            <w:r>
              <w:rPr>
                <w:rFonts w:ascii="Times New Roman" w:hAnsi="Times New Roman"/>
                <w:sz w:val="20"/>
              </w:rPr>
              <w:t>X</w:t>
            </w:r>
          </w:p>
        </w:tc>
        <w:tc>
          <w:tcPr>
            <w:tcW w:w="110" w:type="dxa"/>
            <w:tcBorders/>
            <w:vAlign w:val="bottom"/>
          </w:tcPr>
          <w:p>
            <w:pPr>
              <w:pStyle w:val="TableContents"/>
              <w:bidi w:val="0"/>
              <w:spacing w:before="0" w:after="283"/>
              <w:jc w:val="left"/>
              <w:rPr/>
            </w:pPr>
            <w:r>
              <w:rPr/>
              <w:t> </w:t>
            </w:r>
          </w:p>
        </w:tc>
        <w:tc>
          <w:tcPr>
            <w:tcW w:w="418"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23" w:type="dxa"/>
            <w:tcBorders/>
            <w:vAlign w:val="bottom"/>
          </w:tcPr>
          <w:p>
            <w:pPr>
              <w:pStyle w:val="TableContents"/>
              <w:bidi w:val="0"/>
              <w:spacing w:before="0" w:after="283"/>
              <w:jc w:val="left"/>
              <w:rPr/>
            </w:pPr>
            <w:r>
              <w:rPr/>
              <w:t>  </w:t>
            </w:r>
          </w:p>
        </w:tc>
        <w:tc>
          <w:tcPr>
            <w:tcW w:w="9229" w:type="dxa"/>
            <w:tcBorders/>
            <w:vAlign w:val="bottom"/>
          </w:tcPr>
          <w:p>
            <w:pPr>
              <w:pStyle w:val="TableContents"/>
              <w:bidi w:val="0"/>
              <w:spacing w:before="0" w:after="283"/>
              <w:jc w:val="left"/>
              <w:rPr/>
            </w:pPr>
            <w:r>
              <w:rPr/>
              <w:t>the total number of shares of Common Stock issuable pursuant to such rights, options or warrants; and</w:t>
            </w:r>
          </w:p>
        </w:tc>
      </w:tr>
      <w:tr>
        <w:trPr>
          <w:trHeight w:val="120" w:hRule="atLeast"/>
        </w:trPr>
        <w:tc>
          <w:tcPr>
            <w:tcW w:w="325" w:type="dxa"/>
            <w:tcBorders/>
            <w:vAlign w:val="center"/>
          </w:tcPr>
          <w:p>
            <w:pPr>
              <w:pStyle w:val="TableContents"/>
              <w:bidi w:val="0"/>
              <w:spacing w:before="0" w:after="283"/>
              <w:jc w:val="left"/>
              <w:rPr>
                <w:sz w:val="4"/>
                <w:szCs w:val="4"/>
              </w:rPr>
            </w:pPr>
            <w:r>
              <w:rPr>
                <w:sz w:val="4"/>
                <w:szCs w:val="4"/>
              </w:rPr>
            </w:r>
          </w:p>
        </w:tc>
        <w:tc>
          <w:tcPr>
            <w:tcW w:w="528" w:type="dxa"/>
            <w:gridSpan w:val="2"/>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325" w:type="dxa"/>
            <w:tcBorders/>
          </w:tcPr>
          <w:p>
            <w:pPr>
              <w:pStyle w:val="TableContents"/>
              <w:bidi w:val="0"/>
              <w:spacing w:before="0" w:after="0"/>
              <w:jc w:val="left"/>
              <w:rPr>
                <w:rFonts w:ascii="Times New Roman" w:hAnsi="Times New Roman"/>
                <w:sz w:val="20"/>
              </w:rPr>
            </w:pPr>
            <w:r>
              <w:rPr>
                <w:rFonts w:ascii="Times New Roman" w:hAnsi="Times New Roman"/>
                <w:sz w:val="20"/>
              </w:rPr>
              <w:t>Y</w:t>
            </w:r>
          </w:p>
        </w:tc>
        <w:tc>
          <w:tcPr>
            <w:tcW w:w="110" w:type="dxa"/>
            <w:tcBorders/>
            <w:vAlign w:val="bottom"/>
          </w:tcPr>
          <w:p>
            <w:pPr>
              <w:pStyle w:val="TableContents"/>
              <w:bidi w:val="0"/>
              <w:spacing w:before="0" w:after="283"/>
              <w:jc w:val="left"/>
              <w:rPr/>
            </w:pPr>
            <w:r>
              <w:rPr/>
              <w:t> </w:t>
            </w:r>
          </w:p>
        </w:tc>
        <w:tc>
          <w:tcPr>
            <w:tcW w:w="418"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23" w:type="dxa"/>
            <w:tcBorders/>
            <w:vAlign w:val="bottom"/>
          </w:tcPr>
          <w:p>
            <w:pPr>
              <w:pStyle w:val="TableContents"/>
              <w:bidi w:val="0"/>
              <w:spacing w:before="0" w:after="283"/>
              <w:jc w:val="left"/>
              <w:rPr/>
            </w:pPr>
            <w:r>
              <w:rPr/>
              <w:t>  </w:t>
            </w:r>
          </w:p>
        </w:tc>
        <w:tc>
          <w:tcPr>
            <w:tcW w:w="9229" w:type="dxa"/>
            <w:tcBorders/>
            <w:vAlign w:val="bottom"/>
          </w:tcPr>
          <w:p>
            <w:pPr>
              <w:pStyle w:val="TableContents"/>
              <w:bidi w:val="0"/>
              <w:spacing w:before="0" w:after="283"/>
              <w:jc w:val="left"/>
              <w:rPr/>
            </w:pPr>
            <w:r>
              <w:rPr/>
              <w:t xml:space="preserve">the number of shares of Common Stock equal to the aggregate price payable to exercise such rights, options or warrants, </w:t>
            </w:r>
            <w:r>
              <w:rPr>
                <w:i/>
              </w:rPr>
              <w:t>divided by</w:t>
            </w:r>
            <w:r>
              <w:rPr/>
              <w:t xml:space="preserve"> the average of the Last Reported Sale Prices of the Common Stock over the 10 consecutive Trading Day period ending on, and including, the Trading Day immediately preceding the date of announcement of the issuance of such rights, options or warrants.</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increase made under this Section 14.05(b)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or if no such rights, options or warrants are exercised prior to their expiration, the Conversion Rate shall be decreased to the Conversion Rate that would then be in effect if such Ex-Dividend Date for such issuance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14.05(b), in determining whether any rights, options or warrants entitle the holders of the Common Stock to subscribe for or purchase shares of the Common Stock at less than such average of the Last Reported Sale Prices of the Common Stock for the 10 consecutive Trading Day period ending on, and including, the Trading Day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 </w:t>
      </w:r>
    </w:p>
    <w:p>
      <w:pPr>
        <w:pStyle w:val="TextBody"/>
        <w:bidi w:val="0"/>
        <w:spacing w:before="240" w:after="0"/>
        <w:jc w:val="left"/>
        <w:rPr>
          <w:rFonts w:ascii="Times New Roman" w:hAnsi="Times New Roman"/>
          <w:sz w:val="20"/>
        </w:rPr>
      </w:pPr>
      <w:r>
        <w:rPr>
          <w:rFonts w:ascii="Times New Roman" w:hAnsi="Times New Roman"/>
          <w:sz w:val="20"/>
        </w:rPr>
        <w:t>(c) 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as to which an adjustment is effected (or would be effected, disregarding the 1% Provision) pursuant to Section 14.05(a) or Section 14.05(b), (ii) rights issued under a stockholder rights plan (except as provided in Section 14.12), (iii) dividends or distributions paid exclusively in cash as to which the provisions set forth in Section 14.05(d) shall apply, (iv) distributions of Reference Property in a Common Stock Change Event, and (v) Spin-Offs as to which the provisions set forth below in this Section 14.05(c) shall apply (any of such shares of capital stock, evidences of indebtedness, other assets or property or rights, options or warrants to acquire capital stock or other securities, the “</w:t>
      </w:r>
      <w:r>
        <w:rPr>
          <w:rFonts w:ascii="Times New Roman" w:hAnsi="Times New Roman"/>
          <w:b/>
          <w:sz w:val="20"/>
        </w:rPr>
        <w:t>Distributed Property</w:t>
      </w:r>
      <w:r>
        <w:rPr>
          <w:rFonts w:ascii="Times New Roman" w:hAnsi="Times New Roman"/>
          <w:sz w:val="20"/>
        </w:rPr>
        <w:t xml:space="preserve">”), then the Conversion Rate shall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504950"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04950" cy="4191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1"/>
        <w:gridCol w:w="117"/>
        <w:gridCol w:w="425"/>
        <w:gridCol w:w="140"/>
        <w:gridCol w:w="9072"/>
      </w:tblGrid>
      <w:tr>
        <w:trPr/>
        <w:tc>
          <w:tcPr>
            <w:tcW w:w="451"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9072" w:type="dxa"/>
            <w:tcBorders/>
            <w:vAlign w:val="center"/>
          </w:tcPr>
          <w:p>
            <w:pPr>
              <w:pStyle w:val="TableContents"/>
              <w:bidi w:val="0"/>
              <w:spacing w:before="0" w:after="283"/>
              <w:jc w:val="left"/>
              <w:rPr>
                <w:sz w:val="4"/>
                <w:szCs w:val="4"/>
              </w:rPr>
            </w:pPr>
            <w:r>
              <w:rPr>
                <w:sz w:val="4"/>
                <w:szCs w:val="4"/>
              </w:rPr>
            </w:r>
          </w:p>
        </w:tc>
      </w:tr>
      <w:tr>
        <w:trPr/>
        <w:tc>
          <w:tcPr>
            <w:tcW w:w="451" w:type="dxa"/>
            <w:tcBorders/>
          </w:tcPr>
          <w:p>
            <w:pPr>
              <w:pStyle w:val="TableContents"/>
              <w:bidi w:val="0"/>
              <w:spacing w:before="0" w:after="0"/>
              <w:jc w:val="left"/>
              <w:rPr>
                <w:rFonts w:ascii="Times New Roman" w:hAnsi="Times New Roman"/>
                <w:sz w:val="20"/>
              </w:rPr>
            </w:pPr>
            <w:r>
              <w:rPr>
                <w:rFonts w:ascii="Times New Roman" w:hAnsi="Times New Roman"/>
                <w:sz w:val="20"/>
              </w:rPr>
              <w:t>CR0</w:t>
            </w:r>
          </w:p>
        </w:tc>
        <w:tc>
          <w:tcPr>
            <w:tcW w:w="117" w:type="dxa"/>
            <w:tcBorders/>
            <w:vAlign w:val="bottom"/>
          </w:tcPr>
          <w:p>
            <w:pPr>
              <w:pStyle w:val="TableContents"/>
              <w:bidi w:val="0"/>
              <w:spacing w:before="0" w:after="283"/>
              <w:jc w:val="left"/>
              <w:rPr/>
            </w:pPr>
            <w:r>
              <w:rPr/>
              <w:t> </w:t>
            </w:r>
          </w:p>
        </w:tc>
        <w:tc>
          <w:tcPr>
            <w:tcW w:w="425"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40" w:type="dxa"/>
            <w:tcBorders/>
            <w:vAlign w:val="bottom"/>
          </w:tcPr>
          <w:p>
            <w:pPr>
              <w:pStyle w:val="TableContents"/>
              <w:bidi w:val="0"/>
              <w:spacing w:before="0" w:after="283"/>
              <w:jc w:val="left"/>
              <w:rPr/>
            </w:pPr>
            <w:r>
              <w:rPr/>
              <w:t>  </w:t>
            </w:r>
          </w:p>
        </w:tc>
        <w:tc>
          <w:tcPr>
            <w:tcW w:w="9072" w:type="dxa"/>
            <w:tcBorders/>
            <w:vAlign w:val="bottom"/>
          </w:tcPr>
          <w:p>
            <w:pPr>
              <w:pStyle w:val="TableContents"/>
              <w:bidi w:val="0"/>
              <w:spacing w:before="0" w:after="283"/>
              <w:jc w:val="left"/>
              <w:rPr/>
            </w:pPr>
            <w:r>
              <w:rPr/>
              <w:t>the Conversion Rate in effect immediately prior to the open of business on the Ex-Dividend Date for such distribution;</w:t>
            </w:r>
          </w:p>
        </w:tc>
      </w:tr>
      <w:tr>
        <w:trPr>
          <w:trHeight w:val="120" w:hRule="atLeast"/>
        </w:trPr>
        <w:tc>
          <w:tcPr>
            <w:tcW w:w="451" w:type="dxa"/>
            <w:tcBorders/>
            <w:vAlign w:val="center"/>
          </w:tcPr>
          <w:p>
            <w:pPr>
              <w:pStyle w:val="TableContents"/>
              <w:bidi w:val="0"/>
              <w:spacing w:before="0" w:after="283"/>
              <w:jc w:val="left"/>
              <w:rPr>
                <w:sz w:val="4"/>
                <w:szCs w:val="4"/>
              </w:rPr>
            </w:pPr>
            <w:r>
              <w:rPr>
                <w:sz w:val="4"/>
                <w:szCs w:val="4"/>
              </w:rPr>
            </w:r>
          </w:p>
        </w:tc>
        <w:tc>
          <w:tcPr>
            <w:tcW w:w="542" w:type="dxa"/>
            <w:gridSpan w:val="2"/>
            <w:tcBorders/>
            <w:vAlign w:val="center"/>
          </w:tcPr>
          <w:p>
            <w:pPr>
              <w:pStyle w:val="TableContents"/>
              <w:bidi w:val="0"/>
              <w:spacing w:before="0" w:after="283"/>
              <w:jc w:val="left"/>
              <w:rPr>
                <w:sz w:val="4"/>
                <w:szCs w:val="4"/>
              </w:rPr>
            </w:pPr>
            <w:r>
              <w:rPr>
                <w:sz w:val="4"/>
                <w:szCs w:val="4"/>
              </w:rPr>
            </w:r>
          </w:p>
        </w:tc>
        <w:tc>
          <w:tcPr>
            <w:tcW w:w="9212" w:type="dxa"/>
            <w:gridSpan w:val="2"/>
            <w:tcBorders/>
            <w:vAlign w:val="center"/>
          </w:tcPr>
          <w:p>
            <w:pPr>
              <w:pStyle w:val="TableContents"/>
              <w:bidi w:val="0"/>
              <w:spacing w:before="0" w:after="283"/>
              <w:jc w:val="left"/>
              <w:rPr>
                <w:sz w:val="4"/>
                <w:szCs w:val="4"/>
              </w:rPr>
            </w:pPr>
            <w:r>
              <w:rPr>
                <w:sz w:val="4"/>
                <w:szCs w:val="4"/>
              </w:rPr>
            </w:r>
          </w:p>
        </w:tc>
      </w:tr>
      <w:tr>
        <w:trPr/>
        <w:tc>
          <w:tcPr>
            <w:tcW w:w="451" w:type="dxa"/>
            <w:tcBorders/>
          </w:tcPr>
          <w:p>
            <w:pPr>
              <w:pStyle w:val="TableContents"/>
              <w:bidi w:val="0"/>
              <w:spacing w:before="0" w:after="0"/>
              <w:jc w:val="left"/>
              <w:rPr>
                <w:rFonts w:ascii="Times New Roman" w:hAnsi="Times New Roman"/>
                <w:sz w:val="20"/>
              </w:rPr>
            </w:pPr>
            <w:r>
              <w:rPr>
                <w:rFonts w:ascii="Times New Roman" w:hAnsi="Times New Roman"/>
                <w:sz w:val="20"/>
              </w:rPr>
              <w:t>CR’</w:t>
            </w:r>
          </w:p>
        </w:tc>
        <w:tc>
          <w:tcPr>
            <w:tcW w:w="117" w:type="dxa"/>
            <w:tcBorders/>
            <w:vAlign w:val="bottom"/>
          </w:tcPr>
          <w:p>
            <w:pPr>
              <w:pStyle w:val="TableContents"/>
              <w:bidi w:val="0"/>
              <w:spacing w:before="0" w:after="283"/>
              <w:jc w:val="left"/>
              <w:rPr/>
            </w:pPr>
            <w:r>
              <w:rPr/>
              <w:t> </w:t>
            </w:r>
          </w:p>
        </w:tc>
        <w:tc>
          <w:tcPr>
            <w:tcW w:w="425"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40" w:type="dxa"/>
            <w:tcBorders/>
            <w:vAlign w:val="bottom"/>
          </w:tcPr>
          <w:p>
            <w:pPr>
              <w:pStyle w:val="TableContents"/>
              <w:bidi w:val="0"/>
              <w:spacing w:before="0" w:after="283"/>
              <w:jc w:val="left"/>
              <w:rPr/>
            </w:pPr>
            <w:r>
              <w:rPr/>
              <w:t>  </w:t>
            </w:r>
          </w:p>
        </w:tc>
        <w:tc>
          <w:tcPr>
            <w:tcW w:w="9072" w:type="dxa"/>
            <w:tcBorders/>
            <w:vAlign w:val="bottom"/>
          </w:tcPr>
          <w:p>
            <w:pPr>
              <w:pStyle w:val="TableContents"/>
              <w:bidi w:val="0"/>
              <w:spacing w:before="0" w:after="283"/>
              <w:jc w:val="left"/>
              <w:rPr/>
            </w:pPr>
            <w:r>
              <w:rPr/>
              <w:t>the Conversion Rate in effect immediately after the open of business on such Ex-Dividend Date;</w:t>
            </w:r>
          </w:p>
        </w:tc>
      </w:tr>
      <w:tr>
        <w:trPr>
          <w:trHeight w:val="120" w:hRule="atLeast"/>
        </w:trPr>
        <w:tc>
          <w:tcPr>
            <w:tcW w:w="451" w:type="dxa"/>
            <w:tcBorders/>
            <w:vAlign w:val="center"/>
          </w:tcPr>
          <w:p>
            <w:pPr>
              <w:pStyle w:val="TableContents"/>
              <w:bidi w:val="0"/>
              <w:spacing w:before="0" w:after="283"/>
              <w:jc w:val="left"/>
              <w:rPr>
                <w:sz w:val="4"/>
                <w:szCs w:val="4"/>
              </w:rPr>
            </w:pPr>
            <w:r>
              <w:rPr>
                <w:sz w:val="4"/>
                <w:szCs w:val="4"/>
              </w:rPr>
            </w:r>
          </w:p>
        </w:tc>
        <w:tc>
          <w:tcPr>
            <w:tcW w:w="542" w:type="dxa"/>
            <w:gridSpan w:val="2"/>
            <w:tcBorders/>
            <w:vAlign w:val="center"/>
          </w:tcPr>
          <w:p>
            <w:pPr>
              <w:pStyle w:val="TableContents"/>
              <w:bidi w:val="0"/>
              <w:spacing w:before="0" w:after="283"/>
              <w:jc w:val="left"/>
              <w:rPr>
                <w:sz w:val="4"/>
                <w:szCs w:val="4"/>
              </w:rPr>
            </w:pPr>
            <w:r>
              <w:rPr>
                <w:sz w:val="4"/>
                <w:szCs w:val="4"/>
              </w:rPr>
            </w:r>
          </w:p>
        </w:tc>
        <w:tc>
          <w:tcPr>
            <w:tcW w:w="9212" w:type="dxa"/>
            <w:gridSpan w:val="2"/>
            <w:tcBorders/>
            <w:vAlign w:val="center"/>
          </w:tcPr>
          <w:p>
            <w:pPr>
              <w:pStyle w:val="TableContents"/>
              <w:bidi w:val="0"/>
              <w:spacing w:before="0" w:after="283"/>
              <w:jc w:val="left"/>
              <w:rPr>
                <w:sz w:val="4"/>
                <w:szCs w:val="4"/>
              </w:rPr>
            </w:pPr>
            <w:r>
              <w:rPr>
                <w:sz w:val="4"/>
                <w:szCs w:val="4"/>
              </w:rPr>
            </w:r>
          </w:p>
        </w:tc>
      </w:tr>
      <w:tr>
        <w:trPr/>
        <w:tc>
          <w:tcPr>
            <w:tcW w:w="451" w:type="dxa"/>
            <w:tcBorders/>
          </w:tcPr>
          <w:p>
            <w:pPr>
              <w:pStyle w:val="TableContents"/>
              <w:bidi w:val="0"/>
              <w:spacing w:before="0" w:after="0"/>
              <w:jc w:val="left"/>
              <w:rPr>
                <w:rFonts w:ascii="Times New Roman" w:hAnsi="Times New Roman"/>
                <w:sz w:val="20"/>
              </w:rPr>
            </w:pPr>
            <w:r>
              <w:rPr>
                <w:rFonts w:ascii="Times New Roman" w:hAnsi="Times New Roman"/>
                <w:sz w:val="20"/>
              </w:rPr>
              <w:t>SP0</w:t>
            </w:r>
          </w:p>
        </w:tc>
        <w:tc>
          <w:tcPr>
            <w:tcW w:w="117" w:type="dxa"/>
            <w:tcBorders/>
            <w:vAlign w:val="bottom"/>
          </w:tcPr>
          <w:p>
            <w:pPr>
              <w:pStyle w:val="TableContents"/>
              <w:bidi w:val="0"/>
              <w:spacing w:before="0" w:after="283"/>
              <w:jc w:val="left"/>
              <w:rPr/>
            </w:pPr>
            <w:r>
              <w:rPr/>
              <w:t> </w:t>
            </w:r>
          </w:p>
        </w:tc>
        <w:tc>
          <w:tcPr>
            <w:tcW w:w="425"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40" w:type="dxa"/>
            <w:tcBorders/>
            <w:vAlign w:val="bottom"/>
          </w:tcPr>
          <w:p>
            <w:pPr>
              <w:pStyle w:val="TableContents"/>
              <w:bidi w:val="0"/>
              <w:spacing w:before="0" w:after="283"/>
              <w:jc w:val="left"/>
              <w:rPr/>
            </w:pPr>
            <w:r>
              <w:rPr/>
              <w:t>  </w:t>
            </w:r>
          </w:p>
        </w:tc>
        <w:tc>
          <w:tcPr>
            <w:tcW w:w="9072" w:type="dxa"/>
            <w:tcBorders/>
            <w:vAlign w:val="bottom"/>
          </w:tcPr>
          <w:p>
            <w:pPr>
              <w:pStyle w:val="TableContents"/>
              <w:bidi w:val="0"/>
              <w:spacing w:before="0" w:after="283"/>
              <w:jc w:val="left"/>
              <w:rPr/>
            </w:pPr>
            <w:r>
              <w:rPr/>
              <w:t>the average of the Last Reported Sale Prices of the Common Stock over the 10 consecutive Trading Day period ending on, and including, the Trading Day immediately preceding the Ex-Dividend Date for such distribution; and</w:t>
            </w:r>
          </w:p>
        </w:tc>
      </w:tr>
      <w:tr>
        <w:trPr>
          <w:trHeight w:val="120" w:hRule="atLeast"/>
        </w:trPr>
        <w:tc>
          <w:tcPr>
            <w:tcW w:w="451" w:type="dxa"/>
            <w:tcBorders/>
            <w:vAlign w:val="center"/>
          </w:tcPr>
          <w:p>
            <w:pPr>
              <w:pStyle w:val="TableContents"/>
              <w:bidi w:val="0"/>
              <w:spacing w:before="0" w:after="283"/>
              <w:jc w:val="left"/>
              <w:rPr>
                <w:sz w:val="4"/>
                <w:szCs w:val="4"/>
              </w:rPr>
            </w:pPr>
            <w:r>
              <w:rPr>
                <w:sz w:val="4"/>
                <w:szCs w:val="4"/>
              </w:rPr>
            </w:r>
          </w:p>
        </w:tc>
        <w:tc>
          <w:tcPr>
            <w:tcW w:w="542" w:type="dxa"/>
            <w:gridSpan w:val="2"/>
            <w:tcBorders/>
            <w:vAlign w:val="center"/>
          </w:tcPr>
          <w:p>
            <w:pPr>
              <w:pStyle w:val="TableContents"/>
              <w:bidi w:val="0"/>
              <w:spacing w:before="0" w:after="283"/>
              <w:jc w:val="left"/>
              <w:rPr>
                <w:sz w:val="4"/>
                <w:szCs w:val="4"/>
              </w:rPr>
            </w:pPr>
            <w:r>
              <w:rPr>
                <w:sz w:val="4"/>
                <w:szCs w:val="4"/>
              </w:rPr>
            </w:r>
          </w:p>
        </w:tc>
        <w:tc>
          <w:tcPr>
            <w:tcW w:w="9212" w:type="dxa"/>
            <w:gridSpan w:val="2"/>
            <w:tcBorders/>
            <w:vAlign w:val="center"/>
          </w:tcPr>
          <w:p>
            <w:pPr>
              <w:pStyle w:val="TableContents"/>
              <w:bidi w:val="0"/>
              <w:spacing w:before="0" w:after="283"/>
              <w:jc w:val="left"/>
              <w:rPr>
                <w:sz w:val="4"/>
                <w:szCs w:val="4"/>
              </w:rPr>
            </w:pPr>
            <w:r>
              <w:rPr>
                <w:sz w:val="4"/>
                <w:szCs w:val="4"/>
              </w:rPr>
            </w:r>
          </w:p>
        </w:tc>
      </w:tr>
      <w:tr>
        <w:trPr/>
        <w:tc>
          <w:tcPr>
            <w:tcW w:w="451" w:type="dxa"/>
            <w:tcBorders/>
          </w:tcPr>
          <w:p>
            <w:pPr>
              <w:pStyle w:val="TableContents"/>
              <w:bidi w:val="0"/>
              <w:spacing w:before="0" w:after="0"/>
              <w:jc w:val="left"/>
              <w:rPr>
                <w:rFonts w:ascii="Times New Roman" w:hAnsi="Times New Roman"/>
                <w:sz w:val="20"/>
              </w:rPr>
            </w:pPr>
            <w:r>
              <w:rPr>
                <w:rFonts w:ascii="Times New Roman" w:hAnsi="Times New Roman"/>
                <w:sz w:val="20"/>
              </w:rPr>
              <w:t>FMV</w:t>
            </w:r>
          </w:p>
        </w:tc>
        <w:tc>
          <w:tcPr>
            <w:tcW w:w="117" w:type="dxa"/>
            <w:tcBorders/>
            <w:vAlign w:val="bottom"/>
          </w:tcPr>
          <w:p>
            <w:pPr>
              <w:pStyle w:val="TableContents"/>
              <w:bidi w:val="0"/>
              <w:spacing w:before="0" w:after="283"/>
              <w:jc w:val="left"/>
              <w:rPr/>
            </w:pPr>
            <w:r>
              <w:rPr/>
              <w:t> </w:t>
            </w:r>
          </w:p>
        </w:tc>
        <w:tc>
          <w:tcPr>
            <w:tcW w:w="425"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40" w:type="dxa"/>
            <w:tcBorders/>
            <w:vAlign w:val="bottom"/>
          </w:tcPr>
          <w:p>
            <w:pPr>
              <w:pStyle w:val="TableContents"/>
              <w:bidi w:val="0"/>
              <w:spacing w:before="0" w:after="283"/>
              <w:jc w:val="left"/>
              <w:rPr/>
            </w:pPr>
            <w:r>
              <w:rPr/>
              <w:t>  </w:t>
            </w:r>
          </w:p>
        </w:tc>
        <w:tc>
          <w:tcPr>
            <w:tcW w:w="9072" w:type="dxa"/>
            <w:tcBorders/>
            <w:vAlign w:val="bottom"/>
          </w:tcPr>
          <w:p>
            <w:pPr>
              <w:pStyle w:val="TableContents"/>
              <w:bidi w:val="0"/>
              <w:spacing w:before="0" w:after="283"/>
              <w:jc w:val="left"/>
              <w:rPr/>
            </w:pPr>
            <w:r>
              <w:rPr/>
              <w:t>the fair market value (as determined by the Company in good faith) of the Distributed Property with respect to each outstanding share of the Common Stock on the Ex-Dividend Date for such distribution.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increase made under the portion of this Section 14.05(c) above shall become effective immediately after the open of business on the Ex-Dividend Date for such distribution. If such distribution is not so paid or made, the Conversion Rate shall be decreased to be the Conversion Rate that would then be in effect if such distribution had not been declared. Notwithstanding the foregoing, if “FMV” (as defined above) is equal to or greater than “SP0” (as defined above), then, in lieu of the foregoing increase, each Holder of a Note shall receive, in respect of each $1,000 principal amount thereof,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Record Date for the distribution. </w:t>
      </w:r>
    </w:p>
    <w:p>
      <w:pPr>
        <w:pStyle w:val="TextBody"/>
        <w:bidi w:val="0"/>
        <w:spacing w:before="240" w:after="0"/>
        <w:jc w:val="left"/>
        <w:rPr>
          <w:rFonts w:ascii="Times New Roman" w:hAnsi="Times New Roman"/>
          <w:sz w:val="20"/>
        </w:rPr>
      </w:pPr>
      <w:r>
        <w:rPr>
          <w:rFonts w:ascii="Times New Roman" w:hAnsi="Times New Roman"/>
          <w:sz w:val="20"/>
        </w:rPr>
        <w:t>With respect to an adjustment pursuant to this Section 14.05(c)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 w:hAnsi="Times New Roman"/>
          <w:b/>
          <w:sz w:val="20"/>
        </w:rPr>
        <w:t>Spin-Off</w:t>
      </w:r>
      <w:r>
        <w:rPr>
          <w:rFonts w:ascii="Times New Roman" w:hAnsi="Times New Roman"/>
          <w:sz w:val="20"/>
        </w:rPr>
        <w:t xml:space="preserve">”), the Conversion Rate shall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638300" cy="419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383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6"/>
        <w:gridCol w:w="122"/>
        <w:gridCol w:w="429"/>
        <w:gridCol w:w="153"/>
        <w:gridCol w:w="8945"/>
      </w:tblGrid>
      <w:tr>
        <w:trPr/>
        <w:tc>
          <w:tcPr>
            <w:tcW w:w="55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8945" w:type="dxa"/>
            <w:tcBorders/>
            <w:vAlign w:val="center"/>
          </w:tcPr>
          <w:p>
            <w:pPr>
              <w:pStyle w:val="TableContents"/>
              <w:bidi w:val="0"/>
              <w:spacing w:before="0" w:after="283"/>
              <w:jc w:val="left"/>
              <w:rPr>
                <w:sz w:val="4"/>
                <w:szCs w:val="4"/>
              </w:rPr>
            </w:pPr>
            <w:r>
              <w:rPr>
                <w:sz w:val="4"/>
                <w:szCs w:val="4"/>
              </w:rPr>
            </w:r>
          </w:p>
        </w:tc>
      </w:tr>
      <w:tr>
        <w:trPr/>
        <w:tc>
          <w:tcPr>
            <w:tcW w:w="556" w:type="dxa"/>
            <w:tcBorders/>
          </w:tcPr>
          <w:p>
            <w:pPr>
              <w:pStyle w:val="TableContents"/>
              <w:bidi w:val="0"/>
              <w:spacing w:before="0" w:after="0"/>
              <w:jc w:val="left"/>
              <w:rPr>
                <w:rFonts w:ascii="Times New Roman" w:hAnsi="Times New Roman"/>
                <w:sz w:val="20"/>
              </w:rPr>
            </w:pPr>
            <w:r>
              <w:rPr>
                <w:rFonts w:ascii="Times New Roman" w:hAnsi="Times New Roman"/>
                <w:sz w:val="20"/>
              </w:rPr>
              <w:t>CR0</w:t>
            </w:r>
          </w:p>
        </w:tc>
        <w:tc>
          <w:tcPr>
            <w:tcW w:w="122"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53" w:type="dxa"/>
            <w:tcBorders/>
            <w:vAlign w:val="bottom"/>
          </w:tcPr>
          <w:p>
            <w:pPr>
              <w:pStyle w:val="TableContents"/>
              <w:bidi w:val="0"/>
              <w:spacing w:before="0" w:after="283"/>
              <w:jc w:val="left"/>
              <w:rPr/>
            </w:pPr>
            <w:r>
              <w:rPr/>
              <w:t>  </w:t>
            </w:r>
          </w:p>
        </w:tc>
        <w:tc>
          <w:tcPr>
            <w:tcW w:w="8945" w:type="dxa"/>
            <w:tcBorders/>
            <w:vAlign w:val="bottom"/>
          </w:tcPr>
          <w:p>
            <w:pPr>
              <w:pStyle w:val="TableContents"/>
              <w:bidi w:val="0"/>
              <w:spacing w:before="0" w:after="283"/>
              <w:jc w:val="left"/>
              <w:rPr/>
            </w:pPr>
            <w:r>
              <w:rPr/>
              <w:t>the Conversion Rate in effect immediately before the close of business on the last Trading Day of the Valuation Period for such Spin-Off;</w:t>
            </w:r>
          </w:p>
        </w:tc>
      </w:tr>
      <w:tr>
        <w:trPr>
          <w:trHeight w:val="120" w:hRule="atLeast"/>
        </w:trPr>
        <w:tc>
          <w:tcPr>
            <w:tcW w:w="556" w:type="dxa"/>
            <w:tcBorders/>
            <w:vAlign w:val="center"/>
          </w:tcPr>
          <w:p>
            <w:pPr>
              <w:pStyle w:val="TableContents"/>
              <w:bidi w:val="0"/>
              <w:spacing w:before="0" w:after="283"/>
              <w:jc w:val="left"/>
              <w:rPr>
                <w:sz w:val="4"/>
                <w:szCs w:val="4"/>
              </w:rPr>
            </w:pPr>
            <w:r>
              <w:rPr>
                <w:sz w:val="4"/>
                <w:szCs w:val="4"/>
              </w:rPr>
            </w:r>
          </w:p>
        </w:tc>
        <w:tc>
          <w:tcPr>
            <w:tcW w:w="551" w:type="dxa"/>
            <w:gridSpan w:val="2"/>
            <w:tcBorders/>
            <w:vAlign w:val="center"/>
          </w:tcPr>
          <w:p>
            <w:pPr>
              <w:pStyle w:val="TableContents"/>
              <w:bidi w:val="0"/>
              <w:spacing w:before="0" w:after="283"/>
              <w:jc w:val="left"/>
              <w:rPr>
                <w:sz w:val="4"/>
                <w:szCs w:val="4"/>
              </w:rPr>
            </w:pPr>
            <w:r>
              <w:rPr>
                <w:sz w:val="4"/>
                <w:szCs w:val="4"/>
              </w:rPr>
            </w:r>
          </w:p>
        </w:tc>
        <w:tc>
          <w:tcPr>
            <w:tcW w:w="9098" w:type="dxa"/>
            <w:gridSpan w:val="2"/>
            <w:tcBorders/>
            <w:vAlign w:val="center"/>
          </w:tcPr>
          <w:p>
            <w:pPr>
              <w:pStyle w:val="TableContents"/>
              <w:bidi w:val="0"/>
              <w:spacing w:before="0" w:after="283"/>
              <w:jc w:val="left"/>
              <w:rPr>
                <w:sz w:val="4"/>
                <w:szCs w:val="4"/>
              </w:rPr>
            </w:pPr>
            <w:r>
              <w:rPr>
                <w:sz w:val="4"/>
                <w:szCs w:val="4"/>
              </w:rPr>
            </w:r>
          </w:p>
        </w:tc>
      </w:tr>
      <w:tr>
        <w:trPr/>
        <w:tc>
          <w:tcPr>
            <w:tcW w:w="556" w:type="dxa"/>
            <w:tcBorders/>
          </w:tcPr>
          <w:p>
            <w:pPr>
              <w:pStyle w:val="TableContents"/>
              <w:bidi w:val="0"/>
              <w:spacing w:before="0" w:after="0"/>
              <w:jc w:val="left"/>
              <w:rPr>
                <w:rFonts w:ascii="Times New Roman" w:hAnsi="Times New Roman"/>
                <w:sz w:val="20"/>
              </w:rPr>
            </w:pPr>
            <w:r>
              <w:rPr>
                <w:rFonts w:ascii="Times New Roman" w:hAnsi="Times New Roman"/>
                <w:sz w:val="20"/>
              </w:rPr>
              <w:t>CR’</w:t>
            </w:r>
          </w:p>
        </w:tc>
        <w:tc>
          <w:tcPr>
            <w:tcW w:w="122"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53" w:type="dxa"/>
            <w:tcBorders/>
            <w:vAlign w:val="bottom"/>
          </w:tcPr>
          <w:p>
            <w:pPr>
              <w:pStyle w:val="TableContents"/>
              <w:bidi w:val="0"/>
              <w:spacing w:before="0" w:after="283"/>
              <w:jc w:val="left"/>
              <w:rPr/>
            </w:pPr>
            <w:r>
              <w:rPr/>
              <w:t>  </w:t>
            </w:r>
          </w:p>
        </w:tc>
        <w:tc>
          <w:tcPr>
            <w:tcW w:w="8945" w:type="dxa"/>
            <w:tcBorders/>
            <w:vAlign w:val="bottom"/>
          </w:tcPr>
          <w:p>
            <w:pPr>
              <w:pStyle w:val="TableContents"/>
              <w:bidi w:val="0"/>
              <w:spacing w:before="0" w:after="283"/>
              <w:jc w:val="left"/>
              <w:rPr/>
            </w:pPr>
            <w:r>
              <w:rPr/>
              <w:t>the Conversion Rate in effect at the close of business on the last Trading Day of such Valuation Period;</w:t>
            </w:r>
          </w:p>
        </w:tc>
      </w:tr>
      <w:tr>
        <w:trPr>
          <w:trHeight w:val="120" w:hRule="atLeast"/>
        </w:trPr>
        <w:tc>
          <w:tcPr>
            <w:tcW w:w="556" w:type="dxa"/>
            <w:tcBorders/>
            <w:vAlign w:val="center"/>
          </w:tcPr>
          <w:p>
            <w:pPr>
              <w:pStyle w:val="TableContents"/>
              <w:bidi w:val="0"/>
              <w:spacing w:before="0" w:after="283"/>
              <w:jc w:val="left"/>
              <w:rPr>
                <w:sz w:val="4"/>
                <w:szCs w:val="4"/>
              </w:rPr>
            </w:pPr>
            <w:r>
              <w:rPr>
                <w:sz w:val="4"/>
                <w:szCs w:val="4"/>
              </w:rPr>
            </w:r>
          </w:p>
        </w:tc>
        <w:tc>
          <w:tcPr>
            <w:tcW w:w="551" w:type="dxa"/>
            <w:gridSpan w:val="2"/>
            <w:tcBorders/>
            <w:vAlign w:val="center"/>
          </w:tcPr>
          <w:p>
            <w:pPr>
              <w:pStyle w:val="TableContents"/>
              <w:bidi w:val="0"/>
              <w:spacing w:before="0" w:after="283"/>
              <w:jc w:val="left"/>
              <w:rPr>
                <w:sz w:val="4"/>
                <w:szCs w:val="4"/>
              </w:rPr>
            </w:pPr>
            <w:r>
              <w:rPr>
                <w:sz w:val="4"/>
                <w:szCs w:val="4"/>
              </w:rPr>
            </w:r>
          </w:p>
        </w:tc>
        <w:tc>
          <w:tcPr>
            <w:tcW w:w="9098" w:type="dxa"/>
            <w:gridSpan w:val="2"/>
            <w:tcBorders/>
            <w:vAlign w:val="center"/>
          </w:tcPr>
          <w:p>
            <w:pPr>
              <w:pStyle w:val="TableContents"/>
              <w:bidi w:val="0"/>
              <w:spacing w:before="0" w:after="283"/>
              <w:jc w:val="left"/>
              <w:rPr>
                <w:sz w:val="4"/>
                <w:szCs w:val="4"/>
              </w:rPr>
            </w:pPr>
            <w:r>
              <w:rPr>
                <w:sz w:val="4"/>
                <w:szCs w:val="4"/>
              </w:rPr>
            </w:r>
          </w:p>
        </w:tc>
      </w:tr>
      <w:tr>
        <w:trPr/>
        <w:tc>
          <w:tcPr>
            <w:tcW w:w="556" w:type="dxa"/>
            <w:tcBorders/>
          </w:tcPr>
          <w:p>
            <w:pPr>
              <w:pStyle w:val="TableContents"/>
              <w:bidi w:val="0"/>
              <w:spacing w:before="0" w:after="0"/>
              <w:jc w:val="left"/>
              <w:rPr>
                <w:rFonts w:ascii="Times New Roman" w:hAnsi="Times New Roman"/>
                <w:sz w:val="20"/>
              </w:rPr>
            </w:pPr>
            <w:r>
              <w:rPr>
                <w:rFonts w:ascii="Times New Roman" w:hAnsi="Times New Roman"/>
                <w:sz w:val="20"/>
              </w:rPr>
              <w:t>FMV0</w:t>
            </w:r>
          </w:p>
        </w:tc>
        <w:tc>
          <w:tcPr>
            <w:tcW w:w="122"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53" w:type="dxa"/>
            <w:tcBorders/>
            <w:vAlign w:val="bottom"/>
          </w:tcPr>
          <w:p>
            <w:pPr>
              <w:pStyle w:val="TableContents"/>
              <w:bidi w:val="0"/>
              <w:spacing w:before="0" w:after="283"/>
              <w:jc w:val="left"/>
              <w:rPr/>
            </w:pPr>
            <w:r>
              <w:rPr/>
              <w:t>  </w:t>
            </w:r>
          </w:p>
        </w:tc>
        <w:tc>
          <w:tcPr>
            <w:tcW w:w="8945" w:type="dxa"/>
            <w:tcBorders/>
            <w:vAlign w:val="bottom"/>
          </w:tcPr>
          <w:p>
            <w:pPr>
              <w:pStyle w:val="TableContents"/>
              <w:bidi w:val="0"/>
              <w:spacing w:before="0" w:after="283"/>
              <w:jc w:val="left"/>
              <w:rPr/>
            </w:pPr>
            <w:r>
              <w:rPr/>
              <w:t>the average of the Last Reported Sale Prices of the capital stock or similar equity interest distributed to holders of the Common Stock applicable to one share of the Common Stock (determined by reference to the definition of Last Reported Sale Price as set forth in Section 1.01 as if references therein to Common Stock were to such capital stock or similar equity interest) over the first 10 consecutive Trading Day period after, and including, the Ex-Dividend Date of such Spin-Off (the “</w:t>
            </w:r>
            <w:r>
              <w:rPr>
                <w:b/>
              </w:rPr>
              <w:t>Valuation Period</w:t>
            </w:r>
            <w:r>
              <w:rPr/>
              <w:t>”); and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13"/>
        <w:gridCol w:w="114"/>
        <w:gridCol w:w="425"/>
        <w:gridCol w:w="132"/>
        <w:gridCol w:w="9121"/>
      </w:tblGrid>
      <w:tr>
        <w:trPr/>
        <w:tc>
          <w:tcPr>
            <w:tcW w:w="413"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413" w:type="dxa"/>
            <w:tcBorders/>
          </w:tcPr>
          <w:p>
            <w:pPr>
              <w:pStyle w:val="TableContents"/>
              <w:bidi w:val="0"/>
              <w:spacing w:before="0" w:after="0"/>
              <w:jc w:val="left"/>
              <w:rPr>
                <w:rFonts w:ascii="Times New Roman" w:hAnsi="Times New Roman"/>
                <w:sz w:val="20"/>
              </w:rPr>
            </w:pPr>
            <w:r>
              <w:rPr>
                <w:rFonts w:ascii="Times New Roman" w:hAnsi="Times New Roman"/>
                <w:sz w:val="20"/>
              </w:rPr>
              <w:t>MP0</w:t>
            </w:r>
          </w:p>
        </w:tc>
        <w:tc>
          <w:tcPr>
            <w:tcW w:w="114" w:type="dxa"/>
            <w:tcBorders/>
            <w:vAlign w:val="bottom"/>
          </w:tcPr>
          <w:p>
            <w:pPr>
              <w:pStyle w:val="TableContents"/>
              <w:bidi w:val="0"/>
              <w:spacing w:before="0" w:after="283"/>
              <w:jc w:val="left"/>
              <w:rPr/>
            </w:pPr>
            <w:r>
              <w:rPr/>
              <w:t> </w:t>
            </w:r>
          </w:p>
        </w:tc>
        <w:tc>
          <w:tcPr>
            <w:tcW w:w="425"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32" w:type="dxa"/>
            <w:tcBorders/>
            <w:vAlign w:val="bottom"/>
          </w:tcPr>
          <w:p>
            <w:pPr>
              <w:pStyle w:val="TableContents"/>
              <w:bidi w:val="0"/>
              <w:spacing w:before="0" w:after="283"/>
              <w:jc w:val="left"/>
              <w:rPr/>
            </w:pPr>
            <w:r>
              <w:rPr/>
              <w:t>  </w:t>
            </w:r>
          </w:p>
        </w:tc>
        <w:tc>
          <w:tcPr>
            <w:tcW w:w="9121" w:type="dxa"/>
            <w:tcBorders/>
            <w:vAlign w:val="bottom"/>
          </w:tcPr>
          <w:p>
            <w:pPr>
              <w:pStyle w:val="TableContents"/>
              <w:bidi w:val="0"/>
              <w:spacing w:before="0" w:after="283"/>
              <w:jc w:val="left"/>
              <w:rPr/>
            </w:pPr>
            <w:r>
              <w:rPr/>
              <w:t>the average of the Last Reported Sale Prices of the Common Stock over such Valuation Period.</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to the Conversion Rate under the preceding paragraph shall occur at the close of business on the last Trading Day of the Valuation Period; </w:t>
      </w:r>
      <w:r>
        <w:rPr>
          <w:rFonts w:ascii="Times New Roman" w:hAnsi="Times New Roman"/>
          <w:i/>
          <w:sz w:val="20"/>
        </w:rPr>
        <w:t>provided</w:t>
      </w:r>
      <w:r>
        <w:rPr>
          <w:rFonts w:ascii="Times New Roman" w:hAnsi="Times New Roman"/>
          <w:sz w:val="20"/>
        </w:rPr>
        <w:t xml:space="preserve"> that (x) in respect of any conversion of Notes for which Physical Settlement is applicable, if the relevant Conversion Date occurs during the Valuation Period, references to “10” in the preceding paragraph shall be deemed to be replaced with such lesser number of Trading Days as have elapsed from, and including, the Ex-Dividend Date of such Spin-Off to, and including, the Conversion Date in determining the Conversion Rate and (y) in respect of any conversion of Notes for which Cash Settlement or Combination Settlement is applicable, for any VWAP Trading Day that falls within the relevant Observation Period for such conversion and within the Valuation Period, references to “10” in the preceding paragraph shall be deemed to be replaced with such lesser number of Trading Days as have elapsed from, and including the Ex-Dividend Date of such Spin-Off to, and including, such VWAP Trading Day in determining the Conversion Rate applicable to such conversion as of such VWAP Trading Day. </w:t>
      </w:r>
    </w:p>
    <w:p>
      <w:pPr>
        <w:pStyle w:val="TextBody"/>
        <w:bidi w:val="0"/>
        <w:spacing w:before="240" w:after="0"/>
        <w:jc w:val="left"/>
        <w:rPr>
          <w:rFonts w:ascii="Times New Roman" w:hAnsi="Times New Roman"/>
          <w:sz w:val="20"/>
        </w:rPr>
      </w:pPr>
      <w:r>
        <w:rPr>
          <w:rFonts w:ascii="Times New Roman" w:hAnsi="Times New Roman"/>
          <w:sz w:val="20"/>
        </w:rPr>
        <w:t xml:space="preserve">(d) If any cash dividend or distribution is made to all or substantially all holders of the Common Stock, the Conversion Rate shall be adjusted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314450" cy="428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14450" cy="428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9"/>
        <w:gridCol w:w="114"/>
        <w:gridCol w:w="422"/>
        <w:gridCol w:w="133"/>
        <w:gridCol w:w="9127"/>
      </w:tblGrid>
      <w:tr>
        <w:trPr/>
        <w:tc>
          <w:tcPr>
            <w:tcW w:w="409"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9127" w:type="dxa"/>
            <w:tcBorders/>
            <w:vAlign w:val="center"/>
          </w:tcPr>
          <w:p>
            <w:pPr>
              <w:pStyle w:val="TableContents"/>
              <w:bidi w:val="0"/>
              <w:spacing w:before="0" w:after="283"/>
              <w:jc w:val="left"/>
              <w:rPr>
                <w:sz w:val="4"/>
                <w:szCs w:val="4"/>
              </w:rPr>
            </w:pPr>
            <w:r>
              <w:rPr>
                <w:sz w:val="4"/>
                <w:szCs w:val="4"/>
              </w:rPr>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CR0</w:t>
            </w:r>
          </w:p>
        </w:tc>
        <w:tc>
          <w:tcPr>
            <w:tcW w:w="114" w:type="dxa"/>
            <w:tcBorders/>
            <w:vAlign w:val="bottom"/>
          </w:tcPr>
          <w:p>
            <w:pPr>
              <w:pStyle w:val="TableContents"/>
              <w:bidi w:val="0"/>
              <w:spacing w:before="0" w:after="283"/>
              <w:jc w:val="left"/>
              <w:rPr/>
            </w:pPr>
            <w:r>
              <w:rPr/>
              <w:t> </w:t>
            </w:r>
          </w:p>
        </w:tc>
        <w:tc>
          <w:tcPr>
            <w:tcW w:w="422"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33" w:type="dxa"/>
            <w:tcBorders/>
            <w:vAlign w:val="bottom"/>
          </w:tcPr>
          <w:p>
            <w:pPr>
              <w:pStyle w:val="TableContents"/>
              <w:bidi w:val="0"/>
              <w:spacing w:before="0" w:after="283"/>
              <w:jc w:val="left"/>
              <w:rPr/>
            </w:pPr>
            <w:r>
              <w:rPr/>
              <w:t>  </w:t>
            </w:r>
          </w:p>
        </w:tc>
        <w:tc>
          <w:tcPr>
            <w:tcW w:w="9127" w:type="dxa"/>
            <w:tcBorders/>
            <w:vAlign w:val="bottom"/>
          </w:tcPr>
          <w:p>
            <w:pPr>
              <w:pStyle w:val="TableContents"/>
              <w:bidi w:val="0"/>
              <w:spacing w:before="0" w:after="283"/>
              <w:jc w:val="left"/>
              <w:rPr/>
            </w:pPr>
            <w:r>
              <w:rPr/>
              <w:t>the Conversion Rate in effect immediately prior to the open of business on the Ex-Dividend Date for such dividend or distribution;</w:t>
            </w:r>
          </w:p>
        </w:tc>
      </w:tr>
      <w:tr>
        <w:trPr>
          <w:trHeight w:val="120" w:hRule="atLeast"/>
        </w:trPr>
        <w:tc>
          <w:tcPr>
            <w:tcW w:w="409" w:type="dxa"/>
            <w:tcBorders/>
            <w:vAlign w:val="center"/>
          </w:tcPr>
          <w:p>
            <w:pPr>
              <w:pStyle w:val="TableContents"/>
              <w:bidi w:val="0"/>
              <w:spacing w:before="0" w:after="283"/>
              <w:jc w:val="left"/>
              <w:rPr>
                <w:sz w:val="4"/>
                <w:szCs w:val="4"/>
              </w:rPr>
            </w:pPr>
            <w:r>
              <w:rPr>
                <w:sz w:val="4"/>
                <w:szCs w:val="4"/>
              </w:rPr>
            </w:r>
          </w:p>
        </w:tc>
        <w:tc>
          <w:tcPr>
            <w:tcW w:w="536" w:type="dxa"/>
            <w:gridSpan w:val="2"/>
            <w:tcBorders/>
            <w:vAlign w:val="center"/>
          </w:tcPr>
          <w:p>
            <w:pPr>
              <w:pStyle w:val="TableContents"/>
              <w:bidi w:val="0"/>
              <w:spacing w:before="0" w:after="283"/>
              <w:jc w:val="left"/>
              <w:rPr>
                <w:sz w:val="4"/>
                <w:szCs w:val="4"/>
              </w:rPr>
            </w:pPr>
            <w:r>
              <w:rPr>
                <w:sz w:val="4"/>
                <w:szCs w:val="4"/>
              </w:rPr>
            </w:r>
          </w:p>
        </w:tc>
        <w:tc>
          <w:tcPr>
            <w:tcW w:w="9260" w:type="dxa"/>
            <w:gridSpan w:val="2"/>
            <w:tcBorders/>
            <w:vAlign w:val="center"/>
          </w:tcPr>
          <w:p>
            <w:pPr>
              <w:pStyle w:val="TableContents"/>
              <w:bidi w:val="0"/>
              <w:spacing w:before="0" w:after="283"/>
              <w:jc w:val="left"/>
              <w:rPr>
                <w:sz w:val="4"/>
                <w:szCs w:val="4"/>
              </w:rPr>
            </w:pPr>
            <w:r>
              <w:rPr>
                <w:sz w:val="4"/>
                <w:szCs w:val="4"/>
              </w:rPr>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CR’</w:t>
            </w:r>
          </w:p>
        </w:tc>
        <w:tc>
          <w:tcPr>
            <w:tcW w:w="114" w:type="dxa"/>
            <w:tcBorders/>
            <w:vAlign w:val="bottom"/>
          </w:tcPr>
          <w:p>
            <w:pPr>
              <w:pStyle w:val="TableContents"/>
              <w:bidi w:val="0"/>
              <w:spacing w:before="0" w:after="283"/>
              <w:jc w:val="left"/>
              <w:rPr/>
            </w:pPr>
            <w:r>
              <w:rPr/>
              <w:t> </w:t>
            </w:r>
          </w:p>
        </w:tc>
        <w:tc>
          <w:tcPr>
            <w:tcW w:w="422"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33" w:type="dxa"/>
            <w:tcBorders/>
            <w:vAlign w:val="bottom"/>
          </w:tcPr>
          <w:p>
            <w:pPr>
              <w:pStyle w:val="TableContents"/>
              <w:bidi w:val="0"/>
              <w:spacing w:before="0" w:after="283"/>
              <w:jc w:val="left"/>
              <w:rPr/>
            </w:pPr>
            <w:r>
              <w:rPr/>
              <w:t>  </w:t>
            </w:r>
          </w:p>
        </w:tc>
        <w:tc>
          <w:tcPr>
            <w:tcW w:w="9127" w:type="dxa"/>
            <w:tcBorders/>
            <w:vAlign w:val="bottom"/>
          </w:tcPr>
          <w:p>
            <w:pPr>
              <w:pStyle w:val="TableContents"/>
              <w:bidi w:val="0"/>
              <w:spacing w:before="0" w:after="283"/>
              <w:jc w:val="left"/>
              <w:rPr/>
            </w:pPr>
            <w:r>
              <w:rPr/>
              <w:t>the Conversion Rate in effect immediately after the open of business on the Ex-Dividend Date for such dividend or distribution;</w:t>
            </w:r>
          </w:p>
        </w:tc>
      </w:tr>
      <w:tr>
        <w:trPr>
          <w:trHeight w:val="120" w:hRule="atLeast"/>
        </w:trPr>
        <w:tc>
          <w:tcPr>
            <w:tcW w:w="409" w:type="dxa"/>
            <w:tcBorders/>
            <w:vAlign w:val="center"/>
          </w:tcPr>
          <w:p>
            <w:pPr>
              <w:pStyle w:val="TableContents"/>
              <w:bidi w:val="0"/>
              <w:spacing w:before="0" w:after="283"/>
              <w:jc w:val="left"/>
              <w:rPr>
                <w:sz w:val="4"/>
                <w:szCs w:val="4"/>
              </w:rPr>
            </w:pPr>
            <w:r>
              <w:rPr>
                <w:sz w:val="4"/>
                <w:szCs w:val="4"/>
              </w:rPr>
            </w:r>
          </w:p>
        </w:tc>
        <w:tc>
          <w:tcPr>
            <w:tcW w:w="536" w:type="dxa"/>
            <w:gridSpan w:val="2"/>
            <w:tcBorders/>
            <w:vAlign w:val="center"/>
          </w:tcPr>
          <w:p>
            <w:pPr>
              <w:pStyle w:val="TableContents"/>
              <w:bidi w:val="0"/>
              <w:spacing w:before="0" w:after="283"/>
              <w:jc w:val="left"/>
              <w:rPr>
                <w:sz w:val="4"/>
                <w:szCs w:val="4"/>
              </w:rPr>
            </w:pPr>
            <w:r>
              <w:rPr>
                <w:sz w:val="4"/>
                <w:szCs w:val="4"/>
              </w:rPr>
            </w:r>
          </w:p>
        </w:tc>
        <w:tc>
          <w:tcPr>
            <w:tcW w:w="9260" w:type="dxa"/>
            <w:gridSpan w:val="2"/>
            <w:tcBorders/>
            <w:vAlign w:val="center"/>
          </w:tcPr>
          <w:p>
            <w:pPr>
              <w:pStyle w:val="TableContents"/>
              <w:bidi w:val="0"/>
              <w:spacing w:before="0" w:after="283"/>
              <w:jc w:val="left"/>
              <w:rPr>
                <w:sz w:val="4"/>
                <w:szCs w:val="4"/>
              </w:rPr>
            </w:pPr>
            <w:r>
              <w:rPr>
                <w:sz w:val="4"/>
                <w:szCs w:val="4"/>
              </w:rPr>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SP0</w:t>
            </w:r>
          </w:p>
        </w:tc>
        <w:tc>
          <w:tcPr>
            <w:tcW w:w="114" w:type="dxa"/>
            <w:tcBorders/>
            <w:vAlign w:val="bottom"/>
          </w:tcPr>
          <w:p>
            <w:pPr>
              <w:pStyle w:val="TableContents"/>
              <w:bidi w:val="0"/>
              <w:spacing w:before="0" w:after="283"/>
              <w:jc w:val="left"/>
              <w:rPr/>
            </w:pPr>
            <w:r>
              <w:rPr/>
              <w:t> </w:t>
            </w:r>
          </w:p>
        </w:tc>
        <w:tc>
          <w:tcPr>
            <w:tcW w:w="422"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33" w:type="dxa"/>
            <w:tcBorders/>
            <w:vAlign w:val="bottom"/>
          </w:tcPr>
          <w:p>
            <w:pPr>
              <w:pStyle w:val="TableContents"/>
              <w:bidi w:val="0"/>
              <w:spacing w:before="0" w:after="283"/>
              <w:jc w:val="left"/>
              <w:rPr/>
            </w:pPr>
            <w:r>
              <w:rPr/>
              <w:t>  </w:t>
            </w:r>
          </w:p>
        </w:tc>
        <w:tc>
          <w:tcPr>
            <w:tcW w:w="9127" w:type="dxa"/>
            <w:tcBorders/>
            <w:vAlign w:val="bottom"/>
          </w:tcPr>
          <w:p>
            <w:pPr>
              <w:pStyle w:val="TableContents"/>
              <w:bidi w:val="0"/>
              <w:spacing w:before="0" w:after="283"/>
              <w:jc w:val="left"/>
              <w:rPr/>
            </w:pPr>
            <w:r>
              <w:rPr/>
              <w:t>the Last Reported Sale Price of the Common Stock on the Trading Day immediately preceding the Ex-Dividend Date for such dividend or distribution; and</w:t>
            </w:r>
          </w:p>
        </w:tc>
      </w:tr>
      <w:tr>
        <w:trPr>
          <w:trHeight w:val="120" w:hRule="atLeast"/>
        </w:trPr>
        <w:tc>
          <w:tcPr>
            <w:tcW w:w="409" w:type="dxa"/>
            <w:tcBorders/>
            <w:vAlign w:val="center"/>
          </w:tcPr>
          <w:p>
            <w:pPr>
              <w:pStyle w:val="TableContents"/>
              <w:bidi w:val="0"/>
              <w:spacing w:before="0" w:after="283"/>
              <w:jc w:val="left"/>
              <w:rPr>
                <w:sz w:val="4"/>
                <w:szCs w:val="4"/>
              </w:rPr>
            </w:pPr>
            <w:r>
              <w:rPr>
                <w:sz w:val="4"/>
                <w:szCs w:val="4"/>
              </w:rPr>
            </w:r>
          </w:p>
        </w:tc>
        <w:tc>
          <w:tcPr>
            <w:tcW w:w="536" w:type="dxa"/>
            <w:gridSpan w:val="2"/>
            <w:tcBorders/>
            <w:vAlign w:val="center"/>
          </w:tcPr>
          <w:p>
            <w:pPr>
              <w:pStyle w:val="TableContents"/>
              <w:bidi w:val="0"/>
              <w:spacing w:before="0" w:after="283"/>
              <w:jc w:val="left"/>
              <w:rPr>
                <w:sz w:val="4"/>
                <w:szCs w:val="4"/>
              </w:rPr>
            </w:pPr>
            <w:r>
              <w:rPr>
                <w:sz w:val="4"/>
                <w:szCs w:val="4"/>
              </w:rPr>
            </w:r>
          </w:p>
        </w:tc>
        <w:tc>
          <w:tcPr>
            <w:tcW w:w="9260" w:type="dxa"/>
            <w:gridSpan w:val="2"/>
            <w:tcBorders/>
            <w:vAlign w:val="center"/>
          </w:tcPr>
          <w:p>
            <w:pPr>
              <w:pStyle w:val="TableContents"/>
              <w:bidi w:val="0"/>
              <w:spacing w:before="0" w:after="283"/>
              <w:jc w:val="left"/>
              <w:rPr>
                <w:sz w:val="4"/>
                <w:szCs w:val="4"/>
              </w:rPr>
            </w:pPr>
            <w:r>
              <w:rPr>
                <w:sz w:val="4"/>
                <w:szCs w:val="4"/>
              </w:rPr>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114" w:type="dxa"/>
            <w:tcBorders/>
            <w:vAlign w:val="bottom"/>
          </w:tcPr>
          <w:p>
            <w:pPr>
              <w:pStyle w:val="TableContents"/>
              <w:bidi w:val="0"/>
              <w:spacing w:before="0" w:after="283"/>
              <w:jc w:val="left"/>
              <w:rPr/>
            </w:pPr>
            <w:r>
              <w:rPr/>
              <w:t> </w:t>
            </w:r>
          </w:p>
        </w:tc>
        <w:tc>
          <w:tcPr>
            <w:tcW w:w="422"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33" w:type="dxa"/>
            <w:tcBorders/>
            <w:vAlign w:val="bottom"/>
          </w:tcPr>
          <w:p>
            <w:pPr>
              <w:pStyle w:val="TableContents"/>
              <w:bidi w:val="0"/>
              <w:spacing w:before="0" w:after="283"/>
              <w:jc w:val="left"/>
              <w:rPr/>
            </w:pPr>
            <w:r>
              <w:rPr/>
              <w:t>  </w:t>
            </w:r>
          </w:p>
        </w:tc>
        <w:tc>
          <w:tcPr>
            <w:tcW w:w="9127" w:type="dxa"/>
            <w:tcBorders/>
            <w:vAlign w:val="bottom"/>
          </w:tcPr>
          <w:p>
            <w:pPr>
              <w:pStyle w:val="TableContents"/>
              <w:bidi w:val="0"/>
              <w:spacing w:before="0" w:after="283"/>
              <w:jc w:val="left"/>
              <w:rPr/>
            </w:pPr>
            <w:r>
              <w:rPr/>
              <w:t>the amount in cash per share the Company distributes to all or substantially all holders of the Common Stock.</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increase pursuant to this Section 14.05(d)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Conversion Rate that would then be in effect if such dividend or distribution had not been declared. Notwithstanding the foregoing, if “C” (as defined above) is equal to or greater than “SP0” (as defined above), then, in lieu of the foregoing increase, each Holder of a Note shall receive, for each $1,000 principal amount of Notes it holds, at the same time and upon the same terms as holders of shares of the Common Stock, the amount of cash that such Holder would have received if such Holder owned a number of shares of Common Stock equal to the Conversion Rate on the Record Date for such cash dividend or distribution. </w:t>
      </w:r>
    </w:p>
    <w:p>
      <w:pPr>
        <w:pStyle w:val="TextBody"/>
        <w:bidi w:val="0"/>
        <w:spacing w:before="240" w:after="0"/>
        <w:jc w:val="left"/>
        <w:rPr>
          <w:rFonts w:ascii="Times New Roman" w:hAnsi="Times New Roman"/>
          <w:sz w:val="20"/>
        </w:rPr>
      </w:pPr>
      <w:r>
        <w:rPr>
          <w:rFonts w:ascii="Times New Roman" w:hAnsi="Times New Roman"/>
          <w:sz w:val="20"/>
        </w:rPr>
        <w:t xml:space="preserve">(e) If the Company or any of its Subsidiaries make a payment in respect of a tender or exchange offer for the Common Stock (other than an odd-lot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762125" cy="419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62125"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4"/>
        <w:gridCol w:w="112"/>
        <w:gridCol w:w="420"/>
        <w:gridCol w:w="128"/>
        <w:gridCol w:w="9151"/>
      </w:tblGrid>
      <w:tr>
        <w:trPr/>
        <w:tc>
          <w:tcPr>
            <w:tcW w:w="394"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9151" w:type="dxa"/>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0"/>
              <w:jc w:val="left"/>
              <w:rPr>
                <w:rFonts w:ascii="Times New Roman" w:hAnsi="Times New Roman"/>
                <w:sz w:val="20"/>
              </w:rPr>
            </w:pPr>
            <w:r>
              <w:rPr>
                <w:rFonts w:ascii="Times New Roman" w:hAnsi="Times New Roman"/>
                <w:sz w:val="20"/>
              </w:rPr>
              <w:t>CR0</w:t>
            </w:r>
          </w:p>
        </w:tc>
        <w:tc>
          <w:tcPr>
            <w:tcW w:w="112" w:type="dxa"/>
            <w:tcBorders/>
            <w:vAlign w:val="bottom"/>
          </w:tcPr>
          <w:p>
            <w:pPr>
              <w:pStyle w:val="TableContents"/>
              <w:bidi w:val="0"/>
              <w:spacing w:before="0" w:after="283"/>
              <w:jc w:val="left"/>
              <w:rPr/>
            </w:pPr>
            <w:r>
              <w:rPr/>
              <w:t> </w:t>
            </w:r>
          </w:p>
        </w:tc>
        <w:tc>
          <w:tcPr>
            <w:tcW w:w="420"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28" w:type="dxa"/>
            <w:tcBorders/>
            <w:vAlign w:val="bottom"/>
          </w:tcPr>
          <w:p>
            <w:pPr>
              <w:pStyle w:val="TableContents"/>
              <w:bidi w:val="0"/>
              <w:spacing w:before="0" w:after="283"/>
              <w:jc w:val="left"/>
              <w:rPr/>
            </w:pPr>
            <w:r>
              <w:rPr/>
              <w:t>  </w:t>
            </w:r>
          </w:p>
        </w:tc>
        <w:tc>
          <w:tcPr>
            <w:tcW w:w="9151" w:type="dxa"/>
            <w:tcBorders/>
            <w:vAlign w:val="bottom"/>
          </w:tcPr>
          <w:p>
            <w:pPr>
              <w:pStyle w:val="TableContents"/>
              <w:bidi w:val="0"/>
              <w:spacing w:before="0" w:after="283"/>
              <w:jc w:val="left"/>
              <w:rPr/>
            </w:pPr>
            <w:r>
              <w:rPr/>
              <w:t>the Conversion Rate in effect immediately prior to the close of business on the 10th Trading Day immediately following, and including, the Trading Day next succeeding the date such tender or exchange offer expires;</w:t>
            </w:r>
          </w:p>
        </w:tc>
      </w:tr>
      <w:tr>
        <w:trPr>
          <w:trHeight w:val="120" w:hRule="atLeast"/>
        </w:trPr>
        <w:tc>
          <w:tcPr>
            <w:tcW w:w="394" w:type="dxa"/>
            <w:tcBorders/>
            <w:vAlign w:val="center"/>
          </w:tcPr>
          <w:p>
            <w:pPr>
              <w:pStyle w:val="TableContents"/>
              <w:bidi w:val="0"/>
              <w:spacing w:before="0" w:after="283"/>
              <w:jc w:val="left"/>
              <w:rPr>
                <w:sz w:val="4"/>
                <w:szCs w:val="4"/>
              </w:rPr>
            </w:pPr>
            <w:r>
              <w:rPr>
                <w:sz w:val="4"/>
                <w:szCs w:val="4"/>
              </w:rPr>
            </w:r>
          </w:p>
        </w:tc>
        <w:tc>
          <w:tcPr>
            <w:tcW w:w="532" w:type="dxa"/>
            <w:gridSpan w:val="2"/>
            <w:tcBorders/>
            <w:vAlign w:val="center"/>
          </w:tcPr>
          <w:p>
            <w:pPr>
              <w:pStyle w:val="TableContents"/>
              <w:bidi w:val="0"/>
              <w:spacing w:before="0" w:after="283"/>
              <w:jc w:val="left"/>
              <w:rPr>
                <w:sz w:val="4"/>
                <w:szCs w:val="4"/>
              </w:rPr>
            </w:pPr>
            <w:r>
              <w:rPr>
                <w:sz w:val="4"/>
                <w:szCs w:val="4"/>
              </w:rPr>
            </w:r>
          </w:p>
        </w:tc>
        <w:tc>
          <w:tcPr>
            <w:tcW w:w="9279"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0"/>
              <w:jc w:val="left"/>
              <w:rPr>
                <w:rFonts w:ascii="Times New Roman" w:hAnsi="Times New Roman"/>
                <w:sz w:val="20"/>
              </w:rPr>
            </w:pPr>
            <w:r>
              <w:rPr>
                <w:rFonts w:ascii="Times New Roman" w:hAnsi="Times New Roman"/>
                <w:sz w:val="20"/>
              </w:rPr>
              <w:t>CR’</w:t>
            </w:r>
          </w:p>
        </w:tc>
        <w:tc>
          <w:tcPr>
            <w:tcW w:w="112" w:type="dxa"/>
            <w:tcBorders/>
            <w:vAlign w:val="bottom"/>
          </w:tcPr>
          <w:p>
            <w:pPr>
              <w:pStyle w:val="TableContents"/>
              <w:bidi w:val="0"/>
              <w:spacing w:before="0" w:after="283"/>
              <w:jc w:val="left"/>
              <w:rPr/>
            </w:pPr>
            <w:r>
              <w:rPr/>
              <w:t> </w:t>
            </w:r>
          </w:p>
        </w:tc>
        <w:tc>
          <w:tcPr>
            <w:tcW w:w="420"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28" w:type="dxa"/>
            <w:tcBorders/>
            <w:vAlign w:val="bottom"/>
          </w:tcPr>
          <w:p>
            <w:pPr>
              <w:pStyle w:val="TableContents"/>
              <w:bidi w:val="0"/>
              <w:spacing w:before="0" w:after="283"/>
              <w:jc w:val="left"/>
              <w:rPr/>
            </w:pPr>
            <w:r>
              <w:rPr/>
              <w:t>  </w:t>
            </w:r>
          </w:p>
        </w:tc>
        <w:tc>
          <w:tcPr>
            <w:tcW w:w="9151" w:type="dxa"/>
            <w:tcBorders/>
            <w:vAlign w:val="bottom"/>
          </w:tcPr>
          <w:p>
            <w:pPr>
              <w:pStyle w:val="TableContents"/>
              <w:bidi w:val="0"/>
              <w:spacing w:before="0" w:after="283"/>
              <w:jc w:val="left"/>
              <w:rPr/>
            </w:pPr>
            <w:r>
              <w:rPr/>
              <w:t>the Conversion Rate in effect immediately after the close of business on the 10th Trading Day immediately following, and including, the Trading Day next succeeding the date such tender or exchange offer expires;</w:t>
            </w:r>
          </w:p>
        </w:tc>
      </w:tr>
      <w:tr>
        <w:trPr>
          <w:trHeight w:val="120" w:hRule="atLeast"/>
        </w:trPr>
        <w:tc>
          <w:tcPr>
            <w:tcW w:w="394" w:type="dxa"/>
            <w:tcBorders/>
            <w:vAlign w:val="center"/>
          </w:tcPr>
          <w:p>
            <w:pPr>
              <w:pStyle w:val="TableContents"/>
              <w:bidi w:val="0"/>
              <w:spacing w:before="0" w:after="283"/>
              <w:jc w:val="left"/>
              <w:rPr>
                <w:sz w:val="4"/>
                <w:szCs w:val="4"/>
              </w:rPr>
            </w:pPr>
            <w:r>
              <w:rPr>
                <w:sz w:val="4"/>
                <w:szCs w:val="4"/>
              </w:rPr>
            </w:r>
          </w:p>
        </w:tc>
        <w:tc>
          <w:tcPr>
            <w:tcW w:w="532" w:type="dxa"/>
            <w:gridSpan w:val="2"/>
            <w:tcBorders/>
            <w:vAlign w:val="center"/>
          </w:tcPr>
          <w:p>
            <w:pPr>
              <w:pStyle w:val="TableContents"/>
              <w:bidi w:val="0"/>
              <w:spacing w:before="0" w:after="283"/>
              <w:jc w:val="left"/>
              <w:rPr>
                <w:sz w:val="4"/>
                <w:szCs w:val="4"/>
              </w:rPr>
            </w:pPr>
            <w:r>
              <w:rPr>
                <w:sz w:val="4"/>
                <w:szCs w:val="4"/>
              </w:rPr>
            </w:r>
          </w:p>
        </w:tc>
        <w:tc>
          <w:tcPr>
            <w:tcW w:w="9279"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0"/>
              <w:jc w:val="left"/>
              <w:rPr>
                <w:rFonts w:ascii="Times New Roman" w:hAnsi="Times New Roman"/>
                <w:sz w:val="20"/>
              </w:rPr>
            </w:pPr>
            <w:r>
              <w:rPr>
                <w:rFonts w:ascii="Times New Roman" w:hAnsi="Times New Roman"/>
                <w:sz w:val="20"/>
              </w:rPr>
              <w:t>AC</w:t>
            </w:r>
          </w:p>
        </w:tc>
        <w:tc>
          <w:tcPr>
            <w:tcW w:w="112" w:type="dxa"/>
            <w:tcBorders/>
            <w:vAlign w:val="bottom"/>
          </w:tcPr>
          <w:p>
            <w:pPr>
              <w:pStyle w:val="TableContents"/>
              <w:bidi w:val="0"/>
              <w:spacing w:before="0" w:after="283"/>
              <w:jc w:val="left"/>
              <w:rPr/>
            </w:pPr>
            <w:r>
              <w:rPr/>
              <w:t> </w:t>
            </w:r>
          </w:p>
        </w:tc>
        <w:tc>
          <w:tcPr>
            <w:tcW w:w="420"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28" w:type="dxa"/>
            <w:tcBorders/>
            <w:vAlign w:val="bottom"/>
          </w:tcPr>
          <w:p>
            <w:pPr>
              <w:pStyle w:val="TableContents"/>
              <w:bidi w:val="0"/>
              <w:spacing w:before="0" w:after="283"/>
              <w:jc w:val="left"/>
              <w:rPr/>
            </w:pPr>
            <w:r>
              <w:rPr/>
              <w:t>  </w:t>
            </w:r>
          </w:p>
        </w:tc>
        <w:tc>
          <w:tcPr>
            <w:tcW w:w="9151" w:type="dxa"/>
            <w:tcBorders/>
            <w:vAlign w:val="bottom"/>
          </w:tcPr>
          <w:p>
            <w:pPr>
              <w:pStyle w:val="TableContents"/>
              <w:bidi w:val="0"/>
              <w:spacing w:before="0" w:after="283"/>
              <w:jc w:val="left"/>
              <w:rPr/>
            </w:pPr>
            <w:r>
              <w:rPr/>
              <w:t>the aggregate value of all cash and any other consideration (as determined by the Company in good faith) paid or payable for shares of Common Stock purchased in such tender or exchange offer;</w:t>
            </w:r>
          </w:p>
        </w:tc>
      </w:tr>
      <w:tr>
        <w:trPr>
          <w:trHeight w:val="120" w:hRule="atLeast"/>
        </w:trPr>
        <w:tc>
          <w:tcPr>
            <w:tcW w:w="394" w:type="dxa"/>
            <w:tcBorders/>
            <w:vAlign w:val="center"/>
          </w:tcPr>
          <w:p>
            <w:pPr>
              <w:pStyle w:val="TableContents"/>
              <w:bidi w:val="0"/>
              <w:spacing w:before="0" w:after="283"/>
              <w:jc w:val="left"/>
              <w:rPr>
                <w:sz w:val="4"/>
                <w:szCs w:val="4"/>
              </w:rPr>
            </w:pPr>
            <w:r>
              <w:rPr>
                <w:sz w:val="4"/>
                <w:szCs w:val="4"/>
              </w:rPr>
            </w:r>
          </w:p>
        </w:tc>
        <w:tc>
          <w:tcPr>
            <w:tcW w:w="532" w:type="dxa"/>
            <w:gridSpan w:val="2"/>
            <w:tcBorders/>
            <w:vAlign w:val="center"/>
          </w:tcPr>
          <w:p>
            <w:pPr>
              <w:pStyle w:val="TableContents"/>
              <w:bidi w:val="0"/>
              <w:spacing w:before="0" w:after="283"/>
              <w:jc w:val="left"/>
              <w:rPr>
                <w:sz w:val="4"/>
                <w:szCs w:val="4"/>
              </w:rPr>
            </w:pPr>
            <w:r>
              <w:rPr>
                <w:sz w:val="4"/>
                <w:szCs w:val="4"/>
              </w:rPr>
            </w:r>
          </w:p>
        </w:tc>
        <w:tc>
          <w:tcPr>
            <w:tcW w:w="9279"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0"/>
              <w:jc w:val="left"/>
              <w:rPr>
                <w:rFonts w:ascii="Times New Roman" w:hAnsi="Times New Roman"/>
                <w:sz w:val="20"/>
              </w:rPr>
            </w:pPr>
            <w:r>
              <w:rPr>
                <w:rFonts w:ascii="Times New Roman" w:hAnsi="Times New Roman"/>
                <w:sz w:val="20"/>
              </w:rPr>
              <w:t>OS0</w:t>
            </w:r>
          </w:p>
        </w:tc>
        <w:tc>
          <w:tcPr>
            <w:tcW w:w="112" w:type="dxa"/>
            <w:tcBorders/>
            <w:vAlign w:val="bottom"/>
          </w:tcPr>
          <w:p>
            <w:pPr>
              <w:pStyle w:val="TableContents"/>
              <w:bidi w:val="0"/>
              <w:spacing w:before="0" w:after="283"/>
              <w:jc w:val="left"/>
              <w:rPr/>
            </w:pPr>
            <w:r>
              <w:rPr/>
              <w:t> </w:t>
            </w:r>
          </w:p>
        </w:tc>
        <w:tc>
          <w:tcPr>
            <w:tcW w:w="420"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28" w:type="dxa"/>
            <w:tcBorders/>
            <w:vAlign w:val="bottom"/>
          </w:tcPr>
          <w:p>
            <w:pPr>
              <w:pStyle w:val="TableContents"/>
              <w:bidi w:val="0"/>
              <w:spacing w:before="0" w:after="283"/>
              <w:jc w:val="left"/>
              <w:rPr/>
            </w:pPr>
            <w:r>
              <w:rPr/>
              <w:t>  </w:t>
            </w:r>
          </w:p>
        </w:tc>
        <w:tc>
          <w:tcPr>
            <w:tcW w:w="9151" w:type="dxa"/>
            <w:tcBorders/>
            <w:vAlign w:val="bottom"/>
          </w:tcPr>
          <w:p>
            <w:pPr>
              <w:pStyle w:val="TableContents"/>
              <w:bidi w:val="0"/>
              <w:spacing w:before="0" w:after="283"/>
              <w:jc w:val="left"/>
              <w:rPr/>
            </w:pPr>
            <w:r>
              <w:rPr/>
              <w:t>the number of shares of Common Stock outstanding immediately prior to the date such tender or exchange offer expires (prior to giving effect to the purchase of all shares of Common Stock accepted for purchase or exchange in such tender or exchange offer);</w:t>
            </w:r>
          </w:p>
        </w:tc>
      </w:tr>
      <w:tr>
        <w:trPr>
          <w:trHeight w:val="120" w:hRule="atLeast"/>
        </w:trPr>
        <w:tc>
          <w:tcPr>
            <w:tcW w:w="394" w:type="dxa"/>
            <w:tcBorders/>
            <w:vAlign w:val="center"/>
          </w:tcPr>
          <w:p>
            <w:pPr>
              <w:pStyle w:val="TableContents"/>
              <w:bidi w:val="0"/>
              <w:spacing w:before="0" w:after="283"/>
              <w:jc w:val="left"/>
              <w:rPr>
                <w:sz w:val="4"/>
                <w:szCs w:val="4"/>
              </w:rPr>
            </w:pPr>
            <w:r>
              <w:rPr>
                <w:sz w:val="4"/>
                <w:szCs w:val="4"/>
              </w:rPr>
            </w:r>
          </w:p>
        </w:tc>
        <w:tc>
          <w:tcPr>
            <w:tcW w:w="532" w:type="dxa"/>
            <w:gridSpan w:val="2"/>
            <w:tcBorders/>
            <w:vAlign w:val="center"/>
          </w:tcPr>
          <w:p>
            <w:pPr>
              <w:pStyle w:val="TableContents"/>
              <w:bidi w:val="0"/>
              <w:spacing w:before="0" w:after="283"/>
              <w:jc w:val="left"/>
              <w:rPr>
                <w:sz w:val="4"/>
                <w:szCs w:val="4"/>
              </w:rPr>
            </w:pPr>
            <w:r>
              <w:rPr>
                <w:sz w:val="4"/>
                <w:szCs w:val="4"/>
              </w:rPr>
            </w:r>
          </w:p>
        </w:tc>
        <w:tc>
          <w:tcPr>
            <w:tcW w:w="9279"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0"/>
              <w:jc w:val="left"/>
              <w:rPr>
                <w:rFonts w:ascii="Times New Roman" w:hAnsi="Times New Roman"/>
                <w:sz w:val="20"/>
              </w:rPr>
            </w:pPr>
            <w:r>
              <w:rPr>
                <w:rFonts w:ascii="Times New Roman" w:hAnsi="Times New Roman"/>
                <w:sz w:val="20"/>
              </w:rPr>
              <w:t>OS’</w:t>
            </w:r>
          </w:p>
        </w:tc>
        <w:tc>
          <w:tcPr>
            <w:tcW w:w="112" w:type="dxa"/>
            <w:tcBorders/>
            <w:vAlign w:val="bottom"/>
          </w:tcPr>
          <w:p>
            <w:pPr>
              <w:pStyle w:val="TableContents"/>
              <w:bidi w:val="0"/>
              <w:spacing w:before="0" w:after="283"/>
              <w:jc w:val="left"/>
              <w:rPr/>
            </w:pPr>
            <w:r>
              <w:rPr/>
              <w:t> </w:t>
            </w:r>
          </w:p>
        </w:tc>
        <w:tc>
          <w:tcPr>
            <w:tcW w:w="420"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28" w:type="dxa"/>
            <w:tcBorders/>
            <w:vAlign w:val="bottom"/>
          </w:tcPr>
          <w:p>
            <w:pPr>
              <w:pStyle w:val="TableContents"/>
              <w:bidi w:val="0"/>
              <w:spacing w:before="0" w:after="283"/>
              <w:jc w:val="left"/>
              <w:rPr/>
            </w:pPr>
            <w:r>
              <w:rPr/>
              <w:t>  </w:t>
            </w:r>
          </w:p>
        </w:tc>
        <w:tc>
          <w:tcPr>
            <w:tcW w:w="9151" w:type="dxa"/>
            <w:tcBorders/>
            <w:vAlign w:val="bottom"/>
          </w:tcPr>
          <w:p>
            <w:pPr>
              <w:pStyle w:val="TableContents"/>
              <w:bidi w:val="0"/>
              <w:spacing w:before="0" w:after="283"/>
              <w:jc w:val="left"/>
              <w:rPr/>
            </w:pPr>
            <w:r>
              <w:rPr/>
              <w:t>the number of shares of Common Stock outstanding immediately after the date such tender or exchange offer expires (after giving effect to the purchase of all shares of Common Stock accepted for purchase or exchange in such tender or exchange offer); and</w:t>
            </w:r>
          </w:p>
        </w:tc>
      </w:tr>
      <w:tr>
        <w:trPr>
          <w:trHeight w:val="120" w:hRule="atLeast"/>
        </w:trPr>
        <w:tc>
          <w:tcPr>
            <w:tcW w:w="394" w:type="dxa"/>
            <w:tcBorders/>
            <w:vAlign w:val="center"/>
          </w:tcPr>
          <w:p>
            <w:pPr>
              <w:pStyle w:val="TableContents"/>
              <w:bidi w:val="0"/>
              <w:spacing w:before="0" w:after="283"/>
              <w:jc w:val="left"/>
              <w:rPr>
                <w:sz w:val="4"/>
                <w:szCs w:val="4"/>
              </w:rPr>
            </w:pPr>
            <w:r>
              <w:rPr>
                <w:sz w:val="4"/>
                <w:szCs w:val="4"/>
              </w:rPr>
            </w:r>
          </w:p>
        </w:tc>
        <w:tc>
          <w:tcPr>
            <w:tcW w:w="532" w:type="dxa"/>
            <w:gridSpan w:val="2"/>
            <w:tcBorders/>
            <w:vAlign w:val="center"/>
          </w:tcPr>
          <w:p>
            <w:pPr>
              <w:pStyle w:val="TableContents"/>
              <w:bidi w:val="0"/>
              <w:spacing w:before="0" w:after="283"/>
              <w:jc w:val="left"/>
              <w:rPr>
                <w:sz w:val="4"/>
                <w:szCs w:val="4"/>
              </w:rPr>
            </w:pPr>
            <w:r>
              <w:rPr>
                <w:sz w:val="4"/>
                <w:szCs w:val="4"/>
              </w:rPr>
            </w:r>
          </w:p>
        </w:tc>
        <w:tc>
          <w:tcPr>
            <w:tcW w:w="9279"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0"/>
              <w:jc w:val="left"/>
              <w:rPr>
                <w:rFonts w:ascii="Times New Roman" w:hAnsi="Times New Roman"/>
                <w:sz w:val="20"/>
              </w:rPr>
            </w:pPr>
            <w:r>
              <w:rPr>
                <w:rFonts w:ascii="Times New Roman" w:hAnsi="Times New Roman"/>
                <w:sz w:val="20"/>
              </w:rPr>
              <w:t>SP’</w:t>
            </w:r>
          </w:p>
        </w:tc>
        <w:tc>
          <w:tcPr>
            <w:tcW w:w="112" w:type="dxa"/>
            <w:tcBorders/>
            <w:vAlign w:val="bottom"/>
          </w:tcPr>
          <w:p>
            <w:pPr>
              <w:pStyle w:val="TableContents"/>
              <w:bidi w:val="0"/>
              <w:spacing w:before="0" w:after="283"/>
              <w:jc w:val="left"/>
              <w:rPr/>
            </w:pPr>
            <w:r>
              <w:rPr/>
              <w:t> </w:t>
            </w:r>
          </w:p>
        </w:tc>
        <w:tc>
          <w:tcPr>
            <w:tcW w:w="420"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28" w:type="dxa"/>
            <w:tcBorders/>
            <w:vAlign w:val="bottom"/>
          </w:tcPr>
          <w:p>
            <w:pPr>
              <w:pStyle w:val="TableContents"/>
              <w:bidi w:val="0"/>
              <w:spacing w:before="0" w:after="283"/>
              <w:jc w:val="left"/>
              <w:rPr/>
            </w:pPr>
            <w:r>
              <w:rPr/>
              <w:t>  </w:t>
            </w:r>
          </w:p>
        </w:tc>
        <w:tc>
          <w:tcPr>
            <w:tcW w:w="9151" w:type="dxa"/>
            <w:tcBorders/>
            <w:vAlign w:val="bottom"/>
          </w:tcPr>
          <w:p>
            <w:pPr>
              <w:pStyle w:val="TableContents"/>
              <w:bidi w:val="0"/>
              <w:spacing w:before="0" w:after="283"/>
              <w:jc w:val="left"/>
              <w:rPr/>
            </w:pPr>
            <w:r>
              <w:rPr/>
              <w:t>the average of the Last Reported Sale Prices of the Common Stock over the 10 consecutive Trading Day period commencing on, and including, the Trading Day next succeeding the date such tender or exchange offer expires.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increase to the Conversion Rate under this Section 14.05(e) shall occur at the close of business on the 10th Trading Day immediately following, and including, the Trading Day next succeeding the date such tender or exchange offer expires;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(x) in respect of any conversion of Notes for which Physical Settlement is applicable,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and (y) in respect of any conversion of Notes for which Cash Settlement or Combination Settlement is applicable, for any VWAP Trading Day that falls within the relevant Observation Period for such conversion and within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expiration date of such tender or exchange offer to, and including, such VWAP Trading Day in determining the Conversion Rate as of such VWAP Trading Day.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this Section 14.05 or any other provision of this Indenture or the Notes, if (i) a Conversion Rate adjustment for any dividend or distribution becomes effective on any Ex-Dividend Date as described in this Section 14.05; (ii) a Note is to be converted for which Physical Settlement or Combination Settlement applies; (iii) the Conversion Date for such conversion (in the case of Physical Settlement) or any VWAP Trading Day in the Observation Period for such conversion (in the case of Combination Settlement) occurs on or after such Ex-Dividend Date and on or before the related Record Date; (iv) the consideration due upon such conversion (in the case of Physical Settlement) or due with respect to such VWAP Trading Day (in the case of Combination Settlement) includes any whole shares of Common Stock based on a Conversion Rate that is adjusted for such dividend or distribution; and (v) the Holder would be entitled to participate in such dividend or distribution on account of such shares, then, notwithstanding anything to the contrary, (x) in the case of Physical Settlement, the Conversion Rate adjustment relating to such Ex-Dividend Date shall not be made for such conversion, and, instead, the shares of Common Stock issuable upon such conversion based on such unadjusted Conversion Rate shall be entitled to participate in such dividend or distribution; and (y) in the case of Combination Settlement, the Conversion Rate adjustment relating to such Ex-Dividend Date shall be made for such conversion in respect of such VWAP Trading Day, but the shares of Common Stock issuable with respect to such VWAP Trading Day based on such adjusted Conversion Rate shall not be entitled to participate in such dividend or distribution. </w:t>
      </w:r>
    </w:p>
    <w:p>
      <w:pPr>
        <w:pStyle w:val="TextBody"/>
        <w:bidi w:val="0"/>
        <w:spacing w:before="240" w:after="0"/>
        <w:jc w:val="left"/>
        <w:rPr>
          <w:rFonts w:ascii="Times New Roman" w:hAnsi="Times New Roman"/>
          <w:sz w:val="20"/>
        </w:rPr>
      </w:pPr>
      <w:r>
        <w:rPr>
          <w:rFonts w:ascii="Times New Roman" w:hAnsi="Times New Roman"/>
          <w:sz w:val="20"/>
        </w:rPr>
        <w:t xml:space="preserve">(g) 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In addition to those adjustments required by clauses (a), (b), (c), (d) and (e) of this Section 14.05, and to the extent permitted by applicable law and subject to the applicable rules of any exchange on which any of the Company’s securities are then listed, the Company from time to time may increase the Conversion Rate by any amount for a period of at least twenty (20) Business Days if the Board of Directors determines that such increase would be in the Company’s best interest. In addition, to the extent permitted by applicable law and subject to the applicable rules of any exchange on which any of the Company’s securities are then listed, the Company may (but is not required to) increase the Conversion Rate to avoid or diminish any income tax to holders of Common Stock or rights to purchase Common Stock in connection with a dividend or distribution of shares of Common Stock (or rights to acquire shares of Common Stock) or similar event. Whenever the Conversion Rate is increased pursuant to either of the preceding two sentences, the Company shall deliver to each Holder a notice of the increase at least fifteen (15) days prior to the date the increased Conversion Rate takes effect, and such notice shall state the increased Conversion Rate and the period during which it will be in effect. </w:t>
      </w:r>
    </w:p>
    <w:p>
      <w:pPr>
        <w:pStyle w:val="TextBody"/>
        <w:bidi w:val="0"/>
        <w:spacing w:before="240" w:after="0"/>
        <w:jc w:val="left"/>
        <w:rPr>
          <w:rFonts w:ascii="Times New Roman" w:hAnsi="Times New Roman"/>
          <w:sz w:val="20"/>
        </w:rPr>
      </w:pPr>
      <w:r>
        <w:rPr>
          <w:rFonts w:ascii="Times New Roman" w:hAnsi="Times New Roman"/>
          <w:sz w:val="20"/>
        </w:rPr>
        <w:t xml:space="preserve">(i) Notwithstanding anything to the contrary in this Article 14, the Conversion Rate shall not be adjusted: </w:t>
      </w:r>
    </w:p>
    <w:p>
      <w:pPr>
        <w:pStyle w:val="TextBody"/>
        <w:bidi w:val="0"/>
        <w:spacing w:before="120" w:after="0"/>
        <w:jc w:val="left"/>
        <w:rPr>
          <w:rFonts w:ascii="Times New Roman" w:hAnsi="Times New Roman"/>
          <w:sz w:val="20"/>
        </w:rPr>
      </w:pPr>
      <w:r>
        <w:rPr>
          <w:rFonts w:ascii="Times New Roman" w:hAnsi="Times New Roman"/>
          <w:sz w:val="20"/>
        </w:rPr>
        <w:t xml:space="preserve">(i) upon the issuance of any shares of Common Stock at a price below the Conversion Price or otherwise (other than in connection with a stock dividend or stock split or pursuant to the provisions described in Section 14.05(b) or Section 14.05(c)); </w:t>
      </w:r>
    </w:p>
    <w:p>
      <w:pPr>
        <w:pStyle w:val="TextBody"/>
        <w:bidi w:val="0"/>
        <w:spacing w:before="120" w:after="0"/>
        <w:jc w:val="left"/>
        <w:rPr>
          <w:rFonts w:ascii="Times New Roman" w:hAnsi="Times New Roman"/>
          <w:sz w:val="20"/>
        </w:rPr>
      </w:pPr>
      <w:r>
        <w:rPr>
          <w:rFonts w:ascii="Times New Roman" w:hAnsi="Times New Roman"/>
          <w:sz w:val="20"/>
        </w:rPr>
        <w:t xml:space="preserve">(ii) upon the issuance of any shares of Common Stock pursuant to any present or future plan providing for the reinvestment of dividends or interest payable on the Company’s securities and the investment of additional optional amounts in shares of Common Stock under any plan; </w:t>
      </w:r>
    </w:p>
    <w:p>
      <w:pPr>
        <w:pStyle w:val="TextBody"/>
        <w:bidi w:val="0"/>
        <w:spacing w:before="120" w:after="0"/>
        <w:jc w:val="left"/>
        <w:rPr>
          <w:rFonts w:ascii="Times New Roman" w:hAnsi="Times New Roman"/>
          <w:sz w:val="20"/>
        </w:rPr>
      </w:pPr>
      <w:r>
        <w:rPr>
          <w:rFonts w:ascii="Times New Roman" w:hAnsi="Times New Roman"/>
          <w:sz w:val="20"/>
        </w:rPr>
        <w:t xml:space="preserve">(iii) upon the issuance of any shares of Common Stock or options or rights to purchase those shares pursuant to any present or future employee, director or consultant benefit plan or program of or assumed by the Company or any of the Company’s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(iv) upon the issuance of any shares of the Common Stock pursuant to any option, warrant, right or exercisable, exchangeable or convertible security not described in clause (iii) of this subsection and outstanding as of the date of this Indenture (other than any rights plan existing as of the date of this Indenture as provided in Section 14.12); </w:t>
      </w:r>
    </w:p>
    <w:p>
      <w:pPr>
        <w:pStyle w:val="TextBody"/>
        <w:bidi w:val="0"/>
        <w:spacing w:before="120" w:after="0"/>
        <w:jc w:val="left"/>
        <w:rPr>
          <w:rFonts w:ascii="Times New Roman" w:hAnsi="Times New Roman"/>
          <w:sz w:val="20"/>
        </w:rPr>
      </w:pPr>
      <w:r>
        <w:rPr>
          <w:rFonts w:ascii="Times New Roman" w:hAnsi="Times New Roman"/>
          <w:sz w:val="20"/>
        </w:rPr>
        <w:t xml:space="preserve">(v) upon the repurchase of any shares of Common Stock pursuant to an open-market share repurchase program or other buy-back transaction that is not a tender offer or exchange offer of the nature described in Section 14.05(e); </w:t>
      </w:r>
    </w:p>
    <w:p>
      <w:pPr>
        <w:pStyle w:val="TextBody"/>
        <w:bidi w:val="0"/>
        <w:spacing w:before="120" w:after="0"/>
        <w:jc w:val="left"/>
        <w:rPr>
          <w:rFonts w:ascii="Times New Roman" w:hAnsi="Times New Roman"/>
          <w:sz w:val="20"/>
        </w:rPr>
      </w:pPr>
      <w:r>
        <w:rPr>
          <w:rFonts w:ascii="Times New Roman" w:hAnsi="Times New Roman"/>
          <w:sz w:val="20"/>
        </w:rPr>
        <w:t xml:space="preserve">(vi) solely for a change in the par value of the Common Stock; or </w:t>
      </w:r>
    </w:p>
    <w:p>
      <w:pPr>
        <w:pStyle w:val="TextBody"/>
        <w:bidi w:val="0"/>
        <w:spacing w:before="120" w:after="0"/>
        <w:jc w:val="left"/>
        <w:rPr>
          <w:rFonts w:ascii="Times New Roman" w:hAnsi="Times New Roman"/>
          <w:sz w:val="20"/>
        </w:rPr>
      </w:pPr>
      <w:r>
        <w:rPr>
          <w:rFonts w:ascii="Times New Roman" w:hAnsi="Times New Roman"/>
          <w:sz w:val="20"/>
        </w:rPr>
        <w:t xml:space="preserve">(vii) for accrued and unpaid interest, if any, other than as provided for in Section 14.03. </w:t>
      </w:r>
    </w:p>
    <w:p>
      <w:pPr>
        <w:pStyle w:val="TextBody"/>
        <w:bidi w:val="0"/>
        <w:spacing w:before="240" w:after="0"/>
        <w:jc w:val="left"/>
        <w:rPr>
          <w:rFonts w:ascii="Times New Roman" w:hAnsi="Times New Roman"/>
          <w:sz w:val="20"/>
        </w:rPr>
      </w:pPr>
      <w:r>
        <w:rPr>
          <w:rFonts w:ascii="Times New Roman" w:hAnsi="Times New Roman"/>
          <w:sz w:val="20"/>
        </w:rPr>
        <w:t xml:space="preserve">(j) All calculations and other determinations under this Article 14 shall be made by the Company and shall be made to the nearest one-ten thousandth (1/10,000th) of a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Whenever the Conversion Rate is adjusted as herein provided, the Company shall, as soon as reasonably practicable, file with the Trustee (and the Conversion Agent if not the Trustee) an Officer’s Certificate setting forth (i) the adjusted Conversion Rate, (ii) the subsection of this Section 14.05 pursuant to which such adjustment has been made, showing in reasonable detail and setting forth a brief statement of the facts requiring such adjustment and (iii) the date as of which such adjustment is effective (which certificates shall be conclusive evidence of the accuracy of such adjustment absent manifest error).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 </w:t>
      </w:r>
    </w:p>
    <w:p>
      <w:pPr>
        <w:pStyle w:val="TextBody"/>
        <w:bidi w:val="0"/>
        <w:spacing w:before="240" w:after="0"/>
        <w:jc w:val="left"/>
        <w:rPr>
          <w:rFonts w:ascii="Times New Roman" w:hAnsi="Times New Roman"/>
          <w:sz w:val="20"/>
        </w:rPr>
      </w:pPr>
      <w:r>
        <w:rPr>
          <w:rFonts w:ascii="Times New Roman" w:hAnsi="Times New Roman"/>
          <w:sz w:val="20"/>
        </w:rPr>
        <w:t>(l) If an adjustment to the Conversion Rate otherwise required pursuant to this Section 14.05 would result in a change of less than 1% to the Conversion Rate, then notwithstanding the foregoing, the Company may, at its election, defer and carry forward such adjustment, except that all such deferred adjustments must be given effect immediately upon the earliest of the following: (i) when all such deferred adjustments would, had they not been so deferred and carried forward, result in an aggregate change of at least 1% to the Conversion Rate; (ii) the Conversion Date of, or any VWAP Trading Day of an Observation Period for, any Note; (iii) the date a Fundamental Change or Make-Whole Fundamental Change occurs; (iv) if the Company calls any Notes for redemption; or (v) the date that is three months prior to the Maturity Date. The provision described in the immediately preceding sentence of this Section 14.05(l) are referred to herein as the “</w:t>
      </w:r>
      <w:r>
        <w:rPr>
          <w:rFonts w:ascii="Times New Roman" w:hAnsi="Times New Roman"/>
          <w:b/>
          <w:sz w:val="20"/>
        </w:rPr>
        <w:t>1% Provision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For purposes of this Section 14.05,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Section 14.06 </w:t>
      </w:r>
      <w:r>
        <w:rPr>
          <w:rFonts w:ascii="Times New Roman" w:hAnsi="Times New Roman"/>
          <w:i/>
          <w:sz w:val="20"/>
        </w:rPr>
        <w:t xml:space="preserve">Adjustments of Prices. </w:t>
      </w:r>
      <w:r>
        <w:rPr>
          <w:rFonts w:ascii="Times New Roman" w:hAnsi="Times New Roman"/>
          <w:sz w:val="20"/>
        </w:rPr>
        <w:t xml:space="preserve">Whenever any provision of this Indenture requires the Company to calculate the Last Reported Sale Prices, the Daily VWAPs, the Daily Conversion Values or the Daily Settlement Amounts over a span of multiple days (including, without limitation, an Observation Period and the period, if any, for determining the Stock Price for purposes of a Make-Whole Fundamental Change), the Company shall make appropriate adjustments (without duplication in respect of any adjustment made pursuant to the provisions described under Section 14.04) to each to account for any adjustment to the Conversion Rate that becomes effective, or any event requiring an adjustment to the Conversion Rate where the Ex-Dividend Date, Effective Date or expiration date of the event occurs, at any time during the period when the Last Reported Sale Prices, the Daily VWAPs, the Daily Conversion Values or the Daily Settlement Amounts are to be calculated. </w:t>
      </w:r>
    </w:p>
    <w:p>
      <w:pPr>
        <w:pStyle w:val="TextBody"/>
        <w:bidi w:val="0"/>
        <w:spacing w:before="240" w:after="0"/>
        <w:jc w:val="left"/>
        <w:rPr>
          <w:rFonts w:ascii="Times New Roman" w:hAnsi="Times New Roman"/>
          <w:sz w:val="20"/>
        </w:rPr>
      </w:pPr>
      <w:r>
        <w:rPr>
          <w:rFonts w:ascii="Times New Roman" w:hAnsi="Times New Roman"/>
          <w:sz w:val="20"/>
        </w:rPr>
        <w:t xml:space="preserve">Section 14.07 </w:t>
      </w:r>
      <w:r>
        <w:rPr>
          <w:rFonts w:ascii="Times New Roman" w:hAnsi="Times New Roman"/>
          <w:i/>
          <w:sz w:val="20"/>
        </w:rPr>
        <w:t xml:space="preserve">Shares to Be Fully Paid. </w:t>
      </w:r>
      <w:r>
        <w:rPr>
          <w:rFonts w:ascii="Times New Roman" w:hAnsi="Times New Roman"/>
          <w:sz w:val="20"/>
        </w:rPr>
        <w:t xml:space="preserve">Following the Requisite Shareholder Approval Date, the Company shall reserve, free from preemptive rights, out of its authorized but unissued shares or shares held in treasury, sufficient shares of Common Stock to provide for conversion of the Notes from time to time as such Notes are presented for conversion (assuming delivery of the maximum number of additional shares pursuant to Section 14.04 and that at the time of computation of such number of shares, all such Notes would be converted by a single Holder and that Physical Settlement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14.08 </w:t>
      </w:r>
      <w:r>
        <w:rPr>
          <w:rFonts w:ascii="Times New Roman" w:hAnsi="Times New Roman"/>
          <w:i/>
          <w:sz w:val="20"/>
        </w:rPr>
        <w:t>Effect of Recapitalizations, Reclassifications and Changes of the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case of: </w:t>
      </w:r>
    </w:p>
    <w:p>
      <w:pPr>
        <w:pStyle w:val="TextBody"/>
        <w:bidi w:val="0"/>
        <w:spacing w:before="120" w:after="0"/>
        <w:jc w:val="left"/>
        <w:rPr>
          <w:rFonts w:ascii="Times New Roman" w:hAnsi="Times New Roman"/>
          <w:sz w:val="20"/>
        </w:rPr>
      </w:pPr>
      <w:r>
        <w:rPr>
          <w:rFonts w:ascii="Times New Roman" w:hAnsi="Times New Roman"/>
          <w:sz w:val="20"/>
        </w:rPr>
        <w:t xml:space="preserve">(i) any recapitalization, reclassification or change of the Common Stock (other than changes in par value or changes resulting from a subdivision or combination), </w:t>
      </w:r>
    </w:p>
    <w:p>
      <w:pPr>
        <w:pStyle w:val="TextBody"/>
        <w:bidi w:val="0"/>
        <w:spacing w:before="120" w:after="0"/>
        <w:jc w:val="left"/>
        <w:rPr>
          <w:rFonts w:ascii="Times New Roman" w:hAnsi="Times New Roman"/>
          <w:sz w:val="20"/>
        </w:rPr>
      </w:pPr>
      <w:r>
        <w:rPr>
          <w:rFonts w:ascii="Times New Roman" w:hAnsi="Times New Roman"/>
          <w:sz w:val="20"/>
        </w:rPr>
        <w:t xml:space="preserve">(ii) any consolidation, merger, combination or similar transaction involving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any sale, lease or other transfer to a third party of the consolidated assets of the Company and the Company’s Subsidiaries substantially as an entirety or </w:t>
      </w:r>
    </w:p>
    <w:p>
      <w:pPr>
        <w:pStyle w:val="TextBody"/>
        <w:bidi w:val="0"/>
        <w:spacing w:before="120" w:after="0"/>
        <w:jc w:val="left"/>
        <w:rPr>
          <w:rFonts w:ascii="Times New Roman" w:hAnsi="Times New Roman"/>
          <w:sz w:val="20"/>
        </w:rPr>
      </w:pPr>
      <w:r>
        <w:rPr>
          <w:rFonts w:ascii="Times New Roman" w:hAnsi="Times New Roman"/>
          <w:sz w:val="20"/>
        </w:rPr>
        <w:t xml:space="preserve">(iv) any statutory share exchange, </w:t>
      </w:r>
    </w:p>
    <w:p>
      <w:pPr>
        <w:pStyle w:val="TextBody"/>
        <w:bidi w:val="0"/>
        <w:spacing w:before="240" w:after="0"/>
        <w:jc w:val="left"/>
        <w:rPr>
          <w:rFonts w:ascii="Times New Roman" w:hAnsi="Times New Roman"/>
          <w:sz w:val="20"/>
        </w:rPr>
      </w:pPr>
      <w:r>
        <w:rPr>
          <w:rFonts w:ascii="Times New Roman" w:hAnsi="Times New Roman"/>
          <w:sz w:val="20"/>
        </w:rPr>
        <w:t>in each case, as a result of which the Common Stock would be converted into, or exchanged for, stock, other securities, other property or assets (including cash or any combination thereof) (any such event, a “</w:t>
      </w:r>
      <w:r>
        <w:rPr>
          <w:rFonts w:ascii="Times New Roman" w:hAnsi="Times New Roman"/>
          <w:b/>
          <w:sz w:val="20"/>
        </w:rPr>
        <w:t>Common Stock Change Event</w:t>
      </w:r>
      <w:r>
        <w:rPr>
          <w:rFonts w:ascii="Times New Roman" w:hAnsi="Times New Roman"/>
          <w:sz w:val="20"/>
        </w:rPr>
        <w:t>,” and such stock, other securities, other property, assets or cash, the “</w:t>
      </w:r>
      <w:r>
        <w:rPr>
          <w:rFonts w:ascii="Times New Roman" w:hAnsi="Times New Roman"/>
          <w:b/>
          <w:sz w:val="20"/>
        </w:rPr>
        <w:t>Reference Property</w:t>
      </w:r>
      <w:r>
        <w:rPr>
          <w:rFonts w:ascii="Times New Roman" w:hAnsi="Times New Roman"/>
          <w:sz w:val="20"/>
        </w:rPr>
        <w:t>” and the amount and kind of Reference Property that a Holder of one (1) Share of the Common Stock would be entitled to receive on account of such Common Stock Change Event (without giving effect to any arrangement not to issue or deliver a fractional portion of any security or other property) a “</w:t>
      </w:r>
      <w:r>
        <w:rPr>
          <w:rFonts w:ascii="Times New Roman" w:hAnsi="Times New Roman"/>
          <w:b/>
          <w:sz w:val="20"/>
        </w:rPr>
        <w:t>Reference Property Unit</w:t>
      </w:r>
      <w:r>
        <w:rPr>
          <w:rFonts w:ascii="Times New Roman" w:hAnsi="Times New Roman"/>
          <w:sz w:val="20"/>
        </w:rPr>
        <w:t xml:space="preserve">”), then, at and after the effective time of the Common Stock Change Event, the Company or the any successor company, as the case may be, will execute with the Trustee a supplemental indenture, without the consent of Holders, providing that (x) the consideration due upon conversion of any Note, and the conditions to any such conversion, shall be determined in the same manner as if each reference to any number of shares of Common Stock in the provisions set forth in this Article 14 (or in any related definitions) were instead a reference to the same number of Reference Property Units; (y) for purposes of the provisions set forth in Article 15, each reference to any number of shares of Common Stock (or in any related definitions) shall instead be deemed to be a reference to the same number of Reference Property Units; and (z) for purposes of the definition of “Fundamental Change” and “Make-Whole Fundamental Change,” the terms “Common Stock” and “common equity” shall be deemed to mean the common equity (including depositary receipts representing common equity), if any, forming part of such Reference Property. </w:t>
      </w:r>
    </w:p>
    <w:p>
      <w:pPr>
        <w:pStyle w:val="TextBody"/>
        <w:bidi w:val="0"/>
        <w:spacing w:before="240" w:after="0"/>
        <w:jc w:val="left"/>
        <w:rPr>
          <w:rFonts w:ascii="Times New Roman" w:hAnsi="Times New Roman"/>
          <w:sz w:val="20"/>
        </w:rPr>
      </w:pPr>
      <w:r>
        <w:rPr>
          <w:rFonts w:ascii="Times New Roman" w:hAnsi="Times New Roman"/>
          <w:sz w:val="20"/>
        </w:rPr>
        <w:t xml:space="preserve">For these purposes, the Daily VWAP or Last Reported Sale Price of any Reference Property Unit or portion thereof that does not consist of a class of securities shall be the fair value of such Reference Property Unit or portion thereof, as applicable, determined in good faith by the Company (or, in the case of cash denominated in U.S. dollars, the face amount thereof). If the Common Stock Change Event causes the Common Stock to be converted into, or exchanged for, the right to receive more than a single type of consideration (determined based in part upon any form of stockholder election), the composition of the Reference Property Unit shall be deemed to be the weighted average of the types and amounts of consideration actually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received by the holders of Common Stock. If the holders of the Common Stock receive only cash in such Common Stock Change Event, then for all conversions with a Conversion Date that occurs on or after the effective date of such Common Stock Change Event (A) the consideration due upon conversion of each $1,000 principal amount of Notes shall be solely cash in an amount equal to the Conversion Rate in effect on the Conversion Date (as may be increased pursuant to Section 14.04), </w:t>
      </w:r>
      <w:r>
        <w:rPr>
          <w:rFonts w:ascii="Times New Roman" w:hAnsi="Times New Roman"/>
          <w:i/>
          <w:sz w:val="20"/>
        </w:rPr>
        <w:t>multiplied by</w:t>
      </w:r>
      <w:r>
        <w:rPr>
          <w:rFonts w:ascii="Times New Roman" w:hAnsi="Times New Roman"/>
          <w:sz w:val="20"/>
        </w:rPr>
        <w:t xml:space="preserve"> the price paid per share of Common Stock in such Common Stock Change Event and (B) the Company shall satisfy the Conversion Obligation by paying cash to converting Holders on the second (2nd) Business Day immediately following the relevant Conversion Date. The Company shall notify Holders, the Trustee and the Conversion Agent (if other than the Trustee) in writing of such weighted average as soon as reasonably practicable after such determination is made. </w:t>
      </w:r>
    </w:p>
    <w:p>
      <w:pPr>
        <w:pStyle w:val="TextBody"/>
        <w:bidi w:val="0"/>
        <w:spacing w:before="240" w:after="0"/>
        <w:jc w:val="left"/>
        <w:rPr>
          <w:rFonts w:ascii="Times New Roman" w:hAnsi="Times New Roman"/>
          <w:sz w:val="20"/>
        </w:rPr>
      </w:pPr>
      <w:r>
        <w:rPr>
          <w:rFonts w:ascii="Times New Roman" w:hAnsi="Times New Roman"/>
          <w:sz w:val="20"/>
        </w:rPr>
        <w:t xml:space="preserve">The supplemental indenture described in the second immediately preceding paragraph shall, if applicable, provide for anti-dilution and other adjustments that are as nearly equivalent as possible to the adjustments provided for in this Article 14. If the Reference Property in respect of any Common Stock Change Event includes shares of stock, securities or other property or assets of a Person other than the Company or any successor company, as the case may be, in such Common Stock Change Event, such supplemental indenture shall also be executed by such other Person. In addition, each such supplemental indenture shall contain such additional provisions to protect the interests of the Holders as the Company reasonably considers necessary by reason of the foregoing, including the provisions providing for the purchase rights set forth in Article 15. </w:t>
      </w:r>
    </w:p>
    <w:p>
      <w:pPr>
        <w:pStyle w:val="TextBody"/>
        <w:bidi w:val="0"/>
        <w:spacing w:before="240" w:after="0"/>
        <w:jc w:val="left"/>
        <w:rPr>
          <w:rFonts w:ascii="Times New Roman" w:hAnsi="Times New Roman"/>
          <w:sz w:val="20"/>
        </w:rPr>
      </w:pPr>
      <w:r>
        <w:rPr>
          <w:rFonts w:ascii="Times New Roman" w:hAnsi="Times New Roman"/>
          <w:sz w:val="20"/>
        </w:rPr>
        <w:t xml:space="preserve">(b) When the Company executes a supplemental indenture pursuant to subsection (a) of this Section 14.08, the Company shall, within twenty (20) days after execution thereof, deliver notice to all Holders briefly describing the same and the related change to the conversion right. Failure to deliver such notice shall not affect the legality or validity of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not become a party to any Common Stock Change Event unless its terms are consistent with this Section 14.08. None of the foregoing provisions shall affect the right of a holder of Notes to convert its Notes as set forth in Section 14.01 and Section 14.02 prior to the effective date of such Common Stock Change Event. </w:t>
      </w:r>
    </w:p>
    <w:p>
      <w:pPr>
        <w:pStyle w:val="TextBody"/>
        <w:bidi w:val="0"/>
        <w:spacing w:before="240" w:after="0"/>
        <w:jc w:val="left"/>
        <w:rPr>
          <w:rFonts w:ascii="Times New Roman" w:hAnsi="Times New Roman"/>
          <w:sz w:val="20"/>
        </w:rPr>
      </w:pPr>
      <w:r>
        <w:rPr>
          <w:rFonts w:ascii="Times New Roman" w:hAnsi="Times New Roman"/>
          <w:sz w:val="20"/>
        </w:rPr>
        <w:t xml:space="preserve">(d) The above provisions of this Section shall similarly apply to successive Common Stock Change Events. </w:t>
      </w:r>
    </w:p>
    <w:p>
      <w:pPr>
        <w:pStyle w:val="TextBody"/>
        <w:bidi w:val="0"/>
        <w:spacing w:before="240" w:after="0"/>
        <w:jc w:val="left"/>
        <w:rPr>
          <w:rFonts w:ascii="Times New Roman" w:hAnsi="Times New Roman"/>
          <w:sz w:val="20"/>
        </w:rPr>
      </w:pPr>
      <w:r>
        <w:rPr>
          <w:rFonts w:ascii="Times New Roman" w:hAnsi="Times New Roman"/>
          <w:sz w:val="20"/>
        </w:rPr>
        <w:t xml:space="preserve">Section 14.09 </w:t>
      </w:r>
      <w:r>
        <w:rPr>
          <w:rFonts w:ascii="Times New Roman" w:hAnsi="Times New Roman"/>
          <w:i/>
          <w:sz w:val="20"/>
        </w:rPr>
        <w:t xml:space="preserve">Certain Covenants. </w:t>
      </w:r>
      <w:r>
        <w:rPr>
          <w:rFonts w:ascii="Times New Roman" w:hAnsi="Times New Roman"/>
          <w:sz w:val="20"/>
        </w:rPr>
        <w:t xml:space="preserve">(a) The Company covenants that all shares of Common Stock issued upon conversion of Notes will be fully paid and non-assessable by the Company and free from all taxes (subject to any taxes to be paid by a Holder pursuant to Section 14.02(e)), liens and charges with respect to the issue thereof. </w:t>
      </w:r>
    </w:p>
    <w:p>
      <w:pPr>
        <w:pStyle w:val="TextBody"/>
        <w:bidi w:val="0"/>
        <w:spacing w:before="240" w:after="0"/>
        <w:jc w:val="left"/>
        <w:rPr>
          <w:rFonts w:ascii="Times New Roman" w:hAnsi="Times New Roman"/>
          <w:sz w:val="20"/>
        </w:rPr>
      </w:pPr>
      <w:r>
        <w:rPr>
          <w:rFonts w:ascii="Times New Roman" w:hAnsi="Times New Roman"/>
          <w:sz w:val="20"/>
        </w:rPr>
        <w:t xml:space="preserve">(b) 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14.10 </w:t>
      </w:r>
      <w:r>
        <w:rPr>
          <w:rFonts w:ascii="Times New Roman" w:hAnsi="Times New Roman"/>
          <w:i/>
          <w:sz w:val="20"/>
        </w:rPr>
        <w:t xml:space="preserve">Responsibility of Trustee. </w:t>
      </w:r>
      <w:r>
        <w:rPr>
          <w:rFonts w:ascii="Times New Roman" w:hAnsi="Times New Roman"/>
          <w:sz w:val="20"/>
        </w:rPr>
        <w:t xml:space="preserve">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delivery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14.08 relating either to the kind or amount of shares of stock or securities or property (including cash) receivable by Holders upon the conversion of their Notes after any event referred to in such Section 14.08 or to any adjustment to be made with respect thereto, but, subject to the provisions of Section 7.01, may accept (without any independent investigation) as conclusive evidence of the correctness of any such provisions, and shall be protected in conclusively relying upon, the Officer’s Certificate (which the Company shall be obligated to file with the Trustee prior to the execution of any such supplemental indenture) with respect thereto. Except as otherwise expressly provided herein, neither the Trustee nor any other agent acting under this Indenture (other than the Company, if acting in such capacity) shall have any obligation to make any calculation or to determine whether the Notes may be delivered for conversion pursuant to this Indenture, or to notify the Company or the Depositary or any of the Holders if the Notes have become convertible pursuant to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14.11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14.12 </w:t>
      </w:r>
      <w:r>
        <w:rPr>
          <w:rFonts w:ascii="Times New Roman" w:hAnsi="Times New Roman"/>
          <w:i/>
          <w:sz w:val="20"/>
        </w:rPr>
        <w:t xml:space="preserve">Stockholder Rights Plans. </w:t>
      </w:r>
      <w:r>
        <w:rPr>
          <w:rFonts w:ascii="Times New Roman" w:hAnsi="Times New Roman"/>
          <w:sz w:val="20"/>
        </w:rPr>
        <w:t xml:space="preserve">If the Company has a stockholder rights plan in effect upon conversion of the Notes, each share of Common Stock, if any, issued upon such conversion shall be entitled to receive the applicable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Section 14.04(c), subject to readjustment in the event of the expiration, termination or redemption of such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14.13 </w:t>
      </w:r>
      <w:r>
        <w:rPr>
          <w:rFonts w:ascii="Times New Roman" w:hAnsi="Times New Roman"/>
          <w:i/>
          <w:sz w:val="20"/>
        </w:rPr>
        <w:t>Exchange In Lieu Of Conversion.</w:t>
      </w:r>
      <w:r>
        <w:rPr>
          <w:rFonts w:ascii="Times New Roman" w:hAnsi="Times New Roman"/>
          <w:sz w:val="20"/>
        </w:rPr>
        <w:t xml:space="preserve"> (a) When a Holder delivers its Notes for conversion, the Company may, at its election (an “</w:t>
      </w:r>
      <w:r>
        <w:rPr>
          <w:rFonts w:ascii="Times New Roman" w:hAnsi="Times New Roman"/>
          <w:b/>
          <w:sz w:val="20"/>
        </w:rPr>
        <w:t>Exchange Election</w:t>
      </w:r>
      <w:r>
        <w:rPr>
          <w:rFonts w:ascii="Times New Roman" w:hAnsi="Times New Roman"/>
          <w:sz w:val="20"/>
        </w:rPr>
        <w:t>”), cause such Notes to be delivered, at or prior to 11:00 a.m. (New York City time) on the first Business Day immediately following the relevant Conversion Date, to a financial institution designated by the Company (the “</w:t>
      </w:r>
      <w:r>
        <w:rPr>
          <w:rFonts w:ascii="Times New Roman" w:hAnsi="Times New Roman"/>
          <w:b/>
          <w:sz w:val="20"/>
        </w:rPr>
        <w:t>Designated Institution</w:t>
      </w:r>
      <w:r>
        <w:rPr>
          <w:rFonts w:ascii="Times New Roman" w:hAnsi="Times New Roman"/>
          <w:sz w:val="20"/>
        </w:rPr>
        <w:t>”) for exchange in lieu of conversion. In order to accept any Notes delivered for conversion for exchange in lieu of conversion, the Designated Institution must agree to timely pay or deliver, as the case may be, in exchange for such Notes, cash, shares of Common Stock or a combination of cash and shares of Common Stock, at the Company’s election, that would otherwise be due upon conversion as described in Section 14.02 above (the “</w:t>
      </w:r>
      <w:r>
        <w:rPr>
          <w:rFonts w:ascii="Times New Roman" w:hAnsi="Times New Roman"/>
          <w:b/>
          <w:sz w:val="20"/>
        </w:rPr>
        <w:t>Conversion Consideration</w:t>
      </w:r>
      <w:r>
        <w:rPr>
          <w:rFonts w:ascii="Times New Roman" w:hAnsi="Times New Roman"/>
          <w:sz w:val="20"/>
        </w:rPr>
        <w:t xml:space="preserve">”). If the Company makes the election described above, the Company shall, at or prior to 11:00 a.m. (New York City time) on the first Business Day following the relevant Conversion Date, notify, in writing, the Holder delivering Notes for conversion, the Trustee and the Conversion Agent (if other than the Trustee), that it has made such Exchange Election, and the Company shall notify the Designated Institution of the relevant deadline for delivery of the Conversion Consideration and the type of Conversion Consideration to be paid and/or delivered (unless the form of Conversion Consideration has been otherwise agreed by the Holder and the Designated Institution as set forth in this Section 14.13). The Company, the Holder delivering Notes for conversion, the Designated Institution and the Conversion Agent shall cooperate to cause such Notes to be delivered to the Designated Institution and the Conversion Agent shall be entitled to conclusively rely upon the Company’s instruction in connection with effecting any Exchange Election and shall have no liability for such Exchange Election outside of its control. Any Notes delivered by any Designated Institution will remain outstanding, subject to applicable procedures of the Depositary. Notwithstanding anything to the contrary in this Indenture or the Notes, any conversion settled in accordance to this Section 14.13 need not be settled with newly issued shares of Common Stock and any reference in this Indenture or the Notes to a requirement that the Company issue shares of Common Stock in connection with such conversion will be deemed to be satisfied with the delivery of shares of Common Stock by the applicable Designated Institution in accordance with this Section 14.13. </w:t>
      </w:r>
    </w:p>
    <w:p>
      <w:pPr>
        <w:pStyle w:val="TextBody"/>
        <w:bidi w:val="0"/>
        <w:spacing w:before="240" w:after="0"/>
        <w:jc w:val="left"/>
        <w:rPr>
          <w:rFonts w:ascii="Times New Roman" w:hAnsi="Times New Roman"/>
          <w:sz w:val="20"/>
        </w:rPr>
      </w:pPr>
      <w:r>
        <w:rPr>
          <w:rFonts w:ascii="Times New Roman" w:hAnsi="Times New Roman"/>
          <w:sz w:val="20"/>
        </w:rPr>
        <w:t xml:space="preserve">(b) If any Designated Institution agrees to accept any Notes for exchange but does not timely pay and/or deliver, as the case may be, the related Conversion Consideration to the Conversion Agent and/or Transfer Agent, or if such Designated Institution does not accept such Notes for exchange, the Company shall, within the time period specified in Section 14.02, notify the Conversion Agent and the Holders delivering their Notes and shall pay or deliver, as the case may be, the Conversion Consideration in accordance with the provisions of Section 14.02 as if the Company had not made the Exchange Election. </w:t>
      </w:r>
    </w:p>
    <w:p>
      <w:pPr>
        <w:pStyle w:val="TextBody"/>
        <w:bidi w:val="0"/>
        <w:spacing w:before="240" w:after="0"/>
        <w:jc w:val="left"/>
        <w:rPr>
          <w:rFonts w:ascii="Times New Roman" w:hAnsi="Times New Roman"/>
          <w:sz w:val="20"/>
        </w:rPr>
      </w:pPr>
      <w:r>
        <w:rPr>
          <w:rFonts w:ascii="Times New Roman" w:hAnsi="Times New Roman"/>
          <w:sz w:val="20"/>
        </w:rPr>
        <w:t xml:space="preserve">(c) For the avoidance of doubt, in no event will the Company’s designation of a Designated Institution pursuant to this Section 14.13 require such Designated Institution to accept any Notes for exchange. The Company may, but will not be obligated to, enter into a separate agreement with any Designated Institution that would compensate it for any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Section 14.14 </w:t>
      </w:r>
      <w:r>
        <w:rPr>
          <w:rFonts w:ascii="Times New Roman" w:hAnsi="Times New Roman"/>
          <w:i/>
          <w:sz w:val="20"/>
        </w:rPr>
        <w:t>Beneficial Ownership Limitation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in this Indenture or the Notes, for so long as shares of Common Stock are registered under the Exchange Act, no Note will be optionally convertible by the Economic Interest Holder thereof and the Company will not effect any conversion of a Note to the extent that after giving effect to such conversion the Economic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Interest Holder together with the Economic Interest Holder’s Attribution Parties collectively would beneficially own in excess of 9.9% of the shares of Common Stock outstanding immediately after giving effect to such conversion (the restrictions set forth in this sentence, the “</w:t>
      </w:r>
      <w:r>
        <w:rPr>
          <w:rFonts w:ascii="Times New Roman" w:hAnsi="Times New Roman"/>
          <w:b/>
          <w:sz w:val="20"/>
        </w:rPr>
        <w:t>Beneficial Ownership Limitation</w:t>
      </w:r>
      <w:r>
        <w:rPr>
          <w:rFonts w:ascii="Times New Roman" w:hAnsi="Times New Roman"/>
          <w:sz w:val="20"/>
        </w:rPr>
        <w:t>”) and the Company shall not issue to such Economic Interest Holder any shares of Common Stock in connection with any conversion, settlement or interest payment that would result in the Beneficial Ownership Limitation being exceeded, subject in the case of Section 2.03, Section 15.06, Section 16.01 or 17.01, to an Economic Interest Holder’s compliance with the procedures set forth in Section 14.14(c). Subject to the procedures set forth in set forth in Section 14.14(c), if the issuance of shares of Common Stock to an Economic Interest Holder upon any conversion, or upon any issuance of Common Stock pursuant to Section 2.03 (interest payment by Company), Section 15.06 (Optional Redemption by Company), Section 16.01 (Mandatory Conversion by Company) or 17.01 (Mandatory Equitization by Company) would result in that Economic Interest Holder together with its Attribution Parties being deemed to beneficially own, in the aggregate, more than the Beneficial Ownership Limitation, the number of shares so issued by which the relevant Economic Interest Holder’s and the other Attribution Parties’ aggregate beneficial ownership exceeds the Beneficial Ownership Limitation (the “</w:t>
      </w:r>
      <w:r>
        <w:rPr>
          <w:rFonts w:ascii="Times New Roman" w:hAnsi="Times New Roman"/>
          <w:b/>
          <w:sz w:val="20"/>
        </w:rPr>
        <w:t>Excess Shares</w:t>
      </w:r>
      <w:r>
        <w:rPr>
          <w:rFonts w:ascii="Times New Roman" w:hAnsi="Times New Roman"/>
          <w:sz w:val="20"/>
        </w:rPr>
        <w:t xml:space="preserve">”) shall be deemed null and void and shall be cancelled ab initio, and such Economic Interest Holder of Notes and its Attribution Parties shall not have power to vote or transfer the Excess Shares; provided, the foregoing shall not prevent or otherwise affect the cancellation and retirement of the corresponding Notes which shall nonetheless cease to be outstanding following such conversion or equitization; </w:t>
      </w:r>
      <w:r>
        <w:rPr>
          <w:rFonts w:ascii="Times New Roman" w:hAnsi="Times New Roman"/>
          <w:i/>
          <w:sz w:val="20"/>
        </w:rPr>
        <w:t>provided further</w:t>
      </w:r>
      <w:r>
        <w:rPr>
          <w:rFonts w:ascii="Times New Roman" w:hAnsi="Times New Roman"/>
          <w:sz w:val="20"/>
        </w:rPr>
        <w:t xml:space="preserve">, that in the case of an optional conversion by an Economic Interest Holder pursuant to which Excess Shares are issued to such Economic Interest Holder, both the conversion into Excess Shares and issuance of Excess Shares will be deemed null and void and the corresponding notes will remain outstanding. For purposes of clarity, any shares of Common Stock issuable pursuant to the terms of this Indenture or the Notes in excess of the Beneficial Ownership Limitation shall not be deemed to be beneficially owned by the Economic Interest Holder or any of its Attribution Parties for any purpose including for purposes of Section 13(d) of the Exchange Act or Rule 16a-1(a)(1) under the Exchange Act. The Beneficial Ownership Limitation provisions of this paragraph shall be construed and implemented in a manner otherwise than in strict conformity with the terms of this Section 14.14 to correct this section (or any portion hereof) which may be defective or inconsistent with the intended Beneficial Ownership Limitation contained herein or to make changes or supplements necessary or desirable to properly give effect to such limitation. </w:t>
      </w:r>
    </w:p>
    <w:p>
      <w:pPr>
        <w:pStyle w:val="TextBody"/>
        <w:bidi w:val="0"/>
        <w:spacing w:before="240" w:after="0"/>
        <w:jc w:val="left"/>
        <w:rPr>
          <w:rFonts w:ascii="Times New Roman" w:hAnsi="Times New Roman"/>
          <w:sz w:val="20"/>
        </w:rPr>
      </w:pPr>
      <w:r>
        <w:rPr>
          <w:rFonts w:ascii="Times New Roman" w:hAnsi="Times New Roman"/>
          <w:sz w:val="20"/>
        </w:rPr>
        <w:t xml:space="preserve">(b) For purposes of calculations regarding the above Beneficial Ownership Limitation, the number of shares of Common Stock beneficially owned by the relevant Economic Interest Holder of the Notes and its Attribution Parties shall include the number of shares of Common Stock that may be issued upon conversion or settlement of the Notes or payment of interest on the Notes with respect to which such determination is being made, but will exclude the number of shares of Common Stock that may be issued upon (i) conversion of the remaining, unconverted outstanding balance of the Notes beneficially owned by the Economic Interest Holder of the Notes or any of its Attribution Parties and (ii) exercise or conversion of the unexercised or unconverted portion of any other securities of the Company subject to a limitation on conversion or exercise analogous to the limitation described in this Section 14.14 beneficially owned by the relevant Economic Interest Holder of the Notes or any of its Attribution Parties. Other than as set forth in the previous sentence, for purposes of this Section 14.14, beneficial ownership calculations shall be made in accordance with Section 13(d)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Exchange Act and the applicable regulations promulgated thereunder. For purposes of this Section 14.14, in determining the number of outstanding shares of Common Stock, an Economic Interest Holder may rely on the number of outstanding shares of Common Stock as reflected in (x) the Company’s most recent Annual Report on Form 10-K, Quarterly Report on Form 10-Q, Current Report on Form 8-K or other public filing with the Commission, as the case may be, (y) a more recent public announcement by the Company or (z) any other written notice by the Company or the Company’s Transfer Agent setting forth the number of shares of Common Stock outstanding. Upon any written or oral request of any Economic Interest Holder, the Company shall within three (3) Business Days confirm orally and in writing or by electronic mail to such Economic Interest Holder the number of shares of Common Stock then outstanding. In any case, the number of outstanding shares of Common Stock shall be determined after giving effect to the conversion or exercise of securities of the Company, including the Notes, by the Economic Interest Holder or any of its Attribution Parties since the as of date as to which such number of outstanding shares of Common Stock was reported. </w:t>
      </w:r>
    </w:p>
    <w:p>
      <w:pPr>
        <w:pStyle w:val="TextBody"/>
        <w:bidi w:val="0"/>
        <w:spacing w:before="240" w:after="0"/>
        <w:jc w:val="left"/>
        <w:rPr>
          <w:rFonts w:ascii="Times New Roman" w:hAnsi="Times New Roman"/>
          <w:sz w:val="20"/>
        </w:rPr>
      </w:pPr>
      <w:r>
        <w:rPr>
          <w:rFonts w:ascii="Times New Roman" w:hAnsi="Times New Roman"/>
          <w:sz w:val="20"/>
        </w:rPr>
        <w:t>(c) Notwithstanding the foregoing, for Economic Interest Holders of Notes that have elected to be subject to the procedures described in this Section 14.14(c) (the “</w:t>
      </w:r>
      <w:r>
        <w:rPr>
          <w:rFonts w:ascii="Times New Roman" w:hAnsi="Times New Roman"/>
          <w:b/>
          <w:sz w:val="20"/>
        </w:rPr>
        <w:t>Opt-in Procedures</w:t>
      </w:r>
      <w:r>
        <w:rPr>
          <w:rFonts w:ascii="Times New Roman" w:hAnsi="Times New Roman"/>
          <w:sz w:val="20"/>
        </w:rPr>
        <w:t>”), including, as applicable, having transferred their interest in the Notes they hold into a different CUSIP number that is designated for such purposes to the extent the Company has made available a separate CUSIP for such purposes, the applicable Mandatory Conversion Notice, Mandatory Equitization Notice, Stock Interest Notice or Optional Redemption Notice will provide Economic Interest Holder of the Notes held in such CUSIP number the opportunity to provide notice and a representation to the Company of the number of shares of Common Stock beneficially owned by the Economic Interest Holder together with its Attribution Parties prior to such issuance up to five (5) Business Days prior to the date of settlement of any Common Stock upon any Mandatory Conversion pursuant to Section 16.01, Optional Redemption pursuant to Section 15.06, Mandatory Equitization pursuant to Section 17.01 of such Economic Interest Holder’s Notes or payment of Common Stock Interest pursuant to Section 2.03 (“</w:t>
      </w:r>
      <w:r>
        <w:rPr>
          <w:rFonts w:ascii="Times New Roman" w:hAnsi="Times New Roman"/>
          <w:b/>
          <w:sz w:val="20"/>
        </w:rPr>
        <w:t>Equity Issuances</w:t>
      </w:r>
      <w:r>
        <w:rPr>
          <w:rFonts w:ascii="Times New Roman" w:hAnsi="Times New Roman"/>
          <w:sz w:val="20"/>
        </w:rPr>
        <w:t xml:space="preserve">”). If any Excess Shares would be issued upon settlement of any Equity Issuance, we shall initially issue the amount of any such Excess Shares that would otherwise be issuable to such Economic Interest Holder upon such Equity Issuance instead to a single account designated for all such Excess Shares in the aggregate and held on the books and records of the Company’s Transfer Agent and, although such Economic Interest Holder’s Notes that are converted or equitized in connection with such issuance will still be retired and will no longer be outstanding as otherwise set forth in this Indenture, the shares of Common Stock will not be delivered to such Economic Interest Holder until the Company receives appropriate instructions and representations as described in this Section 14.14 and the relevant notice. Thereafter, upon notification by any such Economic Interest Holder (or beneficial owner of Notes held by such Economic Interest Holder) and verification by the Company (based solely on a representation by the Economic Interest Holder regarding the current beneficial ownership of Common Stock by the Economic Interest Holder together with its Attribution Parties) that such Economic Interest Holder may receive such shares of Common Stock that it would otherwise be entitled to receive without (together with any Attribution Parties) exceeding the Beneficial Ownership Limitation, the Company shall cause its Transfer Agent to deliver such additional shares of Common Stock to such Economic Interest Holder or its broker through the facilities of DTC promptly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Upon delivery of a written notice to the Company, any Economic Interest Holder may increase or decrease the Beneficial Ownership Limitation to such percentage as the Economic Interest Holder shall determine, in its sole discretion; </w:t>
      </w:r>
      <w:r>
        <w:rPr>
          <w:rFonts w:ascii="Times New Roman" w:hAnsi="Times New Roman"/>
          <w:i/>
          <w:sz w:val="20"/>
        </w:rPr>
        <w:t>provided</w:t>
      </w:r>
      <w:r>
        <w:rPr>
          <w:rFonts w:ascii="Times New Roman" w:hAnsi="Times New Roman"/>
          <w:sz w:val="20"/>
        </w:rPr>
        <w:t xml:space="preserve"> that (i) any such increase or decrease of the Beneficial Ownership Limitation will not be effective until the sixty-first (61st) day after such notice is delivered to the Company and (ii) any such increase or decrease of the Beneficial Ownership Limitation will apply only to such Economic Interest Holder and not to any other Economic Interest Holder. No prior inability to convert such Notes pursuant to this Section 14.14 shall have any effect on the applicability of the provisions of this Section 14.14 with respect to any subsequent determination of convertibility; </w:t>
      </w:r>
      <w:r>
        <w:rPr>
          <w:rFonts w:ascii="Times New Roman" w:hAnsi="Times New Roman"/>
          <w:i/>
          <w:sz w:val="20"/>
        </w:rPr>
        <w:t>provided further</w:t>
      </w:r>
      <w:r>
        <w:rPr>
          <w:rFonts w:ascii="Times New Roman" w:hAnsi="Times New Roman"/>
          <w:sz w:val="20"/>
        </w:rPr>
        <w:t xml:space="preserve"> that such Beneficial Ownership Limitation shall not be increased above 19.9% unless the Company has first obtained shareholder approval for the acquisition by such Economic Interest Holder together with its Attribution Parties of 20% or more of the Company’s outstanding shares of Common Stock or voting power pursuant to Rule 5635(b) of Nasdaq. The limitation contained in this Section 14.14 may not be waived and shall apply to a successor Economic Interest Holder of such Notes. </w:t>
      </w:r>
    </w:p>
    <w:p>
      <w:pPr>
        <w:pStyle w:val="TextBody"/>
        <w:bidi w:val="0"/>
        <w:spacing w:before="480" w:after="0"/>
        <w:jc w:val="center"/>
        <w:rPr>
          <w:rFonts w:ascii="Times New Roman" w:hAnsi="Times New Roman"/>
          <w:sz w:val="20"/>
        </w:rPr>
      </w:pPr>
      <w:r>
        <w:rPr>
          <w:rFonts w:ascii="Times New Roman" w:hAnsi="Times New Roman"/>
          <w:sz w:val="20"/>
        </w:rPr>
        <w:t xml:space="preserve">Article 15. </w:t>
      </w:r>
    </w:p>
    <w:p>
      <w:pPr>
        <w:pStyle w:val="TextBody"/>
        <w:bidi w:val="0"/>
        <w:spacing w:before="0" w:after="0"/>
        <w:jc w:val="center"/>
        <w:rPr>
          <w:rFonts w:ascii="Times New Roman" w:hAnsi="Times New Roman"/>
          <w:sz w:val="20"/>
        </w:rPr>
      </w:pPr>
      <w:r>
        <w:rPr>
          <w:rFonts w:ascii="Times New Roman" w:hAnsi="Times New Roman"/>
          <w:sz w:val="20"/>
        </w:rPr>
        <w:t xml:space="preserve">REDEMPTIONS AND REPURCHASES OF NOTES </w:t>
      </w:r>
    </w:p>
    <w:p>
      <w:pPr>
        <w:pStyle w:val="TextBody"/>
        <w:bidi w:val="0"/>
        <w:spacing w:before="240" w:after="0"/>
        <w:jc w:val="left"/>
        <w:rPr>
          <w:rFonts w:ascii="Times New Roman" w:hAnsi="Times New Roman"/>
          <w:sz w:val="20"/>
        </w:rPr>
      </w:pPr>
      <w:r>
        <w:rPr>
          <w:rFonts w:ascii="Times New Roman" w:hAnsi="Times New Roman"/>
          <w:sz w:val="20"/>
        </w:rPr>
        <w:t xml:space="preserve">Section 15.01 </w:t>
      </w:r>
      <w:r>
        <w:rPr>
          <w:rFonts w:ascii="Times New Roman" w:hAnsi="Times New Roman"/>
          <w:i/>
          <w:sz w:val="20"/>
        </w:rPr>
        <w:t>Repurchase at Option of Holders Upon a Fundamental 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a Fundamental Change occurs at any time prior to the Maturity Date, each Holder shall have the right, at such Holder’s option, to require the Company to repurchase for cash all of such Holder’s Notes, or any portion thereof properly delivered and not validly withdrawn pursuant to Section 15.03, on the date (the “</w:t>
      </w:r>
      <w:r>
        <w:rPr>
          <w:rFonts w:ascii="Times New Roman" w:hAnsi="Times New Roman"/>
          <w:b/>
          <w:sz w:val="20"/>
        </w:rPr>
        <w:t>Fundamental Change Repurchase Date</w:t>
      </w:r>
      <w:r>
        <w:rPr>
          <w:rFonts w:ascii="Times New Roman" w:hAnsi="Times New Roman"/>
          <w:sz w:val="20"/>
        </w:rPr>
        <w:t xml:space="preserve">”) specified by the Company that is not less than twenty (20) calendar days or more than thirty-five (35) calendar days following the date of the Fundamental Change Company Notice at a repurchase price equal to 100% of the principal amount thereof, </w:t>
      </w:r>
      <w:r>
        <w:rPr>
          <w:rFonts w:ascii="Times New Roman" w:hAnsi="Times New Roman"/>
          <w:i/>
          <w:sz w:val="20"/>
        </w:rPr>
        <w:t>plus</w:t>
      </w:r>
      <w:r>
        <w:rPr>
          <w:rFonts w:ascii="Times New Roman" w:hAnsi="Times New Roman"/>
          <w:sz w:val="20"/>
        </w:rPr>
        <w:t xml:space="preserve"> accrued and unpaid cash interest thereon to, but excluding, the Fundamental Change Repurchase Date (the “</w:t>
      </w:r>
      <w:r>
        <w:rPr>
          <w:rFonts w:ascii="Times New Roman" w:hAnsi="Times New Roman"/>
          <w:b/>
          <w:sz w:val="20"/>
        </w:rPr>
        <w:t>Fundamental Change Repurchase Price</w:t>
      </w:r>
      <w:r>
        <w:rPr>
          <w:rFonts w:ascii="Times New Roman" w:hAnsi="Times New Roman"/>
          <w:sz w:val="20"/>
        </w:rPr>
        <w:t xml:space="preserve">”), unless the Fundamental Change Repurchase Date falls after a Regular Record Date but on or prior to the Interest Payment Date to which such Regular Record Date relates, in which case the Company shall instead pay the full amount of accrued and unpaid Cash Interest to Holders of record as of such Regular Record Date, and the Fundamental Change Repurchase Price shall be equal to 100% of the principal amount of Notes to be repurchased pursuant to this Article 15. </w:t>
      </w:r>
    </w:p>
    <w:p>
      <w:pPr>
        <w:pStyle w:val="TextBody"/>
        <w:bidi w:val="0"/>
        <w:spacing w:before="240" w:after="0"/>
        <w:jc w:val="left"/>
        <w:rPr>
          <w:rFonts w:ascii="Times New Roman" w:hAnsi="Times New Roman"/>
          <w:sz w:val="20"/>
        </w:rPr>
      </w:pPr>
      <w:r>
        <w:rPr>
          <w:rFonts w:ascii="Times New Roman" w:hAnsi="Times New Roman"/>
          <w:sz w:val="20"/>
        </w:rPr>
        <w:t xml:space="preserve">Repurchases of Notes under this Section 15.01 shall be made, at the option of the Holder thereof, upon: </w:t>
      </w:r>
    </w:p>
    <w:p>
      <w:pPr>
        <w:pStyle w:val="TextBody"/>
        <w:bidi w:val="0"/>
        <w:spacing w:before="120" w:after="0"/>
        <w:jc w:val="left"/>
        <w:rPr>
          <w:rFonts w:ascii="Times New Roman" w:hAnsi="Times New Roman"/>
          <w:sz w:val="20"/>
        </w:rPr>
      </w:pPr>
      <w:r>
        <w:rPr>
          <w:rFonts w:ascii="Times New Roman" w:hAnsi="Times New Roman"/>
          <w:sz w:val="20"/>
        </w:rPr>
        <w:t>(i) delivery to the Paying Agent by a Holder of a duly completed notice (the “</w:t>
      </w:r>
      <w:r>
        <w:rPr>
          <w:rFonts w:ascii="Times New Roman" w:hAnsi="Times New Roman"/>
          <w:b/>
          <w:sz w:val="20"/>
        </w:rPr>
        <w:t>Fundamental Change Repurchase Notice</w:t>
      </w:r>
      <w:r>
        <w:rPr>
          <w:rFonts w:ascii="Times New Roman" w:hAnsi="Times New Roman"/>
          <w:sz w:val="20"/>
        </w:rPr>
        <w:t xml:space="preserve">”) in the form set forth in Attachment 2 to the Form of Note attached hereto as Exhibit A, if the Notes are Physical Notes, or in compliance with the Depositary’s procedures for delivering interests in Global Notes, if the Notes are Global Notes, in each case on or before the close of business on the Business Day immediately preceding the Fundamental Change Repurchase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procedures of the Depositary, in each case such delivery being a condition to receipt by the Holder of the Fundamental Change Repurchase Price therefor. </w:t>
      </w:r>
    </w:p>
    <w:p>
      <w:pPr>
        <w:pStyle w:val="TextBody"/>
        <w:bidi w:val="0"/>
        <w:spacing w:before="240" w:after="0"/>
        <w:jc w:val="left"/>
        <w:rPr>
          <w:rFonts w:ascii="Times New Roman" w:hAnsi="Times New Roman"/>
          <w:sz w:val="20"/>
        </w:rPr>
      </w:pPr>
      <w:r>
        <w:rPr>
          <w:rFonts w:ascii="Times New Roman" w:hAnsi="Times New Roman"/>
          <w:sz w:val="20"/>
        </w:rPr>
        <w:t xml:space="preserve">The Fundamental Change Repurchase Notice in respect of any Physical Notes to be repurchased shall state: </w:t>
      </w:r>
    </w:p>
    <w:p>
      <w:pPr>
        <w:pStyle w:val="TextBody"/>
        <w:bidi w:val="0"/>
        <w:spacing w:before="120" w:after="0"/>
        <w:jc w:val="left"/>
        <w:rPr>
          <w:rFonts w:ascii="Times New Roman" w:hAnsi="Times New Roman"/>
          <w:sz w:val="20"/>
        </w:rPr>
      </w:pPr>
      <w:r>
        <w:rPr>
          <w:rFonts w:ascii="Times New Roman" w:hAnsi="Times New Roman"/>
          <w:sz w:val="20"/>
        </w:rPr>
        <w:t xml:space="preserve">(i) the certificate numbers of the Notes to be delivered for repurchase; </w:t>
      </w:r>
    </w:p>
    <w:p>
      <w:pPr>
        <w:pStyle w:val="TextBody"/>
        <w:bidi w:val="0"/>
        <w:spacing w:before="120" w:after="0"/>
        <w:jc w:val="left"/>
        <w:rPr>
          <w:rFonts w:ascii="Times New Roman" w:hAnsi="Times New Roman"/>
          <w:sz w:val="20"/>
        </w:rPr>
      </w:pPr>
      <w:r>
        <w:rPr>
          <w:rFonts w:ascii="Times New Roman" w:hAnsi="Times New Roman"/>
          <w:sz w:val="20"/>
        </w:rPr>
        <w:t xml:space="preserve">(ii) the portion of the principal amount of Notes to be repurchased; and </w:t>
      </w:r>
    </w:p>
    <w:p>
      <w:pPr>
        <w:pStyle w:val="TextBody"/>
        <w:bidi w:val="0"/>
        <w:spacing w:before="120" w:after="0"/>
        <w:jc w:val="left"/>
        <w:rPr>
          <w:rFonts w:ascii="Times New Roman" w:hAnsi="Times New Roman"/>
          <w:sz w:val="20"/>
        </w:rPr>
      </w:pPr>
      <w:r>
        <w:rPr>
          <w:rFonts w:ascii="Times New Roman" w:hAnsi="Times New Roman"/>
          <w:sz w:val="20"/>
        </w:rPr>
        <w:t xml:space="preserve">(iii) that the Notes are to be repurchased by the Company pursuant to the applicable provisions of the Notes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If the Notes are Global Notes, to exercise the Fundamental Change repurchase right, Holders must deliver their Notes in accordance with applicable Depositary procedures.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any Holder delivering to the Paying Agent the Fundamental Change Repurchase Notice contemplated by this Section 15.01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15.02.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shall promptly notify the Company of the receipt by it of any Fundamental Change Repurchase Notice or written notice of withdrawal thereof. </w:t>
      </w:r>
    </w:p>
    <w:p>
      <w:pPr>
        <w:pStyle w:val="TextBody"/>
        <w:bidi w:val="0"/>
        <w:spacing w:before="240" w:after="0"/>
        <w:jc w:val="left"/>
        <w:rPr>
          <w:rFonts w:ascii="Times New Roman" w:hAnsi="Times New Roman"/>
          <w:sz w:val="20"/>
        </w:rPr>
      </w:pPr>
      <w:r>
        <w:rPr>
          <w:rFonts w:ascii="Times New Roman" w:hAnsi="Times New Roman"/>
          <w:sz w:val="20"/>
        </w:rPr>
        <w:t>On or before the twentieth (20th) Business Day after the occurrence of the effective date of a Fundamental Change, the Company shall provide to all Holders and the Trustee, the Conversion Agent (in the case of a Conversion Agent other than the Trustee) and the Paying Agent (in the case of a Paying Agent other than the Trustee) a written notice (the “</w:t>
      </w:r>
      <w:r>
        <w:rPr>
          <w:rFonts w:ascii="Times New Roman" w:hAnsi="Times New Roman"/>
          <w:b/>
          <w:sz w:val="20"/>
        </w:rPr>
        <w:t>Fundamental Change Company Notice</w:t>
      </w:r>
      <w:r>
        <w:rPr>
          <w:rFonts w:ascii="Times New Roman" w:hAnsi="Times New Roman"/>
          <w:sz w:val="20"/>
        </w:rPr>
        <w:t xml:space="preserve">”) of the occurrence of the effective date of the Fundamental Change and of the repurchase right at the option of the Holders arising as a result thereof. In the case of Physical Notes, such notice shall be by first class mail or, in the case of Global Notes, such notice shall be delivered in accordance with the applicable procedures of the Depositary. Each Fundamental Change Company Notice shall specify: </w:t>
      </w:r>
    </w:p>
    <w:p>
      <w:pPr>
        <w:pStyle w:val="TextBody"/>
        <w:bidi w:val="0"/>
        <w:spacing w:before="120" w:after="0"/>
        <w:jc w:val="left"/>
        <w:rPr>
          <w:rFonts w:ascii="Times New Roman" w:hAnsi="Times New Roman"/>
          <w:sz w:val="20"/>
        </w:rPr>
      </w:pPr>
      <w:r>
        <w:rPr>
          <w:rFonts w:ascii="Times New Roman" w:hAnsi="Times New Roman"/>
          <w:sz w:val="20"/>
        </w:rPr>
        <w:t xml:space="preserve">(i) the events causing the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(ii) the effective date of the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(iii) the last date on which a Holder may exercise the repurchase right pursuant to this Article 15; </w:t>
      </w:r>
    </w:p>
    <w:p>
      <w:pPr>
        <w:pStyle w:val="TextBody"/>
        <w:bidi w:val="0"/>
        <w:spacing w:before="120" w:after="0"/>
        <w:jc w:val="left"/>
        <w:rPr>
          <w:rFonts w:ascii="Times New Roman" w:hAnsi="Times New Roman"/>
          <w:sz w:val="20"/>
        </w:rPr>
      </w:pPr>
      <w:r>
        <w:rPr>
          <w:rFonts w:ascii="Times New Roman" w:hAnsi="Times New Roman"/>
          <w:sz w:val="20"/>
        </w:rPr>
        <w:t xml:space="preserve">(iv) the Fundamental Change Repurchase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Fundamental Change Repurchase Date; </w:t>
      </w:r>
    </w:p>
    <w:p>
      <w:pPr>
        <w:pStyle w:val="TextBody"/>
        <w:bidi w:val="0"/>
        <w:spacing w:before="120" w:after="0"/>
        <w:jc w:val="left"/>
        <w:rPr>
          <w:rFonts w:ascii="Times New Roman" w:hAnsi="Times New Roman"/>
          <w:sz w:val="20"/>
        </w:rPr>
      </w:pPr>
      <w:r>
        <w:rPr>
          <w:rFonts w:ascii="Times New Roman" w:hAnsi="Times New Roman"/>
          <w:sz w:val="20"/>
        </w:rPr>
        <w:t xml:space="preserve">(vi) the name and address of the Paying Agent and the Conversion Agent, if applicable; </w:t>
      </w:r>
    </w:p>
    <w:p>
      <w:pPr>
        <w:pStyle w:val="TextBody"/>
        <w:bidi w:val="0"/>
        <w:spacing w:before="120" w:after="0"/>
        <w:jc w:val="left"/>
        <w:rPr>
          <w:rFonts w:ascii="Times New Roman" w:hAnsi="Times New Roman"/>
          <w:sz w:val="20"/>
        </w:rPr>
      </w:pPr>
      <w:r>
        <w:rPr>
          <w:rFonts w:ascii="Times New Roman" w:hAnsi="Times New Roman"/>
          <w:sz w:val="20"/>
        </w:rPr>
        <w:t xml:space="preserve">(vii) the Conversion Rate and, if applicable, any adjustments to the Conversion Rate as a result of such Fundamental Change (or related Make-Whole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(viii) that the Notes with respect to which a Fundamental Change Repurchase Notice has been delivered by a Holder may be converted only if the Holder withdraws the Fundamental Change Repurchase Notice in accordance with the terms of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(ix) the procedures that Holders must follow to require the Company to repurchase their Notes. </w:t>
      </w:r>
    </w:p>
    <w:p>
      <w:pPr>
        <w:pStyle w:val="TextBody"/>
        <w:bidi w:val="0"/>
        <w:spacing w:before="240" w:after="0"/>
        <w:jc w:val="left"/>
        <w:rPr>
          <w:rFonts w:ascii="Times New Roman" w:hAnsi="Times New Roman"/>
          <w:sz w:val="20"/>
        </w:rPr>
      </w:pPr>
      <w:r>
        <w:rPr>
          <w:rFonts w:ascii="Times New Roman" w:hAnsi="Times New Roman"/>
          <w:sz w:val="20"/>
        </w:rPr>
        <w:t xml:space="preserve">No failure of the Company to give the foregoing notices and no defect therein shall limit the Holders’ repurchase rights or affect the validity of the proceedings for the repurchase of the Notes pursuant to this Section 15.01. </w:t>
      </w:r>
    </w:p>
    <w:p>
      <w:pPr>
        <w:pStyle w:val="TextBody"/>
        <w:bidi w:val="0"/>
        <w:spacing w:before="240" w:after="0"/>
        <w:jc w:val="left"/>
        <w:rPr>
          <w:rFonts w:ascii="Times New Roman" w:hAnsi="Times New Roman"/>
          <w:sz w:val="20"/>
        </w:rPr>
      </w:pPr>
      <w:r>
        <w:rPr>
          <w:rFonts w:ascii="Times New Roman" w:hAnsi="Times New Roman"/>
          <w:sz w:val="20"/>
        </w:rPr>
        <w:t xml:space="preserve">At the Company’s request, given at least five (5) calendar days prior to the date the Fundamental Change Company Notice is to be sent (or such lesser amount of time as agreed to by the Trustee in its sole discretion), the Trustee shall give such notice in the Company’s name and at the Company’s expense;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all cases, the text of such Fundamental Change Company Notice shall be prepared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providing such notice, the Company shall publish the information on its website or through such other public medium as it may use at that time.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withdrawn.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Article 15,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Article 15 and such third party purchases all Notes properly delivered and not validly withdrawn under its offer in the same manner, at the same time and otherwise in compliance with the requirements for an offer made by the Company as set forth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Notwithstanding anything to the contrary, the Company will not be required to send a Fundamental Change Company Notice, or offer to repurchase or repurchase any Notes, as described in this Section 15.01, in connection with a Common Stock Change Event that constitutes a Fundamental Change pursuant to clause (b)(i) or (ii) of the definition thereof (regardless of whether such Common Stock Change Event also constitutes a Fundamental Change pursuant to any other clause of such definition), if: (i) the Reference Property for such Common Stock Change Event consists entirely of cash in U.S. dollars; (ii) immediately after such Fundamental Change, the Notes become convertible into consideration that consists solely of U.S. dollars in an amount per $1,000 principal amount of Notes that equals or exceeds the Fundamental Change Repurchase Price per $1,000 principal amount of Notes (calculated assuming that the same includes accrued interest to, but excluding, the latest possible Fundamental Change Repurchase Date for such Fundamental Change); and (iii) within 20 Business Days of such Fundamental Change, the Company sends notice that such Fundamental Change is an Exempted Fundamental Change. Any Fundamental Change with respect to which, in accordance with the provisions described above, the Company does not offer to repurchase any Notes is referred to as an “</w:t>
      </w:r>
      <w:r>
        <w:rPr>
          <w:rFonts w:ascii="Times New Roman" w:hAnsi="Times New Roman"/>
          <w:b/>
          <w:sz w:val="20"/>
        </w:rPr>
        <w:t>Exempted Fundamental 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15.02 </w:t>
      </w:r>
      <w:r>
        <w:rPr>
          <w:rFonts w:ascii="Times New Roman" w:hAnsi="Times New Roman"/>
          <w:i/>
          <w:sz w:val="20"/>
        </w:rPr>
        <w:t xml:space="preserve">Withdrawal of Fundamental Change Repurchase Notice. </w:t>
      </w:r>
      <w:r>
        <w:rPr>
          <w:rFonts w:ascii="Times New Roman" w:hAnsi="Times New Roman"/>
          <w:sz w:val="20"/>
        </w:rPr>
        <w:t xml:space="preserve">A Fundamental Change Repurchase Notice may be withdrawn (in whole or in part) in respect of Physical Notes by means of a written notice of withdrawal received by the Paying Agent in accordance with this Section 15.02 at any time prior to the close of business on the Business Day immediately preceding the Fundamental Change Repurchase Date, specifying: </w:t>
      </w:r>
    </w:p>
    <w:p>
      <w:pPr>
        <w:pStyle w:val="TextBody"/>
        <w:bidi w:val="0"/>
        <w:spacing w:before="120" w:after="0"/>
        <w:jc w:val="left"/>
        <w:rPr>
          <w:rFonts w:ascii="Times New Roman" w:hAnsi="Times New Roman"/>
          <w:sz w:val="20"/>
        </w:rPr>
      </w:pPr>
      <w:r>
        <w:rPr>
          <w:rFonts w:ascii="Times New Roman" w:hAnsi="Times New Roman"/>
          <w:sz w:val="20"/>
        </w:rPr>
        <w:t xml:space="preserve">(a) the principal amount of the Notes with respect to which such notice of withdrawal is being submitted, </w:t>
      </w:r>
    </w:p>
    <w:p>
      <w:pPr>
        <w:pStyle w:val="TextBody"/>
        <w:bidi w:val="0"/>
        <w:spacing w:before="240" w:after="0"/>
        <w:jc w:val="left"/>
        <w:rPr>
          <w:rFonts w:ascii="Times New Roman" w:hAnsi="Times New Roman"/>
          <w:sz w:val="20"/>
        </w:rPr>
      </w:pPr>
      <w:r>
        <w:rPr>
          <w:rFonts w:ascii="Times New Roman" w:hAnsi="Times New Roman"/>
          <w:sz w:val="20"/>
        </w:rPr>
        <w:t xml:space="preserve">(b) the certificate number of the Note in respect of which such notice of withdrawal is being submitted, and </w:t>
      </w:r>
    </w:p>
    <w:p>
      <w:pPr>
        <w:pStyle w:val="TextBody"/>
        <w:bidi w:val="0"/>
        <w:spacing w:before="240" w:after="0"/>
        <w:jc w:val="left"/>
        <w:rPr>
          <w:rFonts w:ascii="Times New Roman" w:hAnsi="Times New Roman"/>
          <w:sz w:val="20"/>
        </w:rPr>
      </w:pPr>
      <w:r>
        <w:rPr>
          <w:rFonts w:ascii="Times New Roman" w:hAnsi="Times New Roman"/>
          <w:sz w:val="20"/>
        </w:rPr>
        <w:t xml:space="preserve">(c) the principal amount, if any, of such Note that remains subject to the original Fundamental Change Repurchase Notice; </w:t>
      </w:r>
    </w:p>
    <w:p>
      <w:pPr>
        <w:pStyle w:val="TextBody"/>
        <w:bidi w:val="0"/>
        <w:spacing w:before="240" w:after="0"/>
        <w:jc w:val="left"/>
        <w:rPr>
          <w:rFonts w:ascii="Times New Roman" w:hAnsi="Times New Roman"/>
          <w:sz w:val="20"/>
        </w:rPr>
      </w:pPr>
      <w:r>
        <w:rPr>
          <w:rFonts w:ascii="Times New Roman" w:hAnsi="Times New Roman"/>
          <w:sz w:val="20"/>
        </w:rPr>
        <w:t xml:space="preserve">If the Notes are Global Notes, Holders may withdraw their Notes subject to repurchase at any time prior to the close of business on the Business Day immediately preceding the Fundamental Change Repurchase Date in accordance with the applicable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15.03 </w:t>
      </w:r>
      <w:r>
        <w:rPr>
          <w:rFonts w:ascii="Times New Roman" w:hAnsi="Times New Roman"/>
          <w:i/>
          <w:sz w:val="20"/>
        </w:rPr>
        <w:t xml:space="preserve">Deposit of Fundamental Change Repurchase Price.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by the Trustee (or other Paying Agent appointed by the Company), payment for Notes delivered for repurchase (and not validly withdrawn prior to the close of business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Business Day immediately preceding the Fundamental Change Repurchase Date) will be made on the later of (x) the Fundamental Change Repurchase Date (</w:t>
      </w:r>
      <w:r>
        <w:rPr>
          <w:rFonts w:ascii="Times New Roman" w:hAnsi="Times New Roman"/>
          <w:i/>
          <w:sz w:val="20"/>
        </w:rPr>
        <w:t>provided</w:t>
      </w:r>
      <w:r>
        <w:rPr>
          <w:rFonts w:ascii="Times New Roman" w:hAnsi="Times New Roman"/>
          <w:sz w:val="20"/>
        </w:rPr>
        <w:t xml:space="preserve"> the Holder has satisfied the conditions in Section 15.01) and (y) the time of book-entry transfer or the delivery of such Note to the Trustee (or other Paying Agent appointed by the Company) by the Holder thereof in the manner required by Section 15.01 by mailing checks for the amount payable to the Holders of such Notes entitled thereto as they shall appear in the Note Register;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 </w:t>
      </w:r>
    </w:p>
    <w:p>
      <w:pPr>
        <w:pStyle w:val="TextBody"/>
        <w:bidi w:val="0"/>
        <w:spacing w:before="240" w:after="0"/>
        <w:jc w:val="left"/>
        <w:rPr>
          <w:rFonts w:ascii="Times New Roman" w:hAnsi="Times New Roman"/>
          <w:sz w:val="20"/>
        </w:rPr>
      </w:pPr>
      <w:r>
        <w:rPr>
          <w:rFonts w:ascii="Times New Roman" w:hAnsi="Times New Roman"/>
          <w:sz w:val="20"/>
        </w:rPr>
        <w:t xml:space="preserve">(b) If by 11:00 a.m. New York City time, on the Fundamental Change Repurchase Date, the Trustee (or other Paying Agent appointed by the Company) holds money sufficient to pay the Fundamental Change Repurchase Price to be paid on such Fundamental Change Repurchase Date, then, with respect to the Notes that have been properly delivered for repurchase and have not been validly withdrawn in accordance with the provisions of this Indenture, (a) such Notes will cease to be outstanding, (b) interest will cease to accrue on such Notes on the Fundamental Change Repurchase Date (whether or not book-entry transfer of the Notes has been made or the Notes have been delivered to the Trustee or Paying Agent) and (c) all other rights of the Holders with respect to such Notes will terminate on the Fundamental Change Repurchase Date (other than (x) the right to receive the Fundamental Change Repurchase Price and (y) if the Fundamental Change Repurchase Date falls after a Regular Record Date but on or prior to the related Interest Payment Date, the right of the Holder of record on such Regular Record Date to receive the full amount of accrued and unpaid interest to, but excluding, such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(c) Upon delivery of a Note that is to be repurchased in part pursuant to Section 15.01, the Company shall execute and the Trustee shall authenticate and deliver to the Holder a new Note in an authorized denomination equal in principal amount to the unrepurchased portion of the Note delivered. </w:t>
      </w:r>
    </w:p>
    <w:p>
      <w:pPr>
        <w:pStyle w:val="TextBody"/>
        <w:bidi w:val="0"/>
        <w:spacing w:before="240" w:after="0"/>
        <w:jc w:val="left"/>
        <w:rPr>
          <w:rFonts w:ascii="Times New Roman" w:hAnsi="Times New Roman"/>
          <w:sz w:val="20"/>
        </w:rPr>
      </w:pPr>
      <w:r>
        <w:rPr>
          <w:rFonts w:ascii="Times New Roman" w:hAnsi="Times New Roman"/>
          <w:sz w:val="20"/>
        </w:rPr>
        <w:t xml:space="preserve">Section 15.04 </w:t>
      </w:r>
      <w:r>
        <w:rPr>
          <w:rFonts w:ascii="Times New Roman" w:hAnsi="Times New Roman"/>
          <w:i/>
          <w:sz w:val="20"/>
        </w:rPr>
        <w:t>Net Proceeds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On the 366th day after an Asset Disposition (or, at the Company’s option, an earlier date), if the aggregate amount of Excess Proceeds equals or exceeds $15.0 million, the Company shall be required to make an offer to purchase or redeem (a “</w:t>
      </w:r>
      <w:r>
        <w:rPr>
          <w:rFonts w:ascii="Times New Roman" w:hAnsi="Times New Roman"/>
          <w:b/>
          <w:sz w:val="20"/>
        </w:rPr>
        <w:t>Net Proceeds Offer</w:t>
      </w:r>
      <w:r>
        <w:rPr>
          <w:rFonts w:ascii="Times New Roman" w:hAnsi="Times New Roman"/>
          <w:sz w:val="20"/>
        </w:rPr>
        <w:t xml:space="preserve">”) from all Holders the maximum principal amount of Notes to which the Net Proceeds Offer applies that may be purchased or redeemed out of the Excess Proceeds, at an offer price in cash in an amount equal to 100.0% of the principal amount of the Notes plus accrued and unpaid interest thereon, if any, to, but excluding, the date of purchase, in accordance with the procedures set forth in this Indenture in minimum denominations of $1,000 or integral multiples of $1,000 in excess thereof, or $1.00 or integral multiples of $1.00 in excess thereof after a PIK Payment. </w:t>
      </w:r>
    </w:p>
    <w:p>
      <w:pPr>
        <w:pStyle w:val="TextBody"/>
        <w:bidi w:val="0"/>
        <w:spacing w:before="240" w:after="0"/>
        <w:jc w:val="left"/>
        <w:rPr>
          <w:rFonts w:ascii="Times New Roman" w:hAnsi="Times New Roman"/>
          <w:sz w:val="20"/>
        </w:rPr>
      </w:pPr>
      <w:r>
        <w:rPr>
          <w:rFonts w:ascii="Times New Roman" w:hAnsi="Times New Roman"/>
          <w:sz w:val="20"/>
        </w:rPr>
        <w:t>(b) The Net Proceeds Offer shall remain open for a period of 20 Business Days following its commencement, except to the extent that a longer period is required by applicable law (the “</w:t>
      </w:r>
      <w:r>
        <w:rPr>
          <w:rFonts w:ascii="Times New Roman" w:hAnsi="Times New Roman"/>
          <w:b/>
          <w:sz w:val="20"/>
        </w:rPr>
        <w:t>Net Proceeds Offer Period</w:t>
      </w:r>
      <w:r>
        <w:rPr>
          <w:rFonts w:ascii="Times New Roman" w:hAnsi="Times New Roman"/>
          <w:sz w:val="20"/>
        </w:rPr>
        <w:t>”). No later than five (5) Business Days after the termination of the Net Proceeds Offer Period (the “</w:t>
      </w:r>
      <w:r>
        <w:rPr>
          <w:rFonts w:ascii="Times New Roman" w:hAnsi="Times New Roman"/>
          <w:b/>
          <w:sz w:val="20"/>
        </w:rPr>
        <w:t>Net Proceeds Purchase Date</w:t>
      </w:r>
      <w:r>
        <w:rPr>
          <w:rFonts w:ascii="Times New Roman" w:hAnsi="Times New Roman"/>
          <w:sz w:val="20"/>
        </w:rPr>
        <w:t>”), the Company shall purchase the principal amount of Notes required to be purchased pursuant to this Section 4.16 (the “</w:t>
      </w:r>
      <w:r>
        <w:rPr>
          <w:rFonts w:ascii="Times New Roman" w:hAnsi="Times New Roman"/>
          <w:b/>
          <w:sz w:val="20"/>
        </w:rPr>
        <w:t>Net Proceeds Offer Amount</w:t>
      </w:r>
      <w:r>
        <w:rPr>
          <w:rFonts w:ascii="Times New Roman" w:hAnsi="Times New Roman"/>
          <w:sz w:val="20"/>
        </w:rPr>
        <w:t xml:space="preserve">”) or, if less than the Net Proceeds Offer Amount has been so validly tendered, all Notes validly tendered in response to the Net Proceeds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the Net Proceeds Purchase Date is on or after an Regular Record Date and on or before the related Interest Payment Date, any accrued and unpaid interest shall be paid to the Person in whose name a Note is registered at the close of business on such record date, and no Additional Interest shall be payable to Holders who tender Notes pursuant to the Net Proceeds Offer. </w:t>
      </w:r>
    </w:p>
    <w:p>
      <w:pPr>
        <w:pStyle w:val="TextBody"/>
        <w:bidi w:val="0"/>
        <w:spacing w:before="240" w:after="0"/>
        <w:jc w:val="left"/>
        <w:rPr>
          <w:rFonts w:ascii="Times New Roman" w:hAnsi="Times New Roman"/>
          <w:sz w:val="20"/>
        </w:rPr>
      </w:pPr>
      <w:r>
        <w:rPr>
          <w:rFonts w:ascii="Times New Roman" w:hAnsi="Times New Roman"/>
          <w:sz w:val="20"/>
        </w:rPr>
        <w:t xml:space="preserve">(d) On or before the Net Proceeds Purchase Date, the Company shall, to the extent lawful, accept for payment, on a pro rata basis to the extent necessary, the Net Proceeds Offer Amount of Notes or portions of Notes so validly tendered and not properly withdrawn pursuant to the Net Proceeds Offer, or if less than the Net Proceeds Offer Amount has been validly tendered and not properly withdrawn, all Notes so validly tendered and not properly withdrawn. The Company or the Paying Agent, as the case may be, shall promptly (but in any case not later than five (5) Business Days after termination of the Net Proceeds Offer Period) mail or deliver to each tendering holder an amount equal to the purchase price of the Notes so validly tendered and not properly withdrawn by such holder and accepted by the Company for purchase, and, in connection with Physical Notes, the Company shall promptly issue a new Note, and the Trustee, upon delivery of an Officer’s Certificate, shall authenticate and mail or deliver such new Note to such holder, in a principal amount equal to any unpurchased portion of the Note surrendered. Any Note not so accepted shall be promptly mailed or delivered by the Company to the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15.05 </w:t>
      </w:r>
      <w:r>
        <w:rPr>
          <w:rFonts w:ascii="Times New Roman" w:hAnsi="Times New Roman"/>
          <w:i/>
          <w:sz w:val="20"/>
        </w:rPr>
        <w:t>Covenant to Comply with Applicable Laws Upon Repurchase of Notes</w:t>
      </w:r>
      <w:r>
        <w:rPr>
          <w:rFonts w:ascii="Times New Roman" w:hAnsi="Times New Roman"/>
          <w:sz w:val="20"/>
        </w:rPr>
        <w:t xml:space="preserve">. In connection with any repurchase offer upon a Fundamental Change or Net Proceeds Offer pursuant to this Article 15, the Company will, if required: </w:t>
      </w:r>
    </w:p>
    <w:p>
      <w:pPr>
        <w:pStyle w:val="TextBody"/>
        <w:bidi w:val="0"/>
        <w:spacing w:before="120" w:after="0"/>
        <w:jc w:val="left"/>
        <w:rPr>
          <w:rFonts w:ascii="Times New Roman" w:hAnsi="Times New Roman"/>
          <w:sz w:val="20"/>
        </w:rPr>
      </w:pPr>
      <w:r>
        <w:rPr>
          <w:rFonts w:ascii="Times New Roman" w:hAnsi="Times New Roman"/>
          <w:sz w:val="20"/>
        </w:rPr>
        <w:t xml:space="preserve">(i) comply with the tender offer rules under the Exchange Act that may then be applicable; </w:t>
      </w:r>
    </w:p>
    <w:p>
      <w:pPr>
        <w:pStyle w:val="TextBody"/>
        <w:bidi w:val="0"/>
        <w:spacing w:before="120" w:after="0"/>
        <w:jc w:val="left"/>
        <w:rPr>
          <w:rFonts w:ascii="Times New Roman" w:hAnsi="Times New Roman"/>
          <w:sz w:val="20"/>
        </w:rPr>
      </w:pPr>
      <w:r>
        <w:rPr>
          <w:rFonts w:ascii="Times New Roman" w:hAnsi="Times New Roman"/>
          <w:sz w:val="20"/>
        </w:rPr>
        <w:t xml:space="preserve">(ii) file a Schedule TO or any other required schedule under the Exchange Act; and </w:t>
      </w:r>
    </w:p>
    <w:p>
      <w:pPr>
        <w:pStyle w:val="TextBody"/>
        <w:bidi w:val="0"/>
        <w:spacing w:before="120" w:after="0"/>
        <w:jc w:val="left"/>
        <w:rPr>
          <w:rFonts w:ascii="Times New Roman" w:hAnsi="Times New Roman"/>
          <w:sz w:val="20"/>
        </w:rPr>
      </w:pPr>
      <w:r>
        <w:rPr>
          <w:rFonts w:ascii="Times New Roman" w:hAnsi="Times New Roman"/>
          <w:sz w:val="20"/>
        </w:rPr>
        <w:t xml:space="preserve">(iii) otherwise comply in all material respects with all federal and state securities laws in connection with any offer by the Company to repurchase the Notes; </w:t>
      </w:r>
    </w:p>
    <w:p>
      <w:pPr>
        <w:pStyle w:val="TextBody"/>
        <w:bidi w:val="0"/>
        <w:spacing w:before="240" w:after="0"/>
        <w:jc w:val="left"/>
        <w:rPr>
          <w:rFonts w:ascii="Times New Roman" w:hAnsi="Times New Roman"/>
          <w:sz w:val="20"/>
        </w:rPr>
      </w:pPr>
      <w:r>
        <w:rPr>
          <w:rFonts w:ascii="Times New Roman" w:hAnsi="Times New Roman"/>
          <w:sz w:val="20"/>
        </w:rPr>
        <w:t xml:space="preserve">in each case, so as to permit the rights and obligations under this Article 15 to be exercised in the time and in the manner specified in this Article 15. To the extent that the provisions of any securities laws or regulations conflict with the provisions of this Article 15 relating to the Company’s obligations to repurchase the Notes upon a Fundamental Change or in connection with a Net Proceeds Offer, the Company will comply with the applicable securities laws and regulations and will not be deemed to have breached its obligations under such provisions of this Article 15 by virtue of such conflict.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15.06 </w:t>
      </w:r>
      <w:r>
        <w:rPr>
          <w:rFonts w:ascii="Times New Roman" w:hAnsi="Times New Roman"/>
          <w:i/>
          <w:sz w:val="20"/>
        </w:rPr>
        <w:t>Optional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may redeem for cash all or part of the Notes, subject to the limitations in this Section 15.06, at its option (an “</w:t>
      </w:r>
      <w:r>
        <w:rPr>
          <w:rFonts w:ascii="Times New Roman" w:hAnsi="Times New Roman"/>
          <w:b/>
          <w:sz w:val="20"/>
        </w:rPr>
        <w:t>Optional Redemption</w:t>
      </w:r>
      <w:r>
        <w:rPr>
          <w:rFonts w:ascii="Times New Roman" w:hAnsi="Times New Roman"/>
          <w:sz w:val="20"/>
        </w:rPr>
        <w:t>”), if the Last Reported Sale Price of Common Stock has been at least 150% of the Conversion Price then in effect for at least 20 Trading Days (whether or not consecutive), during any 30 consecutive Trading Day period ending on, and including, the Trading Day immediately preceding the date on which the Company provides a notice of redemption (the “</w:t>
      </w:r>
      <w:r>
        <w:rPr>
          <w:rFonts w:ascii="Times New Roman" w:hAnsi="Times New Roman"/>
          <w:b/>
          <w:sz w:val="20"/>
        </w:rPr>
        <w:t>Optional Redemption Notice Date</w:t>
      </w:r>
      <w:r>
        <w:rPr>
          <w:rFonts w:ascii="Times New Roman" w:hAnsi="Times New Roman"/>
          <w:sz w:val="20"/>
        </w:rPr>
        <w:t>” and, the date of such Optional Redemption, the “</w:t>
      </w:r>
      <w:r>
        <w:rPr>
          <w:rFonts w:ascii="Times New Roman" w:hAnsi="Times New Roman"/>
          <w:b/>
          <w:sz w:val="20"/>
        </w:rPr>
        <w:t>Optional Redemption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less than $60.0 million aggregate principal amount of the Existing Notes are outstanding as of the time the Company sends the related notice of redemption, the Company may also redeem for cash, at its option, up to an aggregate amount of Notes, together with any amount converted pursuant to clause (b)(ii) under Section 16.01, equal to 75% of principal amount of Notes issued and outstanding immediately following the final settlement date of the Exchange Offer pursuant to the terms thereof in effect immediately prior to the Issue Date (whether or not such principal amount remains outstanding at the time of such Optional Redemption), if the Last Reported Sale Price of Common Stock has been at least 100% of the Conversion Price then in effect for at least 20 Trading Days (whether or not consecutive), during any 30 consecutive Trading Day period ending on, and including, the Trading Day immediately preceding such redemption notice date. The Trustee shall have no duty to confirm or verify the Company’s determination that the Notes are callable for redemption or to calculate or verify the redemption price owed on the Notes. </w:t>
      </w:r>
    </w:p>
    <w:p>
      <w:pPr>
        <w:pStyle w:val="TextBody"/>
        <w:bidi w:val="0"/>
        <w:spacing w:before="240" w:after="0"/>
        <w:jc w:val="left"/>
        <w:rPr>
          <w:rFonts w:ascii="Times New Roman" w:hAnsi="Times New Roman"/>
          <w:sz w:val="20"/>
        </w:rPr>
      </w:pPr>
      <w:r>
        <w:rPr>
          <w:rFonts w:ascii="Times New Roman" w:hAnsi="Times New Roman"/>
          <w:sz w:val="20"/>
        </w:rPr>
        <w:t xml:space="preserve">(c) The Optional Redemption Date shall be a Business Day of the Company’s choosing that is not less than 45 nor more than 60 Scheduled Trading Days after the date the Company sends the related Optional Redemption Notice. However, if the Company elects, or is deemed to have elected, to settle all conversions with a Conversion Date that occurs on or after the date the Company sends such Optional Redemption Notice and before the related Optional Redemption Date by Physical Settlement, then the Company may instead elect to choose an Optional Redemption Date that is a Business Day not less than fifteen (15) nor more than sixty (60) calendar days after the date the Company sends such Optional Redemption Notice. </w:t>
      </w:r>
    </w:p>
    <w:p>
      <w:pPr>
        <w:pStyle w:val="TextBody"/>
        <w:bidi w:val="0"/>
        <w:spacing w:before="240" w:after="0"/>
        <w:jc w:val="left"/>
        <w:rPr>
          <w:rFonts w:ascii="Times New Roman" w:hAnsi="Times New Roman"/>
          <w:sz w:val="20"/>
        </w:rPr>
      </w:pPr>
      <w:r>
        <w:rPr>
          <w:rFonts w:ascii="Times New Roman" w:hAnsi="Times New Roman"/>
          <w:sz w:val="20"/>
        </w:rPr>
        <w:t xml:space="preserve">(d) All or any portion of a Holder’s Notes that have been selected for Optional Redemption may instead be delivered for conversion at any time prior to the date that is two Business Days prior to the Optional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(e) The Optional Redemption price will be equal to 100% of the principal amount of the Notes to be redeemed, </w:t>
      </w:r>
      <w:r>
        <w:rPr>
          <w:rFonts w:ascii="Times New Roman" w:hAnsi="Times New Roman"/>
          <w:i/>
          <w:sz w:val="20"/>
        </w:rPr>
        <w:t>plus</w:t>
      </w:r>
      <w:r>
        <w:rPr>
          <w:rFonts w:ascii="Times New Roman" w:hAnsi="Times New Roman"/>
          <w:sz w:val="20"/>
        </w:rPr>
        <w:t xml:space="preserve"> accrued and unpaid interest to, but excluding, the Optional Redemption Date (unless the redemption date falls after a Regular Record Date but on or prior to the immediately succeeding Interest Payment Date, in which case the Company will pay, on or, at its election, before such Interest Payment Date, the full amount of accrued and unpaid interest to the Holder of record as of the close of business on such Regular Record Date), and the Optional Redemption price will be equal to 100% of the principal amount of the Notes to be redeemed </w:t>
      </w:r>
      <w:r>
        <w:rPr>
          <w:rFonts w:ascii="Times New Roman" w:hAnsi="Times New Roman"/>
          <w:i/>
          <w:sz w:val="20"/>
        </w:rPr>
        <w:t>plus</w:t>
      </w:r>
      <w:r>
        <w:rPr>
          <w:rFonts w:ascii="Times New Roman" w:hAnsi="Times New Roman"/>
          <w:sz w:val="20"/>
        </w:rPr>
        <w:t xml:space="preserve"> a “make-whole” premium payable as the number of additional shares of Common Stock by which the shares issuable upon conversion of the Notes in connection with a Mandatory Conversion on such date would have been increased as a result of the adjustment described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14.03 if such Optional Redemption had instead been in the form of a Mandatory Conversion. Any such make-whole amount shall be cash settled in the amount calculated in Section 14.03 prior to applying the Dollar Conversion Price as set forth therein and in the manner set forth under Section 14.02 to the extent the Liquidity Conditions are not met as of the Optional Redemption Notice Date. The Optional Redemption Date must be a Business Day. </w:t>
      </w:r>
    </w:p>
    <w:p>
      <w:pPr>
        <w:pStyle w:val="TextBody"/>
        <w:bidi w:val="0"/>
        <w:spacing w:before="240" w:after="0"/>
        <w:jc w:val="left"/>
        <w:rPr>
          <w:rFonts w:ascii="Times New Roman" w:hAnsi="Times New Roman"/>
          <w:sz w:val="20"/>
        </w:rPr>
      </w:pPr>
      <w:r>
        <w:rPr>
          <w:rFonts w:ascii="Times New Roman" w:hAnsi="Times New Roman"/>
          <w:sz w:val="20"/>
        </w:rPr>
        <w:t>(f) To call any Notes for Optional Redemption, the Company must send to each Holder of such Notes, the Trustee and the Paying Agent a written notice of such Optional Redemption (an “</w:t>
      </w:r>
      <w:r>
        <w:rPr>
          <w:rFonts w:ascii="Times New Roman" w:hAnsi="Times New Roman"/>
          <w:b/>
          <w:sz w:val="20"/>
        </w:rPr>
        <w:t>Optional Redemption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Such Optional Redemption Notice must state: </w:t>
      </w:r>
    </w:p>
    <w:p>
      <w:pPr>
        <w:pStyle w:val="TextBody"/>
        <w:bidi w:val="0"/>
        <w:spacing w:before="120" w:after="0"/>
        <w:jc w:val="left"/>
        <w:rPr>
          <w:rFonts w:ascii="Times New Roman" w:hAnsi="Times New Roman"/>
          <w:sz w:val="20"/>
        </w:rPr>
      </w:pPr>
      <w:r>
        <w:rPr>
          <w:rFonts w:ascii="Times New Roman" w:hAnsi="Times New Roman"/>
          <w:sz w:val="20"/>
        </w:rPr>
        <w:t xml:space="preserve">(i) that such Notes have been called for Optional Redemption, briefly describing the Company’s Optional Redemption right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(ii) the Optional Redemption Date for such 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(iii) the Optional Redemption price per $1,000 principal amount of Notes for such Redemption (and, if the Optional Redemption Date is after a Regular Record Date but on or prior to the immediately succeeding Interest Payment Date, the amount, manner and timing of the interest payment payable pursuant to Section 15.06(e)); </w:t>
      </w:r>
    </w:p>
    <w:p>
      <w:pPr>
        <w:pStyle w:val="TextBody"/>
        <w:bidi w:val="0"/>
        <w:spacing w:before="120" w:after="0"/>
        <w:jc w:val="left"/>
        <w:rPr>
          <w:rFonts w:ascii="Times New Roman" w:hAnsi="Times New Roman"/>
          <w:sz w:val="20"/>
        </w:rPr>
      </w:pPr>
      <w:r>
        <w:rPr>
          <w:rFonts w:ascii="Times New Roman" w:hAnsi="Times New Roman"/>
          <w:sz w:val="20"/>
        </w:rPr>
        <w:t xml:space="preserve">(iv) the name and address of the Paying Agent and the Conversion Agent; </w:t>
      </w:r>
    </w:p>
    <w:p>
      <w:pPr>
        <w:pStyle w:val="TextBody"/>
        <w:bidi w:val="0"/>
        <w:spacing w:before="120" w:after="0"/>
        <w:jc w:val="left"/>
        <w:rPr>
          <w:rFonts w:ascii="Times New Roman" w:hAnsi="Times New Roman"/>
          <w:sz w:val="20"/>
        </w:rPr>
      </w:pPr>
      <w:r>
        <w:rPr>
          <w:rFonts w:ascii="Times New Roman" w:hAnsi="Times New Roman"/>
          <w:sz w:val="20"/>
        </w:rPr>
        <w:t xml:space="preserve">(v) that Notes called for Optional Redemption may be converted at any time before the close of business on the second (2nd) Scheduled Trading Day immediately before the Optional Redemption Date (or, if the Company fails to pay the Optional Redemption price due on such Optional Redemption Date in full, at any time until such time as the Company pays such Optional Redemption price in full); </w:t>
      </w:r>
    </w:p>
    <w:p>
      <w:pPr>
        <w:pStyle w:val="TextBody"/>
        <w:bidi w:val="0"/>
        <w:spacing w:before="120" w:after="0"/>
        <w:jc w:val="left"/>
        <w:rPr>
          <w:rFonts w:ascii="Times New Roman" w:hAnsi="Times New Roman"/>
          <w:sz w:val="20"/>
        </w:rPr>
      </w:pPr>
      <w:r>
        <w:rPr>
          <w:rFonts w:ascii="Times New Roman" w:hAnsi="Times New Roman"/>
          <w:sz w:val="20"/>
        </w:rPr>
        <w:t xml:space="preserve">(vi) the Conversion Rate in effect on the Optional Redemption Notice Date for such Optional Redemption and a description and quantification of any adjustments to the Conversion Rate that may result from such 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(vii) the Settlement Method that will apply to all conversions of Notes with a Conversion Date that occurs on or after such Optional Redemption Notice Date and on or before the second (2nd) Scheduled Trading Day before such Optional Redemption Date; and </w:t>
      </w:r>
    </w:p>
    <w:p>
      <w:pPr>
        <w:pStyle w:val="TextBody"/>
        <w:bidi w:val="0"/>
        <w:spacing w:before="120" w:after="0"/>
        <w:jc w:val="left"/>
        <w:rPr>
          <w:rFonts w:ascii="Times New Roman" w:hAnsi="Times New Roman"/>
          <w:sz w:val="20"/>
        </w:rPr>
      </w:pPr>
      <w:r>
        <w:rPr>
          <w:rFonts w:ascii="Times New Roman" w:hAnsi="Times New Roman"/>
          <w:sz w:val="20"/>
        </w:rPr>
        <w:t xml:space="preserve">(viii) the CUSIP and ISIN numbers, if any, of the Notes. </w:t>
      </w:r>
    </w:p>
    <w:p>
      <w:pPr>
        <w:pStyle w:val="TextBody"/>
        <w:bidi w:val="0"/>
        <w:spacing w:before="240" w:after="0"/>
        <w:jc w:val="left"/>
        <w:rPr>
          <w:rFonts w:ascii="Times New Roman" w:hAnsi="Times New Roman"/>
          <w:sz w:val="20"/>
        </w:rPr>
      </w:pPr>
      <w:r>
        <w:rPr>
          <w:rFonts w:ascii="Times New Roman" w:hAnsi="Times New Roman"/>
          <w:sz w:val="20"/>
        </w:rPr>
        <w:t xml:space="preserve">On or before the Optional Redemption Notice Date, the Company will send a copy of such Optional Redemption Notice to the Trustee and the Paying Agent. At the Company’s request, the Trustee will give the Optional Redemption Notice in the Company’s name and at its expense, provided that the Company delivers to the Trustee, at least five (5) Business Days in the case of Physical Notes and three (3) Business Days in the case of Global Notes prior to the Optional Redemption Notice Date (unless the Trustee agrees to a shorter period), an Officer’s Certificate requesting that the Trustee give such notice and setting forth the information to be stated in such notice as provided in this Section 15.06(f).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Subject to the applicable rules and procedures of the Depositary, if fewer than all of the outstanding Notes are to be redeemed, the Company shall select the Notes or portions thereof to be redeemed (in principal amounts of $1,000 or multiples thereof) by lot; </w:t>
      </w:r>
      <w:r>
        <w:rPr>
          <w:rFonts w:ascii="Times New Roman" w:hAnsi="Times New Roman"/>
          <w:i/>
          <w:sz w:val="20"/>
        </w:rPr>
        <w:t>provided</w:t>
      </w:r>
      <w:r>
        <w:rPr>
          <w:rFonts w:ascii="Times New Roman" w:hAnsi="Times New Roman"/>
          <w:sz w:val="20"/>
        </w:rPr>
        <w:t xml:space="preserve"> that, for Notes not held through the facilities of the Depositary, the Company may also redeem such Notes on a pro rata basis at its option. If any Note selected for partial redemption is submitted for conversion in part after such selection, the portion of the Note submitted for conversion shall be deemed (so far as may be possible) to be the portion selected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15.07 </w:t>
      </w:r>
      <w:r>
        <w:rPr>
          <w:rFonts w:ascii="Times New Roman" w:hAnsi="Times New Roman"/>
          <w:i/>
          <w:sz w:val="20"/>
        </w:rPr>
        <w:t>Restrictions on Optional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may not call the notes for Optional Redemption if the Optional Redemption Date would fall after the Maturity Date.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not exercise an Optional Redemption of the Notes on any date if the principal amount of the Notes has been accelerated in accordance with the terms of this Indenture, and such acceleration has not been rescinded, on or prior to the Mandatory Conversion Date (except in the case of an acceleration resulting from a Default by the Company in the payment of the redemption price with respect to such Notes). </w:t>
      </w:r>
    </w:p>
    <w:p>
      <w:pPr>
        <w:pStyle w:val="TextBody"/>
        <w:bidi w:val="0"/>
        <w:spacing w:before="480" w:after="0"/>
        <w:jc w:val="center"/>
        <w:rPr>
          <w:rFonts w:ascii="Times New Roman" w:hAnsi="Times New Roman"/>
          <w:sz w:val="20"/>
        </w:rPr>
      </w:pPr>
      <w:r>
        <w:rPr>
          <w:rFonts w:ascii="Times New Roman" w:hAnsi="Times New Roman"/>
          <w:sz w:val="20"/>
        </w:rPr>
        <w:t xml:space="preserve">Article 16. </w:t>
      </w:r>
    </w:p>
    <w:p>
      <w:pPr>
        <w:pStyle w:val="TextBody"/>
        <w:bidi w:val="0"/>
        <w:spacing w:before="0" w:after="0"/>
        <w:jc w:val="center"/>
        <w:rPr>
          <w:rFonts w:ascii="Times New Roman" w:hAnsi="Times New Roman"/>
          <w:sz w:val="20"/>
        </w:rPr>
      </w:pPr>
      <w:r>
        <w:rPr>
          <w:rFonts w:ascii="Times New Roman" w:hAnsi="Times New Roman"/>
          <w:sz w:val="20"/>
        </w:rPr>
        <w:t xml:space="preserve">MANDATORY CONVERSION </w:t>
      </w:r>
    </w:p>
    <w:p>
      <w:pPr>
        <w:pStyle w:val="TextBody"/>
        <w:bidi w:val="0"/>
        <w:spacing w:before="240" w:after="0"/>
        <w:jc w:val="left"/>
        <w:rPr>
          <w:rFonts w:ascii="Times New Roman" w:hAnsi="Times New Roman"/>
          <w:sz w:val="20"/>
        </w:rPr>
      </w:pPr>
      <w:r>
        <w:rPr>
          <w:rFonts w:ascii="Times New Roman" w:hAnsi="Times New Roman"/>
          <w:sz w:val="20"/>
        </w:rPr>
        <w:t xml:space="preserve">Section 16.01 </w:t>
      </w:r>
      <w:r>
        <w:rPr>
          <w:rFonts w:ascii="Times New Roman" w:hAnsi="Times New Roman"/>
          <w:i/>
          <w:sz w:val="20"/>
        </w:rPr>
        <w:t>Mandatory Conversion</w:t>
      </w:r>
      <w:r>
        <w:rPr>
          <w:rFonts w:ascii="Times New Roman" w:hAnsi="Times New Roman"/>
          <w:sz w:val="20"/>
        </w:rPr>
        <w:t>. On or after the Requisite Shareholder Approval Date, the Company may exercise a mandatory conversion (the “</w:t>
      </w:r>
      <w:r>
        <w:rPr>
          <w:rFonts w:ascii="Times New Roman" w:hAnsi="Times New Roman"/>
          <w:b/>
          <w:sz w:val="20"/>
        </w:rPr>
        <w:t>Mandatory Conversion</w:t>
      </w:r>
      <w:r>
        <w:rPr>
          <w:rFonts w:ascii="Times New Roman" w:hAnsi="Times New Roman"/>
          <w:sz w:val="20"/>
        </w:rPr>
        <w:t xml:space="preserve">”), if (a) the Company has not exercised either (i) a Mandatory Equitization pursuant to Section 17.01 or (ii) a Mandatory Conversion pursuant to this Section 16.01 on any date in the preceding 90-day period, and (b) either: (i) the Last Reported Sale Price of the Common Stock has been at least 150% of the Conversion Price then in effect for at least 20 Trading Days (whether or not consecutive), including the Trading Day immediately preceding the Mandatory Conversion Notice Date, during any 30 consecutive Trading Day period ending on, and including, the Trading Day immediately preceding such Mandatory Conversion Notice Date; or (ii) if less than $60.0 million aggregate principal amount of the Existing Notes are outstanding as of the Mandatory Conversion Notice Date, the Last Reported Sale Price of the Common Stock has been at least 100% of the Conversion Price then in effect for at least 20 Trading Days (whether or not consecutive), including the Trading Day immediately preceding the Mandatory Conversion Notice Date, during any 30 consecutive Trading Day period ending on, and including, the Trading Day immediately preceding such Mandatory Conversion Notice Date; </w:t>
      </w:r>
      <w:r>
        <w:rPr>
          <w:rFonts w:ascii="Times New Roman" w:hAnsi="Times New Roman"/>
          <w:i/>
          <w:sz w:val="20"/>
        </w:rPr>
        <w:t>provided</w:t>
      </w:r>
      <w:r>
        <w:rPr>
          <w:rFonts w:ascii="Times New Roman" w:hAnsi="Times New Roman"/>
          <w:sz w:val="20"/>
        </w:rPr>
        <w:t xml:space="preserve"> that, for any Mandatory Conversion, the aggregate principal amount of Notes converted pursuant to such Mandatory Conversion shall not cause the number of shares of Common Stock issued in such Mandatory Conversion to exceed the greater of (A) the product of (I) 4.0 and (II) the average daily trading volume for the 20 Trading Days preceding the Mandatory Conversion Notice Date and (B) 15% of the number of shares of Common Stock issuable upon conversion of all of the Notes issued as of the final settlement date of the Exchange Offer pursuant to the terms thereof in effect immediately prior to the Issue Date. The Conversion Rate will be increased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Mandatory Conversions occurring prior to October 15, 2028, as described under Section 14.03. The aggregate amount of all Notes redeemed or converted after the Issue Date pursuant to clause (b)(i) hereof and the third sentence under Section 15.06(b) will not exceed the amount of Notes equal to 75% of principal amount of Notes issued and outstanding immediately following the final settlement date of the Exchange Offer pursuant to the terms thereof in effect immediately prior to the Issue Date (whether or not such principal amount remains outstanding at the time of such Mandatory Conversion). </w:t>
      </w:r>
    </w:p>
    <w:p>
      <w:pPr>
        <w:pStyle w:val="TextBody"/>
        <w:bidi w:val="0"/>
        <w:spacing w:before="240" w:after="0"/>
        <w:jc w:val="left"/>
        <w:rPr>
          <w:rFonts w:ascii="Times New Roman" w:hAnsi="Times New Roman"/>
          <w:sz w:val="20"/>
        </w:rPr>
      </w:pPr>
      <w:r>
        <w:rPr>
          <w:rFonts w:ascii="Times New Roman" w:hAnsi="Times New Roman"/>
          <w:sz w:val="20"/>
        </w:rPr>
        <w:t xml:space="preserve">Section 16.02 </w:t>
      </w:r>
      <w:r>
        <w:rPr>
          <w:rFonts w:ascii="Times New Roman" w:hAnsi="Times New Roman"/>
          <w:i/>
          <w:sz w:val="20"/>
        </w:rPr>
        <w:t>Notice of Mandatory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Liquidity Conditions being met as of the date of such notice, the Company may exercise its Mandatory Conversion right to force the conversion of all Notes pursuant to Section 16.01 by delivering or causing to be delivered a notice of such Mandatory Conversion (a “</w:t>
      </w:r>
      <w:r>
        <w:rPr>
          <w:rFonts w:ascii="Times New Roman" w:hAnsi="Times New Roman"/>
          <w:b/>
          <w:sz w:val="20"/>
        </w:rPr>
        <w:t>Mandatory Conversion Notice</w:t>
      </w:r>
      <w:r>
        <w:rPr>
          <w:rFonts w:ascii="Times New Roman" w:hAnsi="Times New Roman"/>
          <w:sz w:val="20"/>
        </w:rPr>
        <w:t>,” and the date that such Mandatory Conversion Notice is sent, the “</w:t>
      </w:r>
      <w:r>
        <w:rPr>
          <w:rFonts w:ascii="Times New Roman" w:hAnsi="Times New Roman"/>
          <w:b/>
          <w:sz w:val="20"/>
        </w:rPr>
        <w:t>Mandatory Conversion Notice Date</w:t>
      </w:r>
      <w:r>
        <w:rPr>
          <w:rFonts w:ascii="Times New Roman" w:hAnsi="Times New Roman"/>
          <w:sz w:val="20"/>
        </w:rPr>
        <w:t>”) that fixes a date for the conversion (the “</w:t>
      </w:r>
      <w:r>
        <w:rPr>
          <w:rFonts w:ascii="Times New Roman" w:hAnsi="Times New Roman"/>
          <w:b/>
          <w:sz w:val="20"/>
        </w:rPr>
        <w:t>Mandatory Conversion Date</w:t>
      </w:r>
      <w:r>
        <w:rPr>
          <w:rFonts w:ascii="Times New Roman" w:hAnsi="Times New Roman"/>
          <w:sz w:val="20"/>
        </w:rPr>
        <w:t xml:space="preserve">”) to Holders, the Trustee, the Conversion Agent and the Collateral Agent. The Mandatory Conversion Date shall function as a Conversion Date and will have the same effect as a duly complied with Conversion Date pursuant to Section 14.02(c) and Article 14. The Mandatory Conversion Notice shall specify a Mandatory Conversion Date that is not less than 45 nor more than 60 Trading Days after such Mandatory Conversion Notice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after the Requisite Shareholder Approval Date, the Company has elected to settle the Mandatory Conversion by Physical Settlement, then the Company may instead elect to choose a Mandatory Conversion Date that is a Business Day no more than 30, nor less than 5, calendar days after the Mandatory Conversion Notice Date. </w:t>
      </w:r>
    </w:p>
    <w:p>
      <w:pPr>
        <w:pStyle w:val="TextBody"/>
        <w:bidi w:val="0"/>
        <w:spacing w:before="240" w:after="0"/>
        <w:jc w:val="left"/>
        <w:rPr>
          <w:rFonts w:ascii="Times New Roman" w:hAnsi="Times New Roman"/>
          <w:sz w:val="20"/>
        </w:rPr>
      </w:pPr>
      <w:r>
        <w:rPr>
          <w:rFonts w:ascii="Times New Roman" w:hAnsi="Times New Roman"/>
          <w:sz w:val="20"/>
        </w:rPr>
        <w:t xml:space="preserve">(b) The Mandatory Conversion Notice, if delivered in the manner herein provided, shall be conclusively presumed to have been duly given, whether or not the Holder receives such notice. </w:t>
      </w:r>
    </w:p>
    <w:p>
      <w:pPr>
        <w:pStyle w:val="TextBody"/>
        <w:bidi w:val="0"/>
        <w:spacing w:before="240" w:after="0"/>
        <w:jc w:val="left"/>
        <w:rPr>
          <w:rFonts w:ascii="Times New Roman" w:hAnsi="Times New Roman"/>
          <w:sz w:val="20"/>
        </w:rPr>
      </w:pPr>
      <w:r>
        <w:rPr>
          <w:rFonts w:ascii="Times New Roman" w:hAnsi="Times New Roman"/>
          <w:sz w:val="20"/>
        </w:rPr>
        <w:t xml:space="preserve">(c) The Mandatory Conversion Notice shall specify: </w:t>
      </w:r>
    </w:p>
    <w:p>
      <w:pPr>
        <w:pStyle w:val="TextBody"/>
        <w:bidi w:val="0"/>
        <w:spacing w:before="120" w:after="0"/>
        <w:jc w:val="left"/>
        <w:rPr>
          <w:rFonts w:ascii="Times New Roman" w:hAnsi="Times New Roman"/>
          <w:sz w:val="20"/>
        </w:rPr>
      </w:pPr>
      <w:r>
        <w:rPr>
          <w:rFonts w:ascii="Times New Roman" w:hAnsi="Times New Roman"/>
          <w:sz w:val="20"/>
        </w:rPr>
        <w:t xml:space="preserve">(i) the Mandatory Conversion Date; </w:t>
      </w:r>
    </w:p>
    <w:p>
      <w:pPr>
        <w:pStyle w:val="TextBody"/>
        <w:bidi w:val="0"/>
        <w:spacing w:before="120" w:after="0"/>
        <w:jc w:val="left"/>
        <w:rPr>
          <w:rFonts w:ascii="Times New Roman" w:hAnsi="Times New Roman"/>
          <w:sz w:val="20"/>
        </w:rPr>
      </w:pPr>
      <w:r>
        <w:rPr>
          <w:rFonts w:ascii="Times New Roman" w:hAnsi="Times New Roman"/>
          <w:sz w:val="20"/>
        </w:rPr>
        <w:t xml:space="preserve">(ii) that on the Mandatory Conversion Date, a Conversion Date pursuant to Section 14.02(c) shall be deemed to occur; </w:t>
      </w:r>
    </w:p>
    <w:p>
      <w:pPr>
        <w:pStyle w:val="TextBody"/>
        <w:bidi w:val="0"/>
        <w:spacing w:before="120" w:after="0"/>
        <w:jc w:val="left"/>
        <w:rPr>
          <w:rFonts w:ascii="Times New Roman" w:hAnsi="Times New Roman"/>
          <w:sz w:val="20"/>
        </w:rPr>
      </w:pPr>
      <w:r>
        <w:rPr>
          <w:rFonts w:ascii="Times New Roman" w:hAnsi="Times New Roman"/>
          <w:sz w:val="20"/>
        </w:rPr>
        <w:t xml:space="preserve">(iii) the Settlement Method that will apply to the Mandatory Conversion (and the Specified Dollar Amount,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(iv) the Conversion Rate per $1,000 principal amount of Notes; </w:t>
      </w:r>
    </w:p>
    <w:p>
      <w:pPr>
        <w:pStyle w:val="TextBody"/>
        <w:bidi w:val="0"/>
        <w:spacing w:before="120" w:after="0"/>
        <w:jc w:val="left"/>
        <w:rPr>
          <w:rFonts w:ascii="Times New Roman" w:hAnsi="Times New Roman"/>
          <w:sz w:val="20"/>
        </w:rPr>
      </w:pPr>
      <w:r>
        <w:rPr>
          <w:rFonts w:ascii="Times New Roman" w:hAnsi="Times New Roman"/>
          <w:sz w:val="20"/>
        </w:rPr>
        <w:t xml:space="preserve">(v) the date the Conversion Obligation is expected to be settled in accordance with Section 14.02(c); </w:t>
      </w:r>
    </w:p>
    <w:p>
      <w:pPr>
        <w:pStyle w:val="TextBody"/>
        <w:bidi w:val="0"/>
        <w:spacing w:before="120" w:after="0"/>
        <w:jc w:val="left"/>
        <w:rPr>
          <w:rFonts w:ascii="Times New Roman" w:hAnsi="Times New Roman"/>
          <w:sz w:val="20"/>
        </w:rPr>
      </w:pPr>
      <w:r>
        <w:rPr>
          <w:rFonts w:ascii="Times New Roman" w:hAnsi="Times New Roman"/>
          <w:sz w:val="20"/>
        </w:rPr>
        <w:t xml:space="preserve">(vi) the CUSIP, ISIN or other similar numbers, if any, assigned to such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Economic Interest Holders that have elected the Opt-In Procedures in Section 14.14, the Mandatory Conversion Notice shall specify that such Economic Interest Holders may provide notice and a representation to the Company of the number of shares of common stock beneficially owned by the Economic Interest Holder together with its Attribution Parties prior to such issuance up to five (5) Business Days prior to the date of settlement of 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Mandatory Conversion Notice shall be irrevocable. </w:t>
      </w:r>
    </w:p>
    <w:p>
      <w:pPr>
        <w:pStyle w:val="TextBody"/>
        <w:bidi w:val="0"/>
        <w:spacing w:before="240" w:after="0"/>
        <w:jc w:val="left"/>
        <w:rPr>
          <w:rFonts w:ascii="Times New Roman" w:hAnsi="Times New Roman"/>
          <w:sz w:val="20"/>
        </w:rPr>
      </w:pPr>
      <w:r>
        <w:rPr>
          <w:rFonts w:ascii="Times New Roman" w:hAnsi="Times New Roman"/>
          <w:sz w:val="20"/>
        </w:rPr>
        <w:t xml:space="preserve">Section 16.03 </w:t>
      </w:r>
      <w:r>
        <w:rPr>
          <w:rFonts w:ascii="Times New Roman" w:hAnsi="Times New Roman"/>
          <w:i/>
          <w:sz w:val="20"/>
        </w:rPr>
        <w:t>Restrictions on Mandatory Conversion</w:t>
      </w:r>
      <w:r>
        <w:rPr>
          <w:rFonts w:ascii="Times New Roman" w:hAnsi="Times New Roman"/>
          <w:sz w:val="20"/>
        </w:rPr>
        <w:t xml:space="preserve">. (a) The Company may not exercise a Mandatory Conversion of the Notes on any date if the principal amount of the Notes has been accelerated in accordance with the terms of this Indenture, and such acceleration has not been rescinded, on or prior to the Mandatory Conversion Date. </w:t>
      </w:r>
    </w:p>
    <w:p>
      <w:pPr>
        <w:pStyle w:val="TextBody"/>
        <w:bidi w:val="0"/>
        <w:spacing w:before="240" w:after="0"/>
        <w:jc w:val="left"/>
        <w:rPr>
          <w:rFonts w:ascii="Times New Roman" w:hAnsi="Times New Roman"/>
          <w:sz w:val="20"/>
        </w:rPr>
      </w:pPr>
      <w:r>
        <w:rPr>
          <w:rFonts w:ascii="Times New Roman" w:hAnsi="Times New Roman"/>
          <w:sz w:val="20"/>
        </w:rPr>
        <w:t xml:space="preserve">(b) Settlement of the Mandatory Conversion will be subject to Section 14.14. </w:t>
      </w:r>
    </w:p>
    <w:p>
      <w:pPr>
        <w:pStyle w:val="TextBody"/>
        <w:bidi w:val="0"/>
        <w:spacing w:before="240" w:after="0"/>
        <w:jc w:val="left"/>
        <w:rPr>
          <w:rFonts w:ascii="Times New Roman" w:hAnsi="Times New Roman"/>
          <w:sz w:val="20"/>
        </w:rPr>
      </w:pPr>
      <w:r>
        <w:rPr>
          <w:rFonts w:ascii="Times New Roman" w:hAnsi="Times New Roman"/>
          <w:sz w:val="20"/>
        </w:rPr>
        <w:t xml:space="preserve">(c) The Company may only exercise a Mandatory Conversion if the Mandatory Conversion Date will occur (i) if Cash Settlement or Combination Settlement applies to such Mandatory Conversion, prior to the 41st Scheduled Trading Day immediately preceding the Maturity Date, and (ii) if Physical Settlement applies to such Mandatory Conversion, prior to the 3rd Scheduled Trading Day immediately preceding the Maturity Date. </w:t>
      </w:r>
    </w:p>
    <w:p>
      <w:pPr>
        <w:pStyle w:val="TextBody"/>
        <w:bidi w:val="0"/>
        <w:spacing w:before="480" w:after="0"/>
        <w:jc w:val="center"/>
        <w:rPr>
          <w:rFonts w:ascii="Times New Roman" w:hAnsi="Times New Roman"/>
          <w:sz w:val="20"/>
        </w:rPr>
      </w:pPr>
      <w:r>
        <w:rPr>
          <w:rFonts w:ascii="Times New Roman" w:hAnsi="Times New Roman"/>
          <w:sz w:val="20"/>
        </w:rPr>
        <w:t xml:space="preserve">Article 17. </w:t>
      </w:r>
    </w:p>
    <w:p>
      <w:pPr>
        <w:pStyle w:val="TextBody"/>
        <w:bidi w:val="0"/>
        <w:spacing w:before="0" w:after="0"/>
        <w:jc w:val="center"/>
        <w:rPr>
          <w:rFonts w:ascii="Times New Roman" w:hAnsi="Times New Roman"/>
          <w:sz w:val="20"/>
        </w:rPr>
      </w:pPr>
      <w:r>
        <w:rPr>
          <w:rFonts w:ascii="Times New Roman" w:hAnsi="Times New Roman"/>
          <w:sz w:val="20"/>
        </w:rPr>
        <w:t xml:space="preserve">MANDATORY EQUITIZATION </w:t>
      </w:r>
    </w:p>
    <w:p>
      <w:pPr>
        <w:pStyle w:val="TextBody"/>
        <w:bidi w:val="0"/>
        <w:spacing w:before="240" w:after="0"/>
        <w:jc w:val="left"/>
        <w:rPr>
          <w:rFonts w:ascii="Times New Roman" w:hAnsi="Times New Roman"/>
          <w:sz w:val="20"/>
        </w:rPr>
      </w:pPr>
      <w:r>
        <w:rPr>
          <w:rFonts w:ascii="Times New Roman" w:hAnsi="Times New Roman"/>
          <w:sz w:val="20"/>
        </w:rPr>
        <w:t xml:space="preserve">Section 17.01 </w:t>
      </w:r>
      <w:r>
        <w:rPr>
          <w:rFonts w:ascii="Times New Roman" w:hAnsi="Times New Roman"/>
          <w:i/>
          <w:sz w:val="20"/>
        </w:rPr>
        <w:t>Mandatory Equitization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Notes shall not be eligible for Mandatory Equitization (as defined below) prior to April 15, 2026. On or after April 15, 2026, and from time to time prior to the Business Day before the Maturity Date, and subject to the Liquidity Conditions being met as of the date of such notice, if (i) less than $115.0 million aggregate principal amount of Existing Notes are outstanding, and (ii) the Company has not sent a Mandatory Equitization Notice pursuant to this Section 17.01 or Mandatory Conversion Notice pursuant to Section 16.01 in the previous ninety (90) calendar days, then the Company may, at its option, send a notice (a “</w:t>
      </w:r>
      <w:r>
        <w:rPr>
          <w:rFonts w:ascii="Times New Roman" w:hAnsi="Times New Roman"/>
          <w:b/>
          <w:sz w:val="20"/>
        </w:rPr>
        <w:t>Mandatory Equitization Notice</w:t>
      </w:r>
      <w:r>
        <w:rPr>
          <w:rFonts w:ascii="Times New Roman" w:hAnsi="Times New Roman"/>
          <w:sz w:val="20"/>
        </w:rPr>
        <w:t>”) announcing its intent to equitize up to (together with the amount of any Notes equitized pursuant to a Mandatory Equitization in the ninety (90) days preceding the proposed settlement date for such equitization) an amount of Notes equal to 20% of the principal amount of Notes issued and outstanding immediately following final settlement date of the Exchange Offer pursuant to the terms thereof in effect immediately prior to the Issue Date plus the aggregate amount of any PIK Interest issued up to the date of such Mandatory Equitization (in each case, whether or not such principal amount remains outstanding at the time of such Mandatory Equitization) (each such equitization, a “</w:t>
      </w:r>
      <w:r>
        <w:rPr>
          <w:rFonts w:ascii="Times New Roman" w:hAnsi="Times New Roman"/>
          <w:b/>
          <w:sz w:val="20"/>
        </w:rPr>
        <w:t>Mandatory Equitization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exercise its Mandatory Equitization right with respect to up to the amount of Notes, in the aggregate with all other Mandatory Equitizations, equal to (i) 37.5% of the principal amount of Notes issued and outstanding immediately following final settlement date of the Exchange Offer pursuant to the terms thereof in effect immediately prior to the Issue Date (whether or not such principal amount remains outstanding at the time of such Mandatory Equitization) if greater than $80.0 million aggregate principal amount of Existing Notes are outstanding or (ii) 75% of the principal amount of Notes issued and outstanding immediately following final settlement date of the Exchange Offer pursuant to the terms thereof in effect immediately prior to the Issue Date if $80.0 million or less in aggregate principal amount of Existing Notes are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number of shares of Common Stock deliverable per $1,000 principal amount of Notes to be equitized in connection with a Mandatory Equitization will equal: </w:t>
      </w:r>
    </w:p>
    <w:p>
      <w:pPr>
        <w:pStyle w:val="TextBody"/>
        <w:bidi w:val="0"/>
        <w:spacing w:before="240" w:after="0"/>
        <w:jc w:val="left"/>
        <w:rPr>
          <w:rFonts w:ascii="Times New Roman" w:hAnsi="Times New Roman"/>
          <w:sz w:val="20"/>
        </w:rPr>
      </w:pPr>
      <w:r>
        <w:rPr>
          <w:rFonts w:ascii="Times New Roman" w:hAnsi="Times New Roman"/>
          <w:sz w:val="20"/>
        </w:rPr>
        <w:t xml:space="preserve">(1000 / RP) + X,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sz w:val="20"/>
        </w:rPr>
        <w:t>RP = average of the Daily VWAPs (counting only those Daily VWAPs equal to or above $F) during the 20 VWAP Trading Day period beginning on the VWAP Trading Day immediately following the Company’s issuance of a Mandatory Equitization Notice (the “</w:t>
      </w:r>
      <w:r>
        <w:rPr>
          <w:rFonts w:ascii="Times New Roman" w:hAnsi="Times New Roman"/>
          <w:b/>
          <w:sz w:val="20"/>
        </w:rPr>
        <w:t>Mandatory Equitization Determination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 the greater of (i) $1.25 (which is not subject to anti-dilution adjustments, including pursuant to Section 14.05, but is subject to upwards increase from time to time, or decrease from time to time not below $1.25, at the sole discretion of the Company) and (ii) $0.05, which will be adjusted in a manner inversely proportional to, at the same time and for the same events for which, the Conversion Rate is adjusted pursuant to Section 14.05; and </w:t>
      </w:r>
    </w:p>
    <w:p>
      <w:pPr>
        <w:pStyle w:val="TextBody"/>
        <w:bidi w:val="0"/>
        <w:spacing w:before="240" w:after="0"/>
        <w:jc w:val="left"/>
        <w:rPr>
          <w:rFonts w:ascii="Times New Roman" w:hAnsi="Times New Roman"/>
          <w:sz w:val="20"/>
        </w:rPr>
      </w:pPr>
      <w:r>
        <w:rPr>
          <w:rFonts w:ascii="Times New Roman" w:hAnsi="Times New Roman"/>
          <w:sz w:val="20"/>
        </w:rPr>
        <w:t xml:space="preserve">X = a number of shares of Common Stock, if any, that the Conversion Rate would have been increased by pursuant to Section 14.03 without applying the cap of 1,029.2716 in the proviso thereto;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if the Daily VWAP for any VWAP Trading Day during the Mandatory Equitization Determination Period is less than $F, then the principal amount of Notes for which shares of Common Stock will be delivered in such Mandatory Equitization (“</w:t>
      </w:r>
      <w:r>
        <w:rPr>
          <w:rFonts w:ascii="Times New Roman" w:hAnsi="Times New Roman"/>
          <w:b/>
          <w:sz w:val="20"/>
        </w:rPr>
        <w:t>Y</w:t>
      </w:r>
      <w:r>
        <w:rPr>
          <w:rFonts w:ascii="Times New Roman" w:hAnsi="Times New Roman"/>
          <w:sz w:val="20"/>
        </w:rPr>
        <w:t xml:space="preserve">”) shall instead be: </w:t>
      </w:r>
    </w:p>
    <w:p>
      <w:pPr>
        <w:pStyle w:val="TextBody"/>
        <w:bidi w:val="0"/>
        <w:spacing w:before="240" w:after="0"/>
        <w:jc w:val="left"/>
        <w:rPr>
          <w:rFonts w:ascii="Times New Roman" w:hAnsi="Times New Roman"/>
          <w:sz w:val="20"/>
        </w:rPr>
      </w:pPr>
      <w:r>
        <w:rPr>
          <w:rFonts w:ascii="Times New Roman" w:hAnsi="Times New Roman"/>
          <w:sz w:val="20"/>
        </w:rPr>
        <w:t xml:space="preserve">ME - ME*(N/20),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rFonts w:ascii="Times New Roman" w:hAnsi="Times New Roman"/>
          <w:sz w:val="20"/>
        </w:rPr>
      </w:pPr>
      <w:r>
        <w:rPr>
          <w:rFonts w:ascii="Times New Roman" w:hAnsi="Times New Roman"/>
          <w:sz w:val="20"/>
        </w:rPr>
        <w:t xml:space="preserve">ME = the principal amount of Notes subject to a Mandatory Equitization as specified in the Mandatory Equitization Notice; and </w:t>
      </w:r>
    </w:p>
    <w:p>
      <w:pPr>
        <w:pStyle w:val="TextBody"/>
        <w:bidi w:val="0"/>
        <w:spacing w:before="240" w:after="0"/>
        <w:jc w:val="left"/>
        <w:rPr>
          <w:rFonts w:ascii="Times New Roman" w:hAnsi="Times New Roman"/>
          <w:sz w:val="20"/>
        </w:rPr>
      </w:pPr>
      <w:r>
        <w:rPr>
          <w:rFonts w:ascii="Times New Roman" w:hAnsi="Times New Roman"/>
          <w:sz w:val="20"/>
        </w:rPr>
        <w:t xml:space="preserve">N = the number of VWAP Trading Days during the Mandatory Equitization Determination Period that the Daily VWAP was less than $F; </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the Company may either (i) pay ME – Y in cash at an amount equal the principal amount of ME – Y or (ii) reduce the principal amount of Notes subject to such Mandatory Equitization by an amount equal to the principal amount of ME – Y (such options, the “</w:t>
      </w:r>
      <w:r>
        <w:rPr>
          <w:rFonts w:ascii="Times New Roman" w:hAnsi="Times New Roman"/>
          <w:b/>
          <w:sz w:val="20"/>
        </w:rPr>
        <w:t>Floor Remedy Options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All or any portion of a Holder’s Notes that have been selected for Mandatory Equitization may instead be delivered for conversion at any time until the date that is two Business Days prior to the date of settlement of the Mandatory Equitization, at the applicable Conversion Rate in accordance with Article 14. </w:t>
      </w:r>
    </w:p>
    <w:p>
      <w:pPr>
        <w:pStyle w:val="TextBody"/>
        <w:bidi w:val="0"/>
        <w:spacing w:before="240" w:after="0"/>
        <w:jc w:val="left"/>
        <w:rPr>
          <w:rFonts w:ascii="Times New Roman" w:hAnsi="Times New Roman"/>
          <w:sz w:val="20"/>
        </w:rPr>
      </w:pPr>
      <w:r>
        <w:rPr>
          <w:rFonts w:ascii="Times New Roman" w:hAnsi="Times New Roman"/>
          <w:sz w:val="20"/>
        </w:rPr>
        <w:t xml:space="preserve">(d) The Company will settle any Mandatory Equitization no later than two Trading Days following the last VWAP Trading Day in the definition of RP above. </w:t>
      </w:r>
    </w:p>
    <w:p>
      <w:pPr>
        <w:pStyle w:val="TextBody"/>
        <w:bidi w:val="0"/>
        <w:spacing w:before="240" w:after="0"/>
        <w:jc w:val="left"/>
        <w:rPr>
          <w:rFonts w:ascii="Times New Roman" w:hAnsi="Times New Roman"/>
          <w:sz w:val="20"/>
        </w:rPr>
      </w:pPr>
      <w:r>
        <w:rPr>
          <w:rFonts w:ascii="Times New Roman" w:hAnsi="Times New Roman"/>
          <w:sz w:val="20"/>
        </w:rPr>
        <w:t xml:space="preserve">Section 17.02 </w:t>
      </w:r>
      <w:r>
        <w:rPr>
          <w:rFonts w:ascii="Times New Roman" w:hAnsi="Times New Roman"/>
          <w:i/>
          <w:sz w:val="20"/>
        </w:rPr>
        <w:t>Mandatory Equitization Notice</w:t>
      </w:r>
      <w:r>
        <w:rPr>
          <w:rFonts w:ascii="Times New Roman" w:hAnsi="Times New Roman"/>
          <w:sz w:val="20"/>
        </w:rPr>
        <w:t xml:space="preserve">. A Mandatory Equitization Notice shall be delivered on a Business Day to Holders, the Trustee, the Conversion Agent and the Collateral Agent. A Mandatory Equitization Notice, if delivered in the manner herein provided, shall be conclusively presumed to have been duly given, whether or not the Holder receives such notice. </w:t>
      </w:r>
    </w:p>
    <w:p>
      <w:pPr>
        <w:pStyle w:val="TextBody"/>
        <w:bidi w:val="0"/>
        <w:spacing w:before="240" w:after="0"/>
        <w:jc w:val="left"/>
        <w:rPr>
          <w:rFonts w:ascii="Times New Roman" w:hAnsi="Times New Roman"/>
          <w:sz w:val="20"/>
        </w:rPr>
      </w:pPr>
      <w:r>
        <w:rPr>
          <w:rFonts w:ascii="Times New Roman" w:hAnsi="Times New Roman"/>
          <w:sz w:val="20"/>
        </w:rPr>
        <w:t xml:space="preserve">(a) A Mandatory Equitization Notice shall specify: </w:t>
      </w:r>
    </w:p>
    <w:p>
      <w:pPr>
        <w:pStyle w:val="TextBody"/>
        <w:bidi w:val="0"/>
        <w:spacing w:before="120" w:after="0"/>
        <w:jc w:val="left"/>
        <w:rPr>
          <w:rFonts w:ascii="Times New Roman" w:hAnsi="Times New Roman"/>
          <w:sz w:val="20"/>
        </w:rPr>
      </w:pPr>
      <w:r>
        <w:rPr>
          <w:rFonts w:ascii="Times New Roman" w:hAnsi="Times New Roman"/>
          <w:sz w:val="20"/>
        </w:rPr>
        <w:t xml:space="preserve">(i) The principal amount of Notes subject to the Mandatory Equitization; </w:t>
      </w:r>
    </w:p>
    <w:p>
      <w:pPr>
        <w:pStyle w:val="TextBody"/>
        <w:bidi w:val="0"/>
        <w:spacing w:before="120" w:after="0"/>
        <w:jc w:val="left"/>
        <w:rPr>
          <w:rFonts w:ascii="Times New Roman" w:hAnsi="Times New Roman"/>
          <w:sz w:val="20"/>
        </w:rPr>
      </w:pPr>
      <w:r>
        <w:rPr>
          <w:rFonts w:ascii="Times New Roman" w:hAnsi="Times New Roman"/>
          <w:sz w:val="20"/>
        </w:rPr>
        <w:t xml:space="preserve">(ii) “F” for purposes of the above calculations;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Company’s election of which Floor Remedy Option will apply; </w:t>
      </w:r>
    </w:p>
    <w:p>
      <w:pPr>
        <w:pStyle w:val="TextBody"/>
        <w:bidi w:val="0"/>
        <w:spacing w:before="120" w:after="0"/>
        <w:jc w:val="left"/>
        <w:rPr>
          <w:rFonts w:ascii="Times New Roman" w:hAnsi="Times New Roman"/>
          <w:sz w:val="20"/>
        </w:rPr>
      </w:pPr>
      <w:r>
        <w:rPr>
          <w:rFonts w:ascii="Times New Roman" w:hAnsi="Times New Roman"/>
          <w:sz w:val="20"/>
        </w:rPr>
        <w:t xml:space="preserve">(iv) The maximum number of shares of Common Stock issuable in connection with such Mandatory Equitization; </w:t>
      </w:r>
    </w:p>
    <w:p>
      <w:pPr>
        <w:pStyle w:val="TextBody"/>
        <w:bidi w:val="0"/>
        <w:spacing w:before="120" w:after="0"/>
        <w:jc w:val="left"/>
        <w:rPr>
          <w:rFonts w:ascii="Times New Roman" w:hAnsi="Times New Roman"/>
          <w:sz w:val="20"/>
        </w:rPr>
      </w:pPr>
      <w:r>
        <w:rPr>
          <w:rFonts w:ascii="Times New Roman" w:hAnsi="Times New Roman"/>
          <w:sz w:val="20"/>
        </w:rPr>
        <w:t xml:space="preserve">(v) The then-current number of shares of Common Stock outstanding; </w:t>
      </w:r>
    </w:p>
    <w:p>
      <w:pPr>
        <w:pStyle w:val="TextBody"/>
        <w:bidi w:val="0"/>
        <w:spacing w:before="120" w:after="0"/>
        <w:jc w:val="left"/>
        <w:rPr>
          <w:rFonts w:ascii="Times New Roman" w:hAnsi="Times New Roman"/>
          <w:sz w:val="20"/>
        </w:rPr>
      </w:pPr>
      <w:r>
        <w:rPr>
          <w:rFonts w:ascii="Times New Roman" w:hAnsi="Times New Roman"/>
          <w:sz w:val="20"/>
        </w:rPr>
        <w:t xml:space="preserve">(vi) The date on which the Company expects to settle the Mandatory Equitization; and </w:t>
      </w:r>
    </w:p>
    <w:p>
      <w:pPr>
        <w:pStyle w:val="TextBody"/>
        <w:bidi w:val="0"/>
        <w:spacing w:before="120" w:after="0"/>
        <w:jc w:val="left"/>
        <w:rPr>
          <w:rFonts w:ascii="Times New Roman" w:hAnsi="Times New Roman"/>
          <w:sz w:val="20"/>
        </w:rPr>
      </w:pPr>
      <w:r>
        <w:rPr>
          <w:rFonts w:ascii="Times New Roman" w:hAnsi="Times New Roman"/>
          <w:sz w:val="20"/>
        </w:rPr>
        <w:t xml:space="preserve">(vii) the CUSIP, ISIN or other similar numbers, if any, assigned to such Notes. </w:t>
      </w:r>
    </w:p>
    <w:p>
      <w:pPr>
        <w:pStyle w:val="TextBody"/>
        <w:bidi w:val="0"/>
        <w:spacing w:before="240" w:after="0"/>
        <w:jc w:val="left"/>
        <w:rPr>
          <w:rFonts w:ascii="Times New Roman" w:hAnsi="Times New Roman"/>
          <w:sz w:val="20"/>
        </w:rPr>
      </w:pPr>
      <w:r>
        <w:rPr>
          <w:rFonts w:ascii="Times New Roman" w:hAnsi="Times New Roman"/>
          <w:sz w:val="20"/>
        </w:rPr>
        <w:t xml:space="preserve">(b) For Economic Interest Holders that have elected the Opt-In Procedures in Section 14.14, the Mandatory Equitization Notice shall specify that such Economic Interest Holders may provide notice and a representation to the Company of the number of shares of Common Stock beneficially owned by the Economic Interest Holder together with its Attribution Parties prior to such issuance up to five (5) Business Days prior to the date of settlement of 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Section 17.03 </w:t>
      </w:r>
      <w:r>
        <w:rPr>
          <w:rFonts w:ascii="Times New Roman" w:hAnsi="Times New Roman"/>
          <w:i/>
          <w:sz w:val="20"/>
        </w:rPr>
        <w:t>Restrictions on Mandatory Equitization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may not issue Mandatory Equitization Notice with respect to Notes on any date if the principal amount of the Notes has been accelerated in accordance with the terms of this Indenture, and such acceleration has not been rescinded. </w:t>
      </w:r>
    </w:p>
    <w:p>
      <w:pPr>
        <w:pStyle w:val="TextBody"/>
        <w:bidi w:val="0"/>
        <w:spacing w:before="240" w:after="0"/>
        <w:jc w:val="left"/>
        <w:rPr>
          <w:rFonts w:ascii="Times New Roman" w:hAnsi="Times New Roman"/>
          <w:sz w:val="20"/>
        </w:rPr>
      </w:pPr>
      <w:r>
        <w:rPr>
          <w:rFonts w:ascii="Times New Roman" w:hAnsi="Times New Roman"/>
          <w:sz w:val="20"/>
        </w:rPr>
        <w:t xml:space="preserve">(b) Settlement of the Mandatory Equitization will be subject to Section 14.14. </w:t>
      </w:r>
    </w:p>
    <w:p>
      <w:pPr>
        <w:pStyle w:val="TextBody"/>
        <w:bidi w:val="0"/>
        <w:spacing w:before="240" w:after="0"/>
        <w:jc w:val="left"/>
        <w:rPr>
          <w:rFonts w:ascii="Times New Roman" w:hAnsi="Times New Roman"/>
          <w:sz w:val="20"/>
        </w:rPr>
      </w:pPr>
      <w:r>
        <w:rPr>
          <w:rFonts w:ascii="Times New Roman" w:hAnsi="Times New Roman"/>
          <w:sz w:val="20"/>
        </w:rPr>
        <w:t xml:space="preserve">(c) The Company may only exercise a Mandatory Equitization if the settlement of such Mandatory Equitization will occur on or prior to prior to the Business Day immediately preceding the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18. </w:t>
      </w:r>
    </w:p>
    <w:p>
      <w:pPr>
        <w:pStyle w:val="TextBody"/>
        <w:bidi w:val="0"/>
        <w:spacing w:before="0" w:after="0"/>
        <w:jc w:val="center"/>
        <w:rPr>
          <w:rFonts w:ascii="Times New Roman" w:hAnsi="Times New Roman"/>
          <w:sz w:val="20"/>
        </w:rPr>
      </w:pPr>
      <w:r>
        <w:rPr>
          <w:rFonts w:ascii="Times New Roman" w:hAnsi="Times New Roman"/>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18.01 </w:t>
      </w:r>
      <w:r>
        <w:rPr>
          <w:rFonts w:ascii="Times New Roman" w:hAnsi="Times New Roman"/>
          <w:i/>
          <w:sz w:val="20"/>
        </w:rPr>
        <w:t>Provisions Binding on Company</w:t>
      </w:r>
      <w:r>
        <w:rPr>
          <w:rFonts w:ascii="Times New Roman" w:hAnsi="Times New Roman"/>
          <w:sz w:val="20"/>
        </w:rPr>
        <w:t>’</w:t>
      </w:r>
      <w:r>
        <w:rPr>
          <w:rFonts w:ascii="Times New Roman" w:hAnsi="Times New Roman"/>
          <w:i/>
          <w:sz w:val="20"/>
        </w:rPr>
        <w:t xml:space="preserve">s Successors. </w:t>
      </w:r>
      <w:r>
        <w:rPr>
          <w:rFonts w:ascii="Times New Roman" w:hAnsi="Times New Roman"/>
          <w:sz w:val="20"/>
        </w:rPr>
        <w:t xml:space="preserve">All the covenants, stipulations, promises and agreements of the Company contained in this Indenture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sz w:val="20"/>
        </w:rPr>
        <w:t xml:space="preserve">Section 18.02 </w:t>
      </w:r>
      <w:r>
        <w:rPr>
          <w:rFonts w:ascii="Times New Roman" w:hAnsi="Times New Roman"/>
          <w:i/>
          <w:sz w:val="20"/>
        </w:rPr>
        <w:t xml:space="preserve">Official Acts by Qualified Successor Entity. </w:t>
      </w:r>
      <w:r>
        <w:rPr>
          <w:rFonts w:ascii="Times New Roman" w:hAnsi="Times New Roman"/>
          <w:sz w:val="20"/>
        </w:rPr>
        <w:t xml:space="preserve">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18.03 </w:t>
      </w:r>
      <w:r>
        <w:rPr>
          <w:rFonts w:ascii="Times New Roman" w:hAnsi="Times New Roman"/>
          <w:i/>
          <w:sz w:val="20"/>
        </w:rPr>
        <w:t>Addresses for Notices, Etc.</w:t>
      </w:r>
      <w:r>
        <w:rPr>
          <w:rFonts w:ascii="Times New Roman" w:hAnsi="Times New Roman"/>
          <w:sz w:val="20"/>
        </w:rPr>
        <w:t xml:space="preserve"> Any notice or demand that by any provision of this Indenture is required or permitted to be given or served by the Trustee, the Collateral Agent or by the Holders on the Company shall be deemed to have been sufficiently given or made, for all purposes if given or served by being deposited postage prepaid by registered or certified mail in a post office letter box addressed (until another address is filed by the Company with the Trustee) to Beyond Meat, Inc., 888 N. Douglas St., Suite 100, El Segundo, CA 90245, Attention: General Counsel. Any notice, direction, request or demand hereunder to or upon the Trustee and the Collateral Agent shall be deemed to have been sufficiently given or made, for all purposes, if given or served by being deposited postage prepaid by registered or certified mail in a post office letter box addressed to the Corporate Trust Office or sent electronically in PDF format and actually received by the Trustee or the Collateral Agent,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Trustee, by notice to the Company,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 </w:t>
      </w:r>
    </w:p>
    <w:p>
      <w:pPr>
        <w:pStyle w:val="TextBody"/>
        <w:bidi w:val="0"/>
        <w:spacing w:before="240" w:after="0"/>
        <w:jc w:val="left"/>
        <w:rPr>
          <w:rFonts w:ascii="Times New Roman" w:hAnsi="Times New Roman"/>
          <w:sz w:val="20"/>
        </w:rPr>
      </w:pPr>
      <w:r>
        <w:rPr>
          <w:rFonts w:ascii="Times New Roman" w:hAnsi="Times New Roman"/>
          <w:sz w:val="20"/>
        </w:rPr>
        <w:t xml:space="preserve">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 </w:t>
      </w:r>
    </w:p>
    <w:p>
      <w:pPr>
        <w:pStyle w:val="TextBody"/>
        <w:bidi w:val="0"/>
        <w:spacing w:before="240" w:after="0"/>
        <w:jc w:val="left"/>
        <w:rPr>
          <w:rFonts w:ascii="Times New Roman" w:hAnsi="Times New Roman"/>
          <w:sz w:val="20"/>
        </w:rPr>
      </w:pPr>
      <w:r>
        <w:rPr>
          <w:rFonts w:ascii="Times New Roman" w:hAnsi="Times New Roman"/>
          <w:sz w:val="20"/>
        </w:rPr>
        <w:t xml:space="preserve">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of the Trustee and the Collateral Agent shall have the right, but shall not be required, to rely upon and comply with notices, instructions, directions or other communications sent by e-mail, facsimile and other similar unsecured electronic methods by persons believed by the Trustee or the Collateral Agent, as applicable, to be authorized to give instructions and directions on behalf of the Company. Neither the Trustee nor the Collateral Agent shall have any duty or obligation to verify or confirm that the person who sent such instructions or directions is, in fact, a person authorized to give instructions or directions on behalf of the Company; and neither the Trustee nor the Collateral Agent shall have any liability for any losses, liabilities, costs or expenses incurred or sustained by the Company as a result of such reliance upon or compliance with such notices, instructions, directions or other communications. The Company agrees to assume all risks arising out of the use of such electronic methods to submit notices, instructions, directions or other communications to the Trustee or the Collateral Agent, as applicable, including without limitation the risk of the Trustee or the Collateral Agent, as applicable, acting on unauthorized instructions, and the risk of interception and misuse by third parties. The Company shall use all reasonable endeavors to ensure that any such notices, instructions, directions or other communications transmitted to the Trustee or the Collateral Agent pursuant to this Indenture and the other Note Documents are complete and correct. Any such notices, instructions, directions or other communications shall be conclusively deemed to be valid instructions from the Company to the Trustee or the Collateral Agent, as applicable, for the purposes of this Indenture and the other Note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18.04 </w:t>
      </w:r>
      <w:r>
        <w:rPr>
          <w:rFonts w:ascii="Times New Roman" w:hAnsi="Times New Roman"/>
          <w:i/>
          <w:sz w:val="20"/>
        </w:rPr>
        <w:t xml:space="preserve">Governing Law; Jurisdiction. </w:t>
      </w:r>
      <w:r>
        <w:rPr>
          <w:rFonts w:ascii="Times New Roman" w:hAnsi="Times New Roman"/>
          <w:sz w:val="20"/>
        </w:rPr>
        <w:t xml:space="preserve">THIS INDENTURE AND EACH NOTE, AND ANY CLAIM, CONTROVERSY OR DISPUTE ARISING UNDER OR RELATED TO THIS INDENTURE AND EACH NOTE,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in each case, located in the Borough of Manhattan, New York City, New York and, until amounts due and to become due in respect of the Notes have been paid, hereby irrevocably consents and submits to the non-exclusive jurisdiction of each such court </w:t>
      </w:r>
      <w:r>
        <w:rPr>
          <w:rFonts w:ascii="Times New Roman" w:hAnsi="Times New Roman"/>
          <w:i/>
          <w:sz w:val="20"/>
        </w:rPr>
        <w:t>in personam</w:t>
      </w:r>
      <w:r>
        <w:rPr>
          <w:rFonts w:ascii="Times New Roman" w:hAnsi="Times New Roman"/>
          <w:sz w:val="20"/>
        </w:rPr>
        <w:t xml:space="preserve">, generally and unconditionally with respect to any action, suit or proceeding for itself in respect of its properties, assets and revenues.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in each case, located in the Borough of Manhattan, New York City, New York and hereby further irrevocably and unconditionally waives and agrees not to plead or claim in any such court that any such action, suit or proceeding brought in any such court has been brought in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18.05 </w:t>
      </w:r>
      <w:r>
        <w:rPr>
          <w:rFonts w:ascii="Times New Roman" w:hAnsi="Times New Roman"/>
          <w:i/>
          <w:sz w:val="20"/>
        </w:rPr>
        <w:t xml:space="preserve">Evidence of Compliance with Conditions Precedent; Certificates and Opinions of Counsel to Trustee. </w:t>
      </w:r>
      <w:r>
        <w:rPr>
          <w:rFonts w:ascii="Times New Roman" w:hAnsi="Times New Roman"/>
          <w:sz w:val="20"/>
        </w:rPr>
        <w:t xml:space="preserve">Upon any application or demand by the Company to the Trustee or the Collateral Agent to take any action under any of the provisions of this Indenture, the Company shall furnish to the Trustee or the Collateral Agent, as the case may be, an Officer’s Certificate and, if requested, an Opinion of Counsel stating that such action is permitted by the terms of this Indenture and that all conditions precedent including any covenants compliance with such which constitutes a condition precedent to such action have been complied with; </w:t>
      </w:r>
      <w:r>
        <w:rPr>
          <w:rFonts w:ascii="Times New Roman" w:hAnsi="Times New Roman"/>
          <w:i/>
          <w:sz w:val="20"/>
        </w:rPr>
        <w:t>provided</w:t>
      </w:r>
      <w:r>
        <w:rPr>
          <w:rFonts w:ascii="Times New Roman" w:hAnsi="Times New Roman"/>
          <w:sz w:val="20"/>
        </w:rPr>
        <w:t xml:space="preserve"> that no Opinion of Counsel shall be required to be delivered in connection with (x) the original issuance of Notes on the Issue Date, (y) the issuance of PIK Notes and (z) the removal of the restricted CUSIP of the Restricted Securities to an unrestricted CUSIP pursuant to the applicable procedures of the Depositary following any Resale Restriction Termination Date, unless a new Note is to be issued; </w:t>
      </w:r>
      <w:r>
        <w:rPr>
          <w:rFonts w:ascii="Times New Roman" w:hAnsi="Times New Roman"/>
          <w:i/>
          <w:sz w:val="20"/>
        </w:rPr>
        <w:t>provided further</w:t>
      </w:r>
      <w:r>
        <w:rPr>
          <w:rFonts w:ascii="Times New Roman" w:hAnsi="Times New Roman"/>
          <w:sz w:val="20"/>
        </w:rPr>
        <w:t xml:space="preserve"> that no Opinion of Counsel shall be required to be delivered in connection with a request by the Company that the Trustee deliver a notice to Holders under this Indenture where the Trustee receives an Officer’s Certificate with respect to such notice. With respect to matters of fact, an Opinion of Counsel may rely on an Officer’s Certificate or certificates of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(a) Each Officer’s Certificate and Opinion of Counsel provided for, by or on behalf of the Company in this Indenture and delivered to the Trustee or the Collateral Agent, as the case may be, with respect to compliance with this Indenture (other than the Officer’s Certificates provided for in Section 4.08) shall include (i) a statement that the person signing such certificate is familiar with the requested action and this Indenture; (ii) a brief statement as to the nature and scope of the examination or investigation upon which the statement contained in such certificate is based; (iii) a statement that, in the judgment of such person, he or she has made such examination or investigation as is necessary to enable him or her to express an informed judgment as to whether or not such action is permitted by this Indenture; and (iv) a statement as to whether or not, in the judgment of such person, such action is permitted by this Indenture and that all conditions precedent thereto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18.06 </w:t>
      </w:r>
      <w:r>
        <w:rPr>
          <w:rFonts w:ascii="Times New Roman" w:hAnsi="Times New Roman"/>
          <w:i/>
          <w:sz w:val="20"/>
        </w:rPr>
        <w:t xml:space="preserve">Legal Holidays. </w:t>
      </w:r>
      <w:r>
        <w:rPr>
          <w:rFonts w:ascii="Times New Roman" w:hAnsi="Times New Roman"/>
          <w:sz w:val="20"/>
        </w:rPr>
        <w:t xml:space="preserve">In any case where any Interest Payment Date, Fundamental Change Repurchase Date, Mandatory Conversion Date, Optional Redemption Date, Mandatory Equitization Date or Maturity Date is not a Business Day, then any action to be taken on such date need not be taken on such date, but may be taken on the next succeeding Business Day with the same force and effect as if taken on such date, and no interest shall accrue in respect of the delay; </w:t>
      </w:r>
      <w:r>
        <w:rPr>
          <w:rFonts w:ascii="Times New Roman" w:hAnsi="Times New Roman"/>
          <w:i/>
          <w:sz w:val="20"/>
        </w:rPr>
        <w:t>provided</w:t>
      </w:r>
      <w:r>
        <w:rPr>
          <w:rFonts w:ascii="Times New Roman" w:hAnsi="Times New Roman"/>
          <w:sz w:val="20"/>
        </w:rPr>
        <w:t xml:space="preserve"> that, solely for purposes of this Section 18.06, a day on which the applicable place of payment is authorized or required by law or executive order to close or be closed will be deemed not to be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Section 18.07 </w:t>
      </w:r>
      <w:r>
        <w:rPr>
          <w:rFonts w:ascii="Times New Roman" w:hAnsi="Times New Roman"/>
          <w:i/>
          <w:sz w:val="20"/>
        </w:rPr>
        <w:t xml:space="preserve">Benefits of Indenture. </w:t>
      </w:r>
      <w:r>
        <w:rPr>
          <w:rFonts w:ascii="Times New Roman" w:hAnsi="Times New Roman"/>
          <w:sz w:val="20"/>
        </w:rPr>
        <w:t xml:space="preserve">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18.08 </w:t>
      </w:r>
      <w:r>
        <w:rPr>
          <w:rFonts w:ascii="Times New Roman" w:hAnsi="Times New Roman"/>
          <w:i/>
          <w:sz w:val="20"/>
        </w:rPr>
        <w:t>Table of Contents, Headings, Etc.</w:t>
      </w:r>
      <w:r>
        <w:rPr>
          <w:rFonts w:ascii="Times New Roman" w:hAnsi="Times New Roman"/>
          <w:sz w:val="20"/>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18.09 </w:t>
      </w:r>
      <w:r>
        <w:rPr>
          <w:rFonts w:ascii="Times New Roman" w:hAnsi="Times New Roman"/>
          <w:i/>
          <w:sz w:val="20"/>
        </w:rPr>
        <w:t xml:space="preserve">Authenticating Agent. </w:t>
      </w:r>
      <w:r>
        <w:rPr>
          <w:rFonts w:ascii="Times New Roman" w:hAnsi="Times New Roman"/>
          <w:sz w:val="20"/>
        </w:rPr>
        <w:t xml:space="preserve">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15.03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Qualified Successor Entity or other entity is otherwise eligible under this Section 18.09, without the execution or filing of any paper or any further act on the part of the parties hereto or the authenticating agent or such Qualified Successor Entity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agrees to pay to the authenticating agent from time to time reasonable compensation for its services although the Company may terminate the authenticating agent, if it determines such agent’s fees to be unreasonable.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Section 7.02, Section 7.03, Section 7.04, Section 8.03 and this Section 18.09 shall be applicable to any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If an authenticating agent is appointed pursuant to this Section 18.09, the Notes may have endorsed thereon, in addition to the Trustee’s certificate of authentication, an alternative certificate of authentication in the following form: </w:t>
      </w:r>
    </w:p>
    <w:p>
      <w:pPr>
        <w:pStyle w:val="TextBody"/>
        <w:bidi w:val="0"/>
        <w:spacing w:before="240" w:after="0"/>
        <w:jc w:val="left"/>
        <w:rPr/>
      </w:pPr>
      <w:r>
        <w:rPr>
          <w:u w:val="single"/>
        </w:rPr>
        <w:t>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as Authenticating Agent, certifies that this is one of the Notes described </w:t>
      </w:r>
    </w:p>
    <w:p>
      <w:pPr>
        <w:pStyle w:val="TextBody"/>
        <w:bidi w:val="0"/>
        <w:spacing w:before="0" w:after="0"/>
        <w:jc w:val="left"/>
        <w:rPr>
          <w:rFonts w:ascii="Times New Roman" w:hAnsi="Times New Roman"/>
          <w:sz w:val="20"/>
        </w:rPr>
      </w:pPr>
      <w:r>
        <w:rPr>
          <w:rFonts w:ascii="Times New Roman" w:hAnsi="Times New Roman"/>
          <w:sz w:val="20"/>
        </w:rPr>
        <w:t xml:space="preserve">in the within-named Indenture.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18.10 </w:t>
      </w:r>
      <w:r>
        <w:rPr>
          <w:rFonts w:ascii="Times New Roman" w:hAnsi="Times New Roman"/>
          <w:i/>
          <w:sz w:val="20"/>
        </w:rPr>
        <w:t xml:space="preserve">Execution in Counterparts. </w:t>
      </w:r>
      <w:r>
        <w:rPr>
          <w:rFonts w:ascii="Times New Roman" w:hAnsi="Times New Roman"/>
          <w:sz w:val="20"/>
        </w:rPr>
        <w:t xml:space="preserve">This Indenture and any other Note Document may be executed in any number of counterparts, each of which shall be an original, but such counterparts shall together constitute but one and the same instrument. The exchange of copies of this Indenture or any other Note Document and of signature pages by facsimile, PDF or other electronic transmission shall constitute effective execution and delivery of this Indenture as to the parties hereto and may be used in lieu of the original Indenture or any other Note Document for all purposes. Signatures of the parties hereto transmitted by facsimile, PDF or other electronic transmission shall constitute effective execution and delivery of this Indenture or any other Note Document as to the other parties hereto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sz w:val="20"/>
        </w:rPr>
        <w:t>All notices, approvals, consents, requests and any communications hereunder must be in writing (</w:t>
      </w:r>
      <w:r>
        <w:rPr>
          <w:rFonts w:ascii="Times New Roman" w:hAnsi="Times New Roman"/>
          <w:i/>
          <w:sz w:val="20"/>
        </w:rPr>
        <w:t>provided</w:t>
      </w:r>
      <w:r>
        <w:rPr>
          <w:rFonts w:ascii="Times New Roman" w:hAnsi="Times New Roman"/>
          <w:sz w:val="20"/>
        </w:rPr>
        <w:t xml:space="preserve"> that any such communication sent to Trustee hereunder must be in the form of a document that is signed manually or by way of a digital signature provided by DocuSign or other electronic signature provider that the Company plans to use or such other digital signature provider as specified in writing to Trustee by the authorized representative)), in English.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18.11 </w:t>
      </w:r>
      <w:r>
        <w:rPr>
          <w:rFonts w:ascii="Times New Roman" w:hAnsi="Times New Roman"/>
          <w:i/>
          <w:sz w:val="20"/>
        </w:rPr>
        <w:t xml:space="preserve">Severability. </w:t>
      </w:r>
      <w:r>
        <w:rPr>
          <w:rFonts w:ascii="Times New Roman" w:hAnsi="Times New Roman"/>
          <w:sz w:val="20"/>
        </w:rPr>
        <w:t xml:space="preserve">In the event any provision of this Indenture or in the Notes shall be invalid, illegal or unenforceable, then (to the extent permitted by law) the validity, legality or enforceability of the remaining provisions shall not in any way be affected or impaired. </w:t>
      </w:r>
    </w:p>
    <w:p>
      <w:pPr>
        <w:pStyle w:val="TextBody"/>
        <w:bidi w:val="0"/>
        <w:spacing w:before="240" w:after="0"/>
        <w:jc w:val="left"/>
        <w:rPr>
          <w:rFonts w:ascii="Times New Roman" w:hAnsi="Times New Roman"/>
          <w:sz w:val="20"/>
        </w:rPr>
      </w:pPr>
      <w:r>
        <w:rPr>
          <w:rFonts w:ascii="Times New Roman" w:hAnsi="Times New Roman"/>
          <w:sz w:val="20"/>
        </w:rPr>
        <w:t xml:space="preserve">Section 18.12 </w:t>
      </w:r>
      <w:r>
        <w:rPr>
          <w:rFonts w:ascii="Times New Roman" w:hAnsi="Times New Roman"/>
          <w:i/>
          <w:sz w:val="20"/>
        </w:rPr>
        <w:t xml:space="preserve">Waiver of Jury Trial. </w:t>
      </w:r>
      <w:r>
        <w:rPr>
          <w:rFonts w:ascii="Times New Roman" w:hAnsi="Times New Roman"/>
          <w:sz w:val="20"/>
        </w:rPr>
        <w:t xml:space="preserve">EACH OF THE COMPANY, THE GUARANTORS, THE HOLDERS (BY THEIR ACCEPTANCE OF THE NOTES), THE TRUSTEE AND THE COLLATERAL AGENT HEREBY IRREVOCABLY WAIVES, TO THE FULLEST EXTENT PERMITTED BY APPLICABLE LAW, ANY AND ALL RIGHT TO TRIAL BY JURY IN ANY LEGAL PROCEEDING ARISING OUT OF OR RELATING TO THIS INDENTURE, THE NOTES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18.13 </w:t>
      </w:r>
      <w:r>
        <w:rPr>
          <w:rFonts w:ascii="Times New Roman" w:hAnsi="Times New Roman"/>
          <w:i/>
          <w:sz w:val="20"/>
        </w:rPr>
        <w:t xml:space="preserve">Force Majeure. </w:t>
      </w:r>
      <w:r>
        <w:rPr>
          <w:rFonts w:ascii="Times New Roman" w:hAnsi="Times New Roman"/>
          <w:sz w:val="20"/>
        </w:rPr>
        <w:t xml:space="preserve">In no event shall the Trustee or the Collateral Agent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strikes, work stoppages, labor disputes, accidents, epidemics, pandemics, acts of war or terrorism, civil or military disturbances or government actions, riots, sabotage, nuclear or natural catastrophes or acts of God, earthquakes, fires, floods, and interruptions, loss or malfunctions of utilities, communications or computer (software and hardware) services, or the unavailability of the Federal Reserve Bank wire or telex or other wire or communication facility; it being understood that each of the Trustee and the Collateral Agent shall use reasonable efforts that are consistent with accepted practices in the banking industry to resume performance as soon as practicable under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18.14 </w:t>
      </w:r>
      <w:r>
        <w:rPr>
          <w:rFonts w:ascii="Times New Roman" w:hAnsi="Times New Roman"/>
          <w:i/>
          <w:sz w:val="20"/>
        </w:rPr>
        <w:t>Calculations</w:t>
      </w:r>
      <w:r>
        <w:rPr>
          <w:rFonts w:ascii="Times New Roman" w:hAnsi="Times New Roman"/>
          <w:sz w:val="20"/>
        </w:rPr>
        <w:t xml:space="preserve">. Except as otherwise provided herein, the Company shall be responsible for making all calculations called for under this Indenture and the Notes. These calculations include, but are not limited to, determinations of the Stock Price, the Last Reported Sale Prices of the Common Stock, the trading prices of the Notes (for purposes of 14.01(b)(i)) the Daily VWAPs, the Daily Conversion Values, the Daily Settlement Amounts, accrued interest payable on the Notes and the Conversion Rate of the Notes. The Company shall make all these calculations in good faith and, absent manifest error, the Company’s calculations shall be final and binding on Holders. The Company shall provide a schedule of its calculations to each of the Trustee and the Conversion Agent, and each of the Trustee and Conversion Agent is entitled to rely conclusively upon the accuracy of the Company’s calculations without independent verification. The Trustee will forward the Company’s calculations to any Holder of Notes upon the written request of that Holder at the sole cost and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18.15 </w:t>
      </w:r>
      <w:r>
        <w:rPr>
          <w:rFonts w:ascii="Times New Roman" w:hAnsi="Times New Roman"/>
          <w:i/>
          <w:sz w:val="20"/>
        </w:rPr>
        <w:t xml:space="preserve">U.S.A. PATRIOT Act. </w:t>
      </w:r>
      <w:r>
        <w:rPr>
          <w:rFonts w:ascii="Times New Roman" w:hAnsi="Times New Roman"/>
          <w:sz w:val="20"/>
        </w:rPr>
        <w:t xml:space="preserve">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18.16 </w:t>
      </w:r>
      <w:r>
        <w:rPr>
          <w:rFonts w:ascii="Times New Roman" w:hAnsi="Times New Roman"/>
          <w:i/>
          <w:sz w:val="20"/>
        </w:rPr>
        <w:t xml:space="preserve">Withholding Taxes. </w:t>
      </w:r>
      <w:r>
        <w:rPr>
          <w:rFonts w:ascii="Times New Roman" w:hAnsi="Times New Roman"/>
          <w:sz w:val="20"/>
        </w:rPr>
        <w:t xml:space="preserve">Each Holder of a Note, by its acceptance of a Note, agrees, and each beneficial owner of an interest in a Global Note, by its acquisition of such interest, is deemed to agree, that if the Company or other applicable withholding agent pays withholding taxes or backup withholding on behalf of such Holder or beneficial owner to the applicable Governmental Authority as a result of an adjustment or the non-occurrence of an adjustment to the Conversion Rate that is treated as a deemed taxable dividend under applicable law, then the Company or such withholding agent, as applicable, may, at its option, withhold such payments from or set off such payments against payments of interest and payments upon conversion, repurchase, redemption or maturity of the Notes (or, in some circumstances from any payments of Common Stock) or sales proceeds subsequently credited to or received by the Holder or beneficial owner or from other funds or assets of the Holder or beneficial owner. </w:t>
      </w:r>
    </w:p>
    <w:p>
      <w:pPr>
        <w:pStyle w:val="TextBody"/>
        <w:bidi w:val="0"/>
        <w:spacing w:before="480" w:after="0"/>
        <w:jc w:val="center"/>
        <w:rPr>
          <w:rFonts w:ascii="Times New Roman" w:hAnsi="Times New Roman"/>
          <w:sz w:val="20"/>
        </w:rPr>
      </w:pPr>
      <w:r>
        <w:rPr>
          <w:rFonts w:ascii="Times New Roman" w:hAnsi="Times New Roman"/>
          <w:sz w:val="20"/>
        </w:rPr>
        <w:t xml:space="preserve">Article 19. </w:t>
      </w:r>
    </w:p>
    <w:p>
      <w:pPr>
        <w:pStyle w:val="TextBody"/>
        <w:bidi w:val="0"/>
        <w:spacing w:before="0" w:after="0"/>
        <w:jc w:val="center"/>
        <w:rPr>
          <w:rFonts w:ascii="Times New Roman" w:hAnsi="Times New Roman"/>
          <w:sz w:val="20"/>
        </w:rPr>
      </w:pPr>
      <w:r>
        <w:rPr>
          <w:rFonts w:ascii="Times New Roman" w:hAnsi="Times New Roman"/>
          <w:sz w:val="20"/>
        </w:rPr>
        <w:t xml:space="preserve">SECURITY AND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19.01 </w:t>
      </w:r>
      <w:r>
        <w:rPr>
          <w:rFonts w:ascii="Times New Roman" w:hAnsi="Times New Roman"/>
          <w:i/>
          <w:sz w:val="20"/>
        </w:rPr>
        <w:t xml:space="preserve">Grant of Security Interest. </w:t>
      </w:r>
      <w:r>
        <w:rPr>
          <w:rFonts w:ascii="Times New Roman" w:hAnsi="Times New Roman"/>
          <w:sz w:val="20"/>
        </w:rPr>
        <w:t xml:space="preserve">To secure the payment and performance in full of all of the Obligations, each of the Company and each Domestic Subsidiary (other than any Excluded Subsidiary) hereby unconditionally grants, assigns and pledges to the Collateral Agent, for the benefit of the Secured Parties, a continuing second-priority lien on and security interest in and to the Collateral (subject to the Intercreditor Agreement and Permitted Liens), wherever located and whether now owned or hereafter acquired or arising from time to time, and all proceeds and products thereof; </w:t>
      </w:r>
      <w:r>
        <w:rPr>
          <w:rFonts w:ascii="Times New Roman" w:hAnsi="Times New Roman"/>
          <w:i/>
          <w:sz w:val="20"/>
        </w:rPr>
        <w:t xml:space="preserve">provided </w:t>
      </w:r>
      <w:r>
        <w:rPr>
          <w:rFonts w:ascii="Times New Roman" w:hAnsi="Times New Roman"/>
          <w:sz w:val="20"/>
        </w:rPr>
        <w:t xml:space="preserve">that, solely with respect to the Company’s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Interests in any Subsidiary which is an Excluded Subsidiary under clause (g) of the definition of “Excluded Subsidiary”, the Collateral does not include such Equity Interests for so long as such Subsidiary continues to be an Excluded Subsidiary under clause (g) of the definition of “Excluded Subsidiary”. Notwithstanding this Section 19.01, the creation and perfection of a right of pledge over shares in the Dutch Entity requires the execution of a notarial deed executed before a Dutch civil law notary in accordance with Dutch law. </w:t>
      </w:r>
    </w:p>
    <w:p>
      <w:pPr>
        <w:pStyle w:val="TextBody"/>
        <w:bidi w:val="0"/>
        <w:spacing w:before="240" w:after="0"/>
        <w:jc w:val="left"/>
        <w:rPr>
          <w:rFonts w:ascii="Times New Roman" w:hAnsi="Times New Roman"/>
          <w:sz w:val="20"/>
        </w:rPr>
      </w:pPr>
      <w:r>
        <w:rPr>
          <w:rFonts w:ascii="Times New Roman" w:hAnsi="Times New Roman"/>
          <w:sz w:val="20"/>
        </w:rPr>
        <w:t xml:space="preserve">Section 19.02 </w:t>
      </w:r>
      <w:r>
        <w:rPr>
          <w:rFonts w:ascii="Times New Roman" w:hAnsi="Times New Roman"/>
          <w:i/>
          <w:sz w:val="20"/>
        </w:rPr>
        <w:t xml:space="preserve">Financing Statements; Authorization to File Financing Statements. </w:t>
      </w:r>
    </w:p>
    <w:p>
      <w:pPr>
        <w:pStyle w:val="TextBody"/>
        <w:bidi w:val="0"/>
        <w:spacing w:before="240" w:after="0"/>
        <w:jc w:val="left"/>
        <w:rPr>
          <w:rFonts w:ascii="Times New Roman" w:hAnsi="Times New Roman"/>
          <w:sz w:val="20"/>
        </w:rPr>
      </w:pPr>
      <w:r>
        <w:rPr>
          <w:rFonts w:ascii="Times New Roman" w:hAnsi="Times New Roman"/>
          <w:sz w:val="20"/>
        </w:rPr>
        <w:t xml:space="preserve">(a) Neither the Trustee nor the Collateral Agent shall have any obligation to give, execute, deliver, file, record, authorize or obtain any financing statements, notices, instruments, documents, agreements, consents or other papers as shall be necessary to (i) create, preserve, perfect or validate the security interest granted to the Collateral Agent pursuant to this Indenture and the Collateral Documents or (ii) enable the Collateral Agent to exercise and enforce its rights under this Indenture and the Collateral Documents with respect to such pledge and security interest. In addition, neither the Trustee nor the Collateral Agent shall have any responsibility or liability (i) in connection with the acts or omissions of the Company in respect of the foregoing or (ii) for or with respect to the legality, validity and enforceability of any security interest created in the Collateral or the perfection and priority of such security interest. Each of the Company and each Domestic Subsidiary hereby authorizes, but does not obligate, the Collateral Agent (or its designee) at any time and from time to time to file financing statements, continuation statements and amendments without notice to the Company or such Domestic Subsidiary, respectively, with all jurisdictions deemed necessary or appropriate by the Collateral Agent and the other Secured Parties to perfect or protect the Collateral Agent’s and the other Secured Parties’ interest or rights hereunder. Such financing statements may indicate the Collateral as “all assets of the Debtor” or words of similar effect and contain any other information required by Article 9 of the Code for the sufficiency or filing office acceptance of any financing statement, continuation statement or amendment, including whether the Company or the relevant Domestic Subsidiary is an organization, the type of organization and any organization identification number issued to the Company and such Domestic Subsidiary.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 and each Domestic Subsidiary hereby authorizes the Collateral Agent (or its designee), at any time and from time to time after the applicable time period set forth in Section 13.08, to file and record Intellectual Property security agreements with the United States Patent and Trademark Office and the United States Copyright Offices, as the case may be (for the avoidance of doubt, none of the Company, any other Note Party or any Subsidiary of the Company or any Note Party shall be obligated to perfect any foreign Intellectual Property, except any Intellectual Property of the Dutch Entity in The Netherlands). </w:t>
      </w:r>
    </w:p>
    <w:p>
      <w:pPr>
        <w:pStyle w:val="TextBody"/>
        <w:bidi w:val="0"/>
        <w:spacing w:before="240" w:after="0"/>
        <w:jc w:val="left"/>
        <w:rPr>
          <w:rFonts w:ascii="Times New Roman" w:hAnsi="Times New Roman"/>
          <w:sz w:val="20"/>
        </w:rPr>
      </w:pPr>
      <w:r>
        <w:rPr>
          <w:rFonts w:ascii="Times New Roman" w:hAnsi="Times New Roman"/>
          <w:sz w:val="20"/>
        </w:rPr>
        <w:t xml:space="preserve">Section 19.03 </w:t>
      </w:r>
      <w:r>
        <w:rPr>
          <w:rFonts w:ascii="Times New Roman" w:hAnsi="Times New Roman"/>
          <w:i/>
          <w:sz w:val="20"/>
        </w:rPr>
        <w:t>Perfection Other than by Filing, Etc.</w:t>
      </w:r>
      <w:r>
        <w:rPr>
          <w:rFonts w:ascii="Times New Roman" w:hAnsi="Times New Roman"/>
          <w:sz w:val="20"/>
        </w:rPr>
        <w:t xml:space="preserve"> Subject to the Intercreditor Agreement, at any time and from time to time (but not prior to the applicable time periods set forth in Section 13.08), each of the Company and each Domestic Subsidiary shall take such steps as the Collateral Agent may reasonably request for the Collateral Agent to (a) obtain control of negotiable instruments (with a value in excess of $1,000,000), any Equity Interests in any Subsidiaries (solely to the extent such Equity Interests are certificated in physical form, are owned by the Company or a Domestic Subsidiary and are not Excluded Assets), any other investment property (with a value in excess of $1,000,000), any deposit accounts (other than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Excluded Accounts), any letter-of-credit rights (with a value in excess of $1,000,000) and any electronic chattel paper (with a value in excess of $1,000,000) pledged by the Company and such Subsidiary as set forth in Article 9 of the Code, and, where control is established by written agreement, such agreement shall be in form and substance reasonably satisfactory to the Collateral Agent, (b) immediately discharge all Liens other than Permitted Liens and (c) otherwise ensure the continued perfection and priority of the Collateral Agent’s security interest in any of the Collateral and of the preservation of its rights therein. All charges, expenses and fees that the Collateral Agent may incur in performing any of the foregoing, and any local taxes relating thereto (for the avoidance of doubt, not including any income taxes of the Collateral Agent), shall be added to the Obligations, and shall be paid to the Collateral Agent immediately upon demand. </w:t>
      </w:r>
    </w:p>
    <w:p>
      <w:pPr>
        <w:pStyle w:val="TextBody"/>
        <w:bidi w:val="0"/>
        <w:spacing w:before="240" w:after="0"/>
        <w:jc w:val="left"/>
        <w:rPr>
          <w:rFonts w:ascii="Times New Roman" w:hAnsi="Times New Roman"/>
          <w:sz w:val="20"/>
        </w:rPr>
      </w:pPr>
      <w:r>
        <w:rPr>
          <w:rFonts w:ascii="Times New Roman" w:hAnsi="Times New Roman"/>
          <w:sz w:val="20"/>
        </w:rPr>
        <w:t xml:space="preserve">Section 19.04 </w:t>
      </w:r>
      <w:r>
        <w:rPr>
          <w:rFonts w:ascii="Times New Roman" w:hAnsi="Times New Roman"/>
          <w:i/>
          <w:sz w:val="20"/>
        </w:rPr>
        <w:t xml:space="preserve">Termination and Automatic Release of Liens. </w:t>
      </w:r>
      <w:r>
        <w:rPr>
          <w:rFonts w:ascii="Times New Roman" w:hAnsi="Times New Roman"/>
          <w:sz w:val="20"/>
        </w:rPr>
        <w:t xml:space="preserve">If this Indenture ceases to be of further effect, the Collateral Agent’s Lien in the Collateral shall continue until the Obligations (other than inchoate indemnity obligations or reimbursement obligations or other obligations which, by their terms, survive the termination of this Indenture) are repaid in full. Upon payment in full of the Obligations (other than inchoate indemnity obligations or reimbursement obligations or other obligations which, by their terms, survive the termination of this Indenture), any Liens in favor of the Collateral Agent and/or each Secured Party shall be automatically released and discharged and all rights in the Collateral shall revert to the Company or the relevant Subsidiary, as appropriate. </w:t>
      </w:r>
    </w:p>
    <w:p>
      <w:pPr>
        <w:pStyle w:val="TextBody"/>
        <w:bidi w:val="0"/>
        <w:spacing w:before="240" w:after="0"/>
        <w:jc w:val="left"/>
        <w:rPr>
          <w:rFonts w:ascii="Times New Roman" w:hAnsi="Times New Roman"/>
          <w:sz w:val="20"/>
        </w:rPr>
      </w:pPr>
      <w:r>
        <w:rPr>
          <w:rFonts w:ascii="Times New Roman" w:hAnsi="Times New Roman"/>
          <w:sz w:val="20"/>
        </w:rPr>
        <w:t xml:space="preserve">Section 19.05 </w:t>
      </w:r>
      <w:r>
        <w:rPr>
          <w:rFonts w:ascii="Times New Roman" w:hAnsi="Times New Roman"/>
          <w:i/>
          <w:sz w:val="20"/>
        </w:rPr>
        <w:t xml:space="preserve">Collateral. </w:t>
      </w:r>
      <w:r>
        <w:rPr>
          <w:rFonts w:ascii="Times New Roman" w:hAnsi="Times New Roman"/>
          <w:sz w:val="20"/>
        </w:rPr>
        <w:t xml:space="preserve">Each Note Party represents and warrants to the Holders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security interest granted herein is and shall at all times continue to be a second priority perfected security interest in the Collateral (subject to Permitted Liens). Each Note Party has good title to, rights in, and the power to transfer each item of the Collateral upon which it purports to grant a Lien hereunder, free and clear of any and all Liens except for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(b) On the Issue Date, the Collateral is not in the possession of any third party bailee (such as a warehouse) except as otherwise provided in the Perfection Certificate. </w:t>
      </w:r>
    </w:p>
    <w:p>
      <w:pPr>
        <w:pStyle w:val="TextBody"/>
        <w:bidi w:val="0"/>
        <w:spacing w:before="240" w:after="0"/>
        <w:jc w:val="left"/>
        <w:rPr>
          <w:rFonts w:ascii="Times New Roman" w:hAnsi="Times New Roman"/>
          <w:sz w:val="20"/>
        </w:rPr>
      </w:pPr>
      <w:r>
        <w:rPr>
          <w:rFonts w:ascii="Times New Roman" w:hAnsi="Times New Roman"/>
          <w:sz w:val="20"/>
        </w:rPr>
        <w:t xml:space="preserve">(c) All Inventory is in all material respects of good and marketable quality in all substantial respects, free from material defects (ordinary wear and tear (including expiration) excepted) except for Inventory for which adequate reserves have been made. </w:t>
      </w:r>
    </w:p>
    <w:p>
      <w:pPr>
        <w:pStyle w:val="TextBody"/>
        <w:bidi w:val="0"/>
        <w:spacing w:before="240" w:after="0"/>
        <w:jc w:val="left"/>
        <w:rPr>
          <w:rFonts w:ascii="Times New Roman" w:hAnsi="Times New Roman"/>
          <w:sz w:val="20"/>
        </w:rPr>
      </w:pPr>
      <w:r>
        <w:rPr>
          <w:rFonts w:ascii="Times New Roman" w:hAnsi="Times New Roman"/>
          <w:sz w:val="20"/>
        </w:rPr>
        <w:t>(d) Each Note Party owns, or possesses the right to use to the extent necessary in its business, all Intellectual Property, licenses and other intangible assets that are used in the conduct of its business as now operated, except to the extent that such failure to own or possess the right to use such asset would not reasonably be expected to have a Material Adverse Change, and the use of such asset by each Note Party and each Subsidiary, to the best knowledge of the Note Parties, does not conflict with the valid Intellectual Property, license, or intangible asset of any other Person to the extent that such conflict could reasonably be expected to have a Material Adverse Change. As used in this clause (d), “</w:t>
      </w:r>
      <w:r>
        <w:rPr>
          <w:rFonts w:ascii="Times New Roman" w:hAnsi="Times New Roman"/>
          <w:b/>
          <w:sz w:val="20"/>
        </w:rPr>
        <w:t>Material Adverse Change</w:t>
      </w:r>
      <w:r>
        <w:rPr>
          <w:rFonts w:ascii="Times New Roman" w:hAnsi="Times New Roman"/>
          <w:sz w:val="20"/>
        </w:rPr>
        <w:t xml:space="preserve">” means a material adverse effect on (a) the perfection or priority of the Collateral Agent’s Lien in the Collateral; (b) the business, assets, operations, or financial condition of the Note Parties, taken as a whole; or (c) the ability of the Company to repay the Obligations or of any other Note Party to perform its payment obligations under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All information set forth on the Perfection Certificate pertaining to each Note Party is true and correct in all material respects as of the Issue Date. </w:t>
      </w:r>
    </w:p>
    <w:p>
      <w:pPr>
        <w:pStyle w:val="TextBody"/>
        <w:bidi w:val="0"/>
        <w:spacing w:before="240" w:after="0"/>
        <w:jc w:val="left"/>
        <w:rPr>
          <w:rFonts w:ascii="Times New Roman" w:hAnsi="Times New Roman"/>
          <w:sz w:val="20"/>
        </w:rPr>
      </w:pPr>
      <w:r>
        <w:rPr>
          <w:rFonts w:ascii="Times New Roman" w:hAnsi="Times New Roman"/>
          <w:sz w:val="20"/>
        </w:rPr>
        <w:t xml:space="preserve">Section 19.06 </w:t>
      </w:r>
      <w:r>
        <w:rPr>
          <w:rFonts w:ascii="Times New Roman" w:hAnsi="Times New Roman"/>
          <w:i/>
          <w:sz w:val="20"/>
        </w:rPr>
        <w:t xml:space="preserve">Further Assurances; Limitations. </w:t>
      </w:r>
      <w:r>
        <w:rPr>
          <w:rFonts w:ascii="Times New Roman" w:hAnsi="Times New Roman"/>
          <w:sz w:val="20"/>
        </w:rPr>
        <w:t xml:space="preserve">Each Note Party shall execute any further instruments and take such further action as the Collateral Agent reasonably requests to perfect, protect, ensure the priority of or continue the Collateral Agent’s Lien on the Collateral or to effect the purposes of this Indenture. Notwithstanding anything to the contrary herein, and in all cases subject to the terms of the Intercreditor Agreement, (i) no landlord, mortgagee or bailee waivers shall be required, (ii) unless required by applicable local law in connection with any Collateral Document, no notice shall be required to be sent to account debtors or other contractual third parties prior to the occurrence and continuance of an Event of Default, (iii) Liens required to be granted from time to time pursuant to, or any other requirements of, this Indenture and the Collateral Documents shall be subject to the exceptions and limitations set forth herein and in the Intercreditor Agreement and, to the extent appropriate in the applicable jurisdiction, as otherwise agreed between the Collateral Agent and the Company, (iv) to the extent any mortgaged real property is located in a jurisdiction with mortgage recording or similar tax, the amount secured by the applicable Initial Second Lien Collateral Document with respect to such mortgaged real property may be limited to the fair market value of such mortgaged real property as determined in good faith by the Company (subject to any applicable laws in the relevant jurisdiction or such lesser amount agreed to by the Collateral Agent), (v) to the extent any Collateral resides in a jurisdiction that is outside of the United States, the security required to be provided under the Collateral Documents will be given in accordance with any agreed security principles, and (vi) the Collateral Agent and the Company may make such modifications to the Collateral Documents, and execute and/or consent to such easements, covenants, rights of way or similar instruments, as the Collateral Agent may agree to subordinate the lien of any mortgage to any such easement, covenant, right of way or similar instrument or record or may agree to recognize any tenant pursuant to an agreement in form and substance reasonably acceptable to the Collateral Agent, as are reasonable or necessary in connection with any project or transactions otherwise permitted under this Indenture; </w:t>
      </w:r>
      <w:r>
        <w:rPr>
          <w:rFonts w:ascii="Times New Roman" w:hAnsi="Times New Roman"/>
          <w:i/>
          <w:sz w:val="20"/>
        </w:rPr>
        <w:t>provided</w:t>
      </w:r>
      <w:r>
        <w:rPr>
          <w:rFonts w:ascii="Times New Roman" w:hAnsi="Times New Roman"/>
          <w:sz w:val="20"/>
        </w:rPr>
        <w:t xml:space="preserve"> that the Company shall have delivered to the Collateral Agent an Officer’s Certificate and an Opinion of Counsel stating that such modification, easement, covenant, right of way or similar instrument is authorized or permitted under this Indenture and the other Collateral Documents and that all conditions precedent thereto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19.07 </w:t>
      </w:r>
      <w:r>
        <w:rPr>
          <w:rFonts w:ascii="Times New Roman" w:hAnsi="Times New Roman"/>
          <w:i/>
          <w:sz w:val="20"/>
        </w:rPr>
        <w:t xml:space="preserve">Intercreditor Agreement. </w:t>
      </w:r>
      <w:r>
        <w:rPr>
          <w:rFonts w:ascii="Times New Roman" w:hAnsi="Times New Roman"/>
          <w:sz w:val="20"/>
        </w:rPr>
        <w:t>Notwithstanding anything herein to the contrary, the lien and security interest granted to the Collateral Agent pursuant to this Indenture and the exercise of any right or remedy by the Collateral Agent hereunder are subject to the provisions of the Intercreditor Agreement, dated as of October 15, 2025 (as amended, restated, amended and restated, supplemented or otherwise modified from time to time, the “</w:t>
      </w:r>
      <w:r>
        <w:rPr>
          <w:rFonts w:ascii="Times New Roman" w:hAnsi="Times New Roman"/>
          <w:b/>
          <w:sz w:val="20"/>
        </w:rPr>
        <w:t>Intercreditor Agreement</w:t>
      </w:r>
      <w:r>
        <w:rPr>
          <w:rFonts w:ascii="Times New Roman" w:hAnsi="Times New Roman"/>
          <w:sz w:val="20"/>
        </w:rPr>
        <w:t>”), among Unprocessed Foods, LLC, as first lien representative (in such capacity, the “</w:t>
      </w:r>
      <w:r>
        <w:rPr>
          <w:rFonts w:ascii="Times New Roman" w:hAnsi="Times New Roman"/>
          <w:b/>
          <w:sz w:val="20"/>
        </w:rPr>
        <w:t>First Lien Representative</w:t>
      </w:r>
      <w:r>
        <w:rPr>
          <w:rFonts w:ascii="Times New Roman" w:hAnsi="Times New Roman"/>
          <w:sz w:val="20"/>
        </w:rPr>
        <w:t>”) and first lien collateral agent (in such capacity, the “</w:t>
      </w:r>
      <w:r>
        <w:rPr>
          <w:rFonts w:ascii="Times New Roman" w:hAnsi="Times New Roman"/>
          <w:b/>
          <w:sz w:val="20"/>
        </w:rPr>
        <w:t>First Lien Collateral Agent</w:t>
      </w:r>
      <w:r>
        <w:rPr>
          <w:rFonts w:ascii="Times New Roman" w:hAnsi="Times New Roman"/>
          <w:sz w:val="20"/>
        </w:rPr>
        <w:t xml:space="preserve">”), Wilmington Trust, National Association, as initial second lien representative and initial second lien collateral agent, and certain other persons party or that may become party thereto from time to time. In the event of any conflict between the terms of the Applicable Intercreditor Agreement and this Indenture, the terms of the Applicable Intercreditor Agreement shall govern and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19.08 </w:t>
      </w:r>
      <w:r>
        <w:rPr>
          <w:rFonts w:ascii="Times New Roman" w:hAnsi="Times New Roman"/>
          <w:i/>
          <w:sz w:val="20"/>
        </w:rPr>
        <w:t xml:space="preserve">Collateral Documents. </w:t>
      </w:r>
      <w:r>
        <w:rPr>
          <w:rFonts w:ascii="Times New Roman" w:hAnsi="Times New Roman"/>
          <w:sz w:val="20"/>
        </w:rPr>
        <w:t xml:space="preserve">The Trustee, the Collateral Agent, the Guarantors and the Company hereby acknowledge and agree that the Collateral Agent’s security interest in the Collateral is for the benefit of the Secured Parties and pursuant to the terms of this Indenture and the other Collateral Documents. Each Holder, by accepting a Note, consents and agrees to the terms of this Indenture and the other Collateral Documents (including the provisions providing for the possession, use, release and foreclosure of Collateral), as the same may be in effect or may be amended from time to time in accordance with their terms and this Indenture, and irrevocably authorizes and directs the Collateral Agent to (i) enter into this Indenture and the other Collateral Documents, binding the Holders to the terms thereof, (ii) execute each document in connection with this Indenture and any Collateral Document expressed to be executed by Collateral Agent on its behalf and (iii) perform the duties and exercise the rights, powers, and discretions that are specifically given to it under the Collateral Documents or other documents to which the Collateral Agent is a party, together with any other incidental rights, power and discretions. Neither the Trustee nor the Collateral Agent nor any of their respective officers, directors, employees, attorneys or agents will be responsible or liable for the existence, genuineness, value, insuring or protection of any Collateral, for the legality, enforceability, effectiveness, or sufficiency of this Indenture or the Collateral Documents, for the creation, perfection, priority, sufficiency or protection of any lien, including not being responsible for payment of any taxes, insurance premiums, charges or assessments upon the Collateral or otherwise as to the maintenance of the Collateral, or for any defect or deficiency as to any such matters, or for any failure to demand, collect, foreclose or realize upon or otherwise enforce any of the Liens, this Indenture or the Collateral Documents or any delay in doing so. The Company shall deliver to the Collateral Agent and the Trustee copies of all documents required to be filed pursuant to the Collateral Documents, and will do or cause to be done all such acts and things as may be required by the next sentence of this Section 19.08, to assure and confirm to the Collateral Agent for the benefit of the Holders the security interest in the Collateral contemplated hereby, by the Collateral Documents or any part thereof, as from time to time constituted, so as to render the same available for the security and benefit of this Indenture and of the Notes secured hereby, according to the intent and purposes herein expressed. The Company and the Guarantors shall take any and all actions and make all filings (including the filing of UCC-1 financing statements, continuation statements and amendments thereto) required to cause this Indenture and the other Collateral Documents to create and maintain, as security for its obligations in favor of the Collateral Agent for the benefit of the Secured Parties, a valid and enforceable perfected lien and security interest in and on all of the Collateral, subject to the terms of the Collateral Documents. Neither the Trustee nor the Collateral Agent shall have any responsibility or liability in connection with such actions and filings; </w:t>
      </w:r>
      <w:r>
        <w:rPr>
          <w:rFonts w:ascii="Times New Roman" w:hAnsi="Times New Roman"/>
          <w:i/>
          <w:sz w:val="20"/>
        </w:rPr>
        <w:t>provided</w:t>
      </w:r>
      <w:r>
        <w:rPr>
          <w:rFonts w:ascii="Times New Roman" w:hAnsi="Times New Roman"/>
          <w:sz w:val="20"/>
        </w:rPr>
        <w:t xml:space="preserve"> that nothing in this sentence shall be construed to relieve the Trustee or the Collateral Agent from liability for its own grossly negligent action, its own grossly negligent failure to act or its own willful misconduct, as determined by a final non-appealable decision of a court of competent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19.09 </w:t>
      </w:r>
      <w:r>
        <w:rPr>
          <w:rFonts w:ascii="Times New Roman" w:hAnsi="Times New Roman"/>
          <w:i/>
          <w:sz w:val="20"/>
        </w:rPr>
        <w:t>Release of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clauses (b) and (c) below, the second priority liens on the Collateral will be automatically released with respect to the Notes, the Guarantees and the other Obligations, and the Trustee and/or the Collateral Agent (subject to its receipt of an Officer’s Certificate and Opinion of Counsel as provided below) shall execute documents evidencing such release reasonably requested by the Company, at the Company’s sole cost and expense, under one or more of the following circumstances: </w:t>
      </w:r>
    </w:p>
    <w:p>
      <w:pPr>
        <w:pStyle w:val="TextBody"/>
        <w:bidi w:val="0"/>
        <w:spacing w:before="120" w:after="0"/>
        <w:jc w:val="left"/>
        <w:rPr>
          <w:rFonts w:ascii="Times New Roman" w:hAnsi="Times New Roman"/>
          <w:sz w:val="20"/>
        </w:rPr>
      </w:pPr>
      <w:r>
        <w:rPr>
          <w:rFonts w:ascii="Times New Roman" w:hAnsi="Times New Roman"/>
          <w:sz w:val="20"/>
        </w:rPr>
        <w:t xml:space="preserve">(i) in whole upon: </w:t>
      </w:r>
    </w:p>
    <w:p>
      <w:pPr>
        <w:pStyle w:val="TextBody"/>
        <w:bidi w:val="0"/>
        <w:spacing w:before="120" w:after="0"/>
        <w:jc w:val="left"/>
        <w:rPr>
          <w:rFonts w:ascii="Times New Roman" w:hAnsi="Times New Roman"/>
          <w:sz w:val="20"/>
        </w:rPr>
      </w:pPr>
      <w:r>
        <w:rPr>
          <w:rFonts w:ascii="Times New Roman" w:hAnsi="Times New Roman"/>
          <w:sz w:val="20"/>
        </w:rPr>
        <w:t xml:space="preserve">(A) payment in full of the principal of, together with accrued and unpaid interest on, and all other obligations on the Notes and all other Obligations that are outstanding, due and payable hereunder and the other Note Documents (other than inchoate indemnity obligations or reimbursement obligations or other obligations which, by their terms, survive the termination of the Notes and the other Note Documents or which survive any discharge); or </w:t>
      </w:r>
    </w:p>
    <w:p>
      <w:pPr>
        <w:pStyle w:val="TextBody"/>
        <w:bidi w:val="0"/>
        <w:spacing w:before="120" w:after="0"/>
        <w:jc w:val="left"/>
        <w:rPr>
          <w:rFonts w:ascii="Times New Roman" w:hAnsi="Times New Roman"/>
          <w:sz w:val="20"/>
        </w:rPr>
      </w:pPr>
      <w:r>
        <w:rPr>
          <w:rFonts w:ascii="Times New Roman" w:hAnsi="Times New Roman"/>
          <w:sz w:val="20"/>
        </w:rPr>
        <w:t xml:space="preserve">(B) the satisfaction and discharge of this Indenture, in each case, as set forth under Article 3 hereof; </w:t>
      </w:r>
    </w:p>
    <w:p>
      <w:pPr>
        <w:pStyle w:val="TextBody"/>
        <w:bidi w:val="0"/>
        <w:spacing w:before="120" w:after="0"/>
        <w:jc w:val="left"/>
        <w:rPr>
          <w:rFonts w:ascii="Times New Roman" w:hAnsi="Times New Roman"/>
          <w:sz w:val="20"/>
        </w:rPr>
      </w:pPr>
      <w:r>
        <w:rPr>
          <w:rFonts w:ascii="Times New Roman" w:hAnsi="Times New Roman"/>
          <w:sz w:val="20"/>
        </w:rPr>
        <w:t xml:space="preserve">(ii) in whole, with respect to any Collateral that is sold, conveyed, transferred, assigned or otherwise disposed of to a Person which is not an Affiliate of any Note Party and assigns in a transaction permitted (or not prohibited) under this Indenture (including pursuant to a valid waiver or consent); </w:t>
      </w:r>
    </w:p>
    <w:p>
      <w:pPr>
        <w:pStyle w:val="TextBody"/>
        <w:bidi w:val="0"/>
        <w:spacing w:before="120" w:after="0"/>
        <w:jc w:val="left"/>
        <w:rPr>
          <w:rFonts w:ascii="Times New Roman" w:hAnsi="Times New Roman"/>
          <w:sz w:val="20"/>
        </w:rPr>
      </w:pPr>
      <w:r>
        <w:rPr>
          <w:rFonts w:ascii="Times New Roman" w:hAnsi="Times New Roman"/>
          <w:sz w:val="20"/>
        </w:rPr>
        <w:t xml:space="preserve">(iii) in whole, with respect to and upon any Collateral of a Note Party ceasing to be a Note Party or becoming an Excluded Subsidiary; </w:t>
      </w:r>
    </w:p>
    <w:p>
      <w:pPr>
        <w:pStyle w:val="TextBody"/>
        <w:bidi w:val="0"/>
        <w:spacing w:before="120" w:after="0"/>
        <w:jc w:val="left"/>
        <w:rPr>
          <w:rFonts w:ascii="Times New Roman" w:hAnsi="Times New Roman"/>
          <w:sz w:val="20"/>
        </w:rPr>
      </w:pPr>
      <w:r>
        <w:rPr>
          <w:rFonts w:ascii="Times New Roman" w:hAnsi="Times New Roman"/>
          <w:sz w:val="20"/>
        </w:rPr>
        <w:t xml:space="preserve">(iv) in whole, with respect to any property leased to a Note Party under a lease which has expired or been terminated in a transaction permitted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(v) in whole or in part, with the consent of the Holders of the requisite percentage of the Notes; </w:t>
      </w:r>
    </w:p>
    <w:p>
      <w:pPr>
        <w:pStyle w:val="TextBody"/>
        <w:bidi w:val="0"/>
        <w:spacing w:before="120" w:after="0"/>
        <w:jc w:val="left"/>
        <w:rPr>
          <w:rFonts w:ascii="Times New Roman" w:hAnsi="Times New Roman"/>
          <w:sz w:val="20"/>
        </w:rPr>
      </w:pPr>
      <w:r>
        <w:rPr>
          <w:rFonts w:ascii="Times New Roman" w:hAnsi="Times New Roman"/>
          <w:sz w:val="20"/>
        </w:rPr>
        <w:t xml:space="preserve">(vi) in part, as to property that becomes Excluded Assets; </w:t>
      </w:r>
    </w:p>
    <w:p>
      <w:pPr>
        <w:pStyle w:val="TextBody"/>
        <w:bidi w:val="0"/>
        <w:spacing w:before="120" w:after="0"/>
        <w:jc w:val="left"/>
        <w:rPr>
          <w:rFonts w:ascii="Times New Roman" w:hAnsi="Times New Roman"/>
          <w:sz w:val="20"/>
        </w:rPr>
      </w:pPr>
      <w:r>
        <w:rPr>
          <w:rFonts w:ascii="Times New Roman" w:hAnsi="Times New Roman"/>
          <w:sz w:val="20"/>
        </w:rPr>
        <w:t xml:space="preserve">(vii) in accordance with the Applicable Intercreditor Agreement and the Second Lien Collateral Documents; </w:t>
      </w:r>
    </w:p>
    <w:p>
      <w:pPr>
        <w:pStyle w:val="TextBody"/>
        <w:bidi w:val="0"/>
        <w:spacing w:before="120" w:after="0"/>
        <w:jc w:val="left"/>
        <w:rPr>
          <w:rFonts w:ascii="Times New Roman" w:hAnsi="Times New Roman"/>
          <w:sz w:val="20"/>
        </w:rPr>
      </w:pPr>
      <w:r>
        <w:rPr>
          <w:rFonts w:ascii="Times New Roman" w:hAnsi="Times New Roman"/>
          <w:sz w:val="20"/>
        </w:rPr>
        <w:t xml:space="preserve">(viii) in whole, upon satisfaction and discharge of this Indenture or upon a covenant defeasance under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(ix) as ordered pursuant to applicable law under a final and non-appealable order or judgment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any release of Collateral, upon receipt of an Officer’s Certificate and an Opinion of Counsel each stating that such release is permitted under this Indenture and the other Collateral Documents and that all conditions precedent under this Indenture and the other Collateral Documents, if any, to such release have been complied with, the Trustee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Collateral Agent, as applicable, shall execute, deliver or acknowledge (at the Company’s expense) such instruments or releases reasonably requested and prepared by the Company or the Company’s Subsidiaries to evidence the release of any Collateral permitted to be released pursuant to this Indenture, the Collateral Documents or the Applicable Intercreditor Agreement, without recourse, representation or warranty by the Trustee or the Collateral Agent. Neither the Trustee nor the Collateral Agent shall be liable for any such release undertaken in reliance upon any such Officer’s Certificate and Opinion of Counsel, and notwithstanding any term hereof or in any Collateral Document to the contrary, the Trustee and the Collateral Agent shall not be under any obligation to release any such Lien and security interest, or execute and deliver any such instrument of release, satisfaction or termination, unless and until it receives such Officer’s Certificate and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(c) At any time when a Default or Event of Default has occurred and is continuing and the maturity of the Notes has been accelerated (whether by declaration or otherwise), no release of Collateral pursuant to the provisions of this Indenture or the Collateral Documents shall be effective as against the Holders, except as otherwise provided in the Collateral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19.10 </w:t>
      </w:r>
      <w:r>
        <w:rPr>
          <w:rFonts w:ascii="Times New Roman" w:hAnsi="Times New Roman"/>
          <w:i/>
          <w:sz w:val="20"/>
        </w:rPr>
        <w:t>Suits to Protect the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provisions of Article 7 hereof and the Collateral Documents, the Trustee, without the consent of the Holders, on behalf of the Holders, may or may direct the Collateral Agent to take all actions it determines in order to: </w:t>
      </w:r>
    </w:p>
    <w:p>
      <w:pPr>
        <w:pStyle w:val="TextBody"/>
        <w:bidi w:val="0"/>
        <w:spacing w:before="120" w:after="0"/>
        <w:jc w:val="left"/>
        <w:rPr>
          <w:rFonts w:ascii="Times New Roman" w:hAnsi="Times New Roman"/>
          <w:sz w:val="20"/>
        </w:rPr>
      </w:pPr>
      <w:r>
        <w:rPr>
          <w:rFonts w:ascii="Times New Roman" w:hAnsi="Times New Roman"/>
          <w:sz w:val="20"/>
        </w:rPr>
        <w:t xml:space="preserve">(i) enforce any of the terms of the Collateral Documents; and </w:t>
      </w:r>
    </w:p>
    <w:p>
      <w:pPr>
        <w:pStyle w:val="TextBody"/>
        <w:bidi w:val="0"/>
        <w:spacing w:before="120" w:after="0"/>
        <w:jc w:val="left"/>
        <w:rPr>
          <w:rFonts w:ascii="Times New Roman" w:hAnsi="Times New Roman"/>
          <w:sz w:val="20"/>
        </w:rPr>
      </w:pPr>
      <w:r>
        <w:rPr>
          <w:rFonts w:ascii="Times New Roman" w:hAnsi="Times New Roman"/>
          <w:sz w:val="20"/>
        </w:rPr>
        <w:t xml:space="preserve">(ii) collect and receive any and all amounts payable in respect of the obligations under the Notes.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provisions of the Collateral Documents, the Collateral Agent shall have power to institute and to maintain such suits and proceedings as the Collateral Agent may determine to prevent any impairment of the Collateral by any acts which may be unlawful or in violation of any of the Collateral Documents or this Indenture, and such suits and proceedings as the Collateral Agent may determine to preserve or protect its interests and the interests of the Holders in the Collateral. Nothing in this Section 19.10 shall be considered to impose any such duty or obligation to act on the part of the Collateral Agent and neither the Trustee nor the Collateral Agent shall be liable for any such impairment. </w:t>
      </w:r>
    </w:p>
    <w:p>
      <w:pPr>
        <w:pStyle w:val="TextBody"/>
        <w:bidi w:val="0"/>
        <w:spacing w:before="240" w:after="0"/>
        <w:jc w:val="left"/>
        <w:rPr>
          <w:rFonts w:ascii="Times New Roman" w:hAnsi="Times New Roman"/>
          <w:sz w:val="20"/>
        </w:rPr>
      </w:pPr>
      <w:r>
        <w:rPr>
          <w:rFonts w:ascii="Times New Roman" w:hAnsi="Times New Roman"/>
          <w:sz w:val="20"/>
        </w:rPr>
        <w:t xml:space="preserve">Section 19.11 </w:t>
      </w:r>
      <w:r>
        <w:rPr>
          <w:rFonts w:ascii="Times New Roman" w:hAnsi="Times New Roman"/>
          <w:i/>
          <w:sz w:val="20"/>
        </w:rPr>
        <w:t>Collateral Agent; Authorization of Action to be Taken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Collateral Agent agrees that it will hold the security interests in the Collateral created under this Indenture and the other Collateral Documents to which it is a party as contemplated by this Indenture, and any and all proceeds thereof, for the benefit of, the Secured Parties, without limiting the Collateral Agent’s rights, including under this Section 19.11, to act in preservation of the security interest in the Collateral. The Collateral Agent is authorized and empowered to appoint one or more co-collateral agents as it deems necessary or appropriate;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collateral agent hereunder shall be personally liable by reason of any act or omission of any other collateral agent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Collateral Agent shall not have any duties or obligations except those expressly set forth in this Indenture and the other Collateral Documents to which it is a party, and its duties hereunder shall be administrative in nature. Without limiting the generality of the foregoing, (1) the Collateral Agent shall not be subject to any fiduciary or other implied duties, regardless of whether a Default or Event of Default has occurred and is continuing and, without limiting the generality of the foregoing, the use of the term “agent” herein and in the Collateral Documents with reference to the Collateral Agent is not intended to connote any fiduciary or other implied (or express) obligations arising under agency doctrine of any applicable law and instead, such term is used merely as a matter of market custom, and is intended to create or reflect only an administrative relationship between independent contracting parties, (2) the Collateral Agent shall not have any duty to take any discretionary action or exercise any discretionary powers; </w:t>
      </w:r>
      <w:r>
        <w:rPr>
          <w:rFonts w:ascii="Times New Roman" w:hAnsi="Times New Roman"/>
          <w:i/>
          <w:sz w:val="20"/>
        </w:rPr>
        <w:t xml:space="preserve">and, further, </w:t>
      </w:r>
      <w:r>
        <w:rPr>
          <w:rFonts w:ascii="Times New Roman" w:hAnsi="Times New Roman"/>
          <w:sz w:val="20"/>
        </w:rPr>
        <w:t xml:space="preserve">the Collateral Agent shall not be required to take any action that, in its opinion or the opinion of its counsel, may expose the Collateral Agent to liability or that is contrary to this Indenture, the Collateral Documents or applicable laws, and (3) except as expressly set forth in the documents to which it is a party, the Collateral Agent shall not have any duty to disclose, and shall not be liable for the failure to disclose, any information relating to the Company or any Guarantor that is communicated to or obtained by the Person serving as Collateral Agent in any capacity. The Collateral Agent shall not be liable for any action taken or not taken by it with the consent or at the request of Holders of a majority of aggregate principal amount of the Notes (or such other number or percentage of the Holders as shall be necessary, or as the Collateral Agent shall believe in good faith shall be necessary, under the circumstances) or in the absence of its own gross negligence or willful misconduct as determined by the final and non-appealable judgment of a court of competent jurisdiction, in connection with its duties expressly set forth herein. The Collateral Agent shall be deemed not to have knowledge of any Default or Event of Default unless and until written notice thereof (stating that it is a “notice of default” and describing such Default or Event of Default) is given to a Responsible Officer of the Collateral Agent by the Company or any Holder. Except as directed by Holders of not less than 25.0% of the outstanding principal amount of the Notes, and only if indemnified to its satisfaction, the Collateral Agent will not be obligated: </w:t>
      </w:r>
    </w:p>
    <w:p>
      <w:pPr>
        <w:pStyle w:val="TextBody"/>
        <w:bidi w:val="0"/>
        <w:spacing w:before="120" w:after="0"/>
        <w:jc w:val="left"/>
        <w:rPr>
          <w:rFonts w:ascii="Times New Roman" w:hAnsi="Times New Roman"/>
          <w:sz w:val="20"/>
        </w:rPr>
      </w:pPr>
      <w:r>
        <w:rPr>
          <w:rFonts w:ascii="Times New Roman" w:hAnsi="Times New Roman"/>
          <w:sz w:val="20"/>
        </w:rPr>
        <w:t xml:space="preserve">(i) to act upon directions purported to be delivered to it by any Person; </w:t>
      </w:r>
    </w:p>
    <w:p>
      <w:pPr>
        <w:pStyle w:val="TextBody"/>
        <w:bidi w:val="0"/>
        <w:spacing w:before="120" w:after="0"/>
        <w:jc w:val="left"/>
        <w:rPr>
          <w:rFonts w:ascii="Times New Roman" w:hAnsi="Times New Roman"/>
          <w:sz w:val="20"/>
        </w:rPr>
      </w:pPr>
      <w:r>
        <w:rPr>
          <w:rFonts w:ascii="Times New Roman" w:hAnsi="Times New Roman"/>
          <w:sz w:val="20"/>
        </w:rPr>
        <w:t xml:space="preserve">(ii) to foreclose upon or otherwise enforce any lien created under this Indenture or the Collateral Documents; or </w:t>
      </w:r>
    </w:p>
    <w:p>
      <w:pPr>
        <w:pStyle w:val="TextBody"/>
        <w:bidi w:val="0"/>
        <w:spacing w:before="120" w:after="0"/>
        <w:jc w:val="left"/>
        <w:rPr>
          <w:rFonts w:ascii="Times New Roman" w:hAnsi="Times New Roman"/>
          <w:sz w:val="20"/>
        </w:rPr>
      </w:pPr>
      <w:r>
        <w:rPr>
          <w:rFonts w:ascii="Times New Roman" w:hAnsi="Times New Roman"/>
          <w:sz w:val="20"/>
        </w:rPr>
        <w:t xml:space="preserve">(iii) except as expressly provided in Section 19.09, to take any other action whatsoever with regard to any or all of this Indenture, the Collateral Documents or Collateral. </w:t>
      </w:r>
    </w:p>
    <w:p>
      <w:pPr>
        <w:pStyle w:val="TextBody"/>
        <w:bidi w:val="0"/>
        <w:spacing w:before="240" w:after="0"/>
        <w:jc w:val="left"/>
        <w:rPr>
          <w:rFonts w:ascii="Times New Roman" w:hAnsi="Times New Roman"/>
          <w:sz w:val="20"/>
        </w:rPr>
      </w:pPr>
      <w:r>
        <w:rPr>
          <w:rFonts w:ascii="Times New Roman" w:hAnsi="Times New Roman"/>
          <w:sz w:val="20"/>
        </w:rPr>
        <w:t>(c) In acting as Collateral Agent hereunder and under the Collateral Documents, the Collateral Agent shall be entitled to conclusively rely upon and enforce each and all of the rights, privileges, immunities, indemnities and benefits of the Trustee under Article 7; </w:t>
      </w:r>
      <w:r>
        <w:rPr>
          <w:rFonts w:ascii="Times New Roman" w:hAnsi="Times New Roman"/>
          <w:i/>
          <w:sz w:val="20"/>
        </w:rPr>
        <w:t>provided</w:t>
      </w:r>
      <w:r>
        <w:rPr>
          <w:rFonts w:ascii="Times New Roman" w:hAnsi="Times New Roman"/>
          <w:sz w:val="20"/>
        </w:rPr>
        <w:t xml:space="preserve"> that any references in such Article 7 to “Trustee” shall be deemed references to “Collateral Agent” for this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Collateral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(whether or not such Person in fact meets the requirements set forth in this Indenture or the Collateral Documents for being the signatory, sender or authenticator thereof). The Collateral Agent also may rely upon any statement made to it orally or by telephone and believed by it to have been made by the proper Person (whether or not such Person in fact meets the requirements set forth in this Indenture and the other Collateral Documents for being the maker thereof), and may act upon any such statement prior to receipt of written confirmation thereof and shall not incur any liability for relying thereon. The Collateral Agent may consult with legal counsel,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a Note consents and agrees to the terms of this Indenture, the Applicable Intercreditor Agreement and each Collateral Document, as originally in effect and as amended, restated, amended and restated, supplemented or otherwise modified or replaced from time to time in accordance with its terms or the terms of this Indenture, authorizes and directs the Trustee and the Collateral Agent to enter into this Indenture, the Applicable Intercreditor Agreement and the other Collateral Documents to which it is a party, authorizes and empowers the Trustee and the Collateral Agent to bind the Holders of Notes as set forth in this Indenture, the Applicable Intercreditor Agreement and the other Collateral Documents to which it is party and to perform its obligations and exercise its rights and powers thereunder. Any request, demand, authorization, direction, notice, consent, waiver, approval, exercise of judgment or discretion, designation or other action provided or permitted by this Indenture, the Applicable Intercreditor Agreement or any Collateral Document to be given, taken or exercised by the Collateral Agent, shall be given, taken or exercised by the Collateral Agent at the direction of the Holders of a majority of aggregate principal amount of the Notes unless such action is otherwise permitted pursuant to this Indenture, the Applicable Intercreditor Agreement or the Collateral Documents (including, upon reliance of an Officer’s Certificate and/or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19.12 </w:t>
      </w:r>
      <w:r>
        <w:rPr>
          <w:rFonts w:ascii="Times New Roman" w:hAnsi="Times New Roman"/>
          <w:i/>
          <w:sz w:val="20"/>
        </w:rPr>
        <w:t>Authorization of Receipt of Funds by the Trustee Under the Collateral Documents</w:t>
      </w:r>
      <w:r>
        <w:rPr>
          <w:rFonts w:ascii="Times New Roman" w:hAnsi="Times New Roman"/>
          <w:sz w:val="20"/>
        </w:rPr>
        <w:t xml:space="preserve">. The Collateral Agent is authorized to receive any funds for the benefit of the Holders distributed under the Collateral Documents and distribute the same to the Trustee who may make further distributions of such funds to the Holders according to the provisions of this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20. </w:t>
      </w:r>
    </w:p>
    <w:p>
      <w:pPr>
        <w:pStyle w:val="TextBody"/>
        <w:bidi w:val="0"/>
        <w:spacing w:before="0" w:after="0"/>
        <w:jc w:val="center"/>
        <w:rPr>
          <w:rFonts w:ascii="Times New Roman" w:hAnsi="Times New Roman"/>
          <w:sz w:val="20"/>
        </w:rPr>
      </w:pPr>
      <w:r>
        <w:rPr>
          <w:rFonts w:ascii="Times New Roman" w:hAnsi="Times New Roman"/>
          <w:sz w:val="20"/>
        </w:rPr>
        <w:t xml:space="preserve">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20.01 </w:t>
      </w:r>
      <w:r>
        <w:rPr>
          <w:rFonts w:ascii="Times New Roman" w:hAnsi="Times New Roman"/>
          <w:i/>
          <w:sz w:val="20"/>
        </w:rPr>
        <w:t>Covenant Defeasance</w:t>
      </w:r>
      <w:r>
        <w:rPr>
          <w:rFonts w:ascii="Times New Roman" w:hAnsi="Times New Roman"/>
          <w:sz w:val="20"/>
        </w:rPr>
        <w:t xml:space="preserve">. If: </w:t>
      </w:r>
    </w:p>
    <w:p>
      <w:pPr>
        <w:pStyle w:val="TextBody"/>
        <w:bidi w:val="0"/>
        <w:spacing w:before="120" w:after="0"/>
        <w:jc w:val="left"/>
        <w:rPr>
          <w:rFonts w:ascii="Times New Roman" w:hAnsi="Times New Roman"/>
          <w:sz w:val="20"/>
        </w:rPr>
      </w:pPr>
      <w:r>
        <w:rPr>
          <w:rFonts w:ascii="Times New Roman" w:hAnsi="Times New Roman"/>
          <w:sz w:val="20"/>
        </w:rPr>
        <w:t xml:space="preserve">(1) the Company has caused there to be irrevocably deposited, with the Trustee or the Paying Agent for the benefit of the Holders, cash in an aggregate amount equal to the sum of: (i) the remaining scheduled interest payments on each Note outstanding as of the time of such deposit (assuming, for these purposes, that Additional Interest would accrue on such Note at their respective maximum rates per annum); and (ii) 100% of the principal amount of each Note outstanding as of the time of such deposit (excluding, in the case of each of clause (i) and (ii) above, any Notes referred to in clause (2) as to which the deposit referred to in clause (2)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with respect to each Note, if any, for which a Conversion Date has occurred, but the conversion consideration due in respect of such Note has not been fully paid or delivered, as of the time of the deposit referred to in clause (1) above, the Company has caused there to be irrevocably deposited, with the Trustee or the conversion agent for the benefit of the Holders, the maximum kind and amount of conversion consideration due in respect of such Note (together, if applicable, with cash in the amount of any interest due on such Note pursuant to Article 14); </w:t>
      </w:r>
    </w:p>
    <w:p>
      <w:pPr>
        <w:pStyle w:val="TextBody"/>
        <w:bidi w:val="0"/>
        <w:spacing w:before="240" w:after="0"/>
        <w:jc w:val="left"/>
        <w:rPr>
          <w:rFonts w:ascii="Times New Roman" w:hAnsi="Times New Roman"/>
          <w:sz w:val="20"/>
        </w:rPr>
      </w:pPr>
      <w:r>
        <w:rPr>
          <w:rFonts w:ascii="Times New Roman" w:hAnsi="Times New Roman"/>
          <w:sz w:val="20"/>
        </w:rPr>
        <w:t xml:space="preserve">(3) the Company has instructed the Trustee, the Paying Agent or the conversion agent, as applicable, to pay or deliver cash or other property due on the Notes from the cash or other property deposited pursuant to the provisions described in clauses (1) and (2) above as the same becomes due; </w:t>
      </w:r>
    </w:p>
    <w:p>
      <w:pPr>
        <w:pStyle w:val="TextBody"/>
        <w:bidi w:val="0"/>
        <w:spacing w:before="240" w:after="0"/>
        <w:jc w:val="left"/>
        <w:rPr>
          <w:rFonts w:ascii="Times New Roman" w:hAnsi="Times New Roman"/>
          <w:sz w:val="20"/>
        </w:rPr>
      </w:pPr>
      <w:r>
        <w:rPr>
          <w:rFonts w:ascii="Times New Roman" w:hAnsi="Times New Roman"/>
          <w:sz w:val="20"/>
        </w:rPr>
        <w:t xml:space="preserve">(4) as of the time of the deposits referred to in clauses (1) and (2) above, no default in the payment or delivery of any amount or property (including conversion consideration) on any note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(5) pursuant to the provision described in the last two paragraphs under Section 14.02 or the provision described in clause (h) of Section 10.01, the Company has irrevocably elected physical settlement when permitted to do so, or combination settlement with a Specified Dollar Amount not exceeding $1,000 per $1,000 principal amount of Notes, to apply to all subsequent conversions of Notes; </w:t>
      </w:r>
    </w:p>
    <w:p>
      <w:pPr>
        <w:pStyle w:val="TextBody"/>
        <w:bidi w:val="0"/>
        <w:spacing w:before="240" w:after="0"/>
        <w:jc w:val="left"/>
        <w:rPr>
          <w:rFonts w:ascii="Times New Roman" w:hAnsi="Times New Roman"/>
          <w:sz w:val="20"/>
        </w:rPr>
      </w:pPr>
      <w:r>
        <w:rPr>
          <w:rFonts w:ascii="Times New Roman" w:hAnsi="Times New Roman"/>
          <w:sz w:val="20"/>
        </w:rPr>
        <w:t xml:space="preserve">(6) the Company has delivered to the Trustee an Opinion of Counsel confirming that the Holders will not recognize any income, gain or loss for U.S. federal income tax purposes as a result of the covenant defeasance described in this Section 19.01 and will be subject to U.S. federal income tax on the same amounts, in the same manner and at the same times, as would have been the case if such covenant defeasance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(7) such covenant defeasance will not result in a breach or violation of, or constitute a default under, any material agreement or instrument to which the Company is a party or by which we are bound; </w:t>
      </w:r>
    </w:p>
    <w:p>
      <w:pPr>
        <w:pStyle w:val="TextBody"/>
        <w:bidi w:val="0"/>
        <w:spacing w:before="240" w:after="0"/>
        <w:jc w:val="left"/>
        <w:rPr>
          <w:rFonts w:ascii="Times New Roman" w:hAnsi="Times New Roman"/>
          <w:sz w:val="20"/>
        </w:rPr>
      </w:pPr>
      <w:r>
        <w:rPr>
          <w:rFonts w:ascii="Times New Roman" w:hAnsi="Times New Roman"/>
          <w:sz w:val="20"/>
        </w:rPr>
        <w:t xml:space="preserve">(8) the Company has delivered to the Trustee an Officer’s Certificate stating that the deposits referred to in clauses (1) and (2) above were not made by the Company with the intent of preferring the Holders over the other creditors of the Company with the intent of defeating, hindering, delaying or defrauding any creditors of the Company or others; and </w:t>
      </w:r>
    </w:p>
    <w:p>
      <w:pPr>
        <w:pStyle w:val="TextBody"/>
        <w:bidi w:val="0"/>
        <w:spacing w:before="240" w:after="0"/>
        <w:jc w:val="left"/>
        <w:rPr>
          <w:rFonts w:ascii="Times New Roman" w:hAnsi="Times New Roman"/>
          <w:sz w:val="20"/>
        </w:rPr>
      </w:pPr>
      <w:r>
        <w:rPr>
          <w:rFonts w:ascii="Times New Roman" w:hAnsi="Times New Roman"/>
          <w:sz w:val="20"/>
        </w:rPr>
        <w:t xml:space="preserve">(9) the Company has delivered to the Trustee an Officer’s Certificate and an Opinion of Counsel, each stating that all conditions precedent relating to such covenant defeasance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then, notwithstanding anything to the contrary, the covenants described in Section 4.10, Section 4.11, Section 4.12, Section 4.13, Section 4.14 and Section 4.15 shall thereafter cease to be of any force or effect, and, for the avoidance of doubt, any omission to comply with any of such covenants shall not in itself constitute a default or event of default under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BEYOND MEAT, INC., as the Company</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Lubi Kutua</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Lubi Kutua</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Chief Financial Officer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NATIONAL</w:t>
              <w:br/>
              <w:t>ASSOCIATION, as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Karen Ferry</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Karen Ferry</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NATIONAL</w:t>
              <w:br/>
              <w:t>ASSOCIATION, as Collateral Agent</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Karen Ferry</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Karen Ferry</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13.08 </w:t>
      </w:r>
    </w:p>
    <w:p>
      <w:pPr>
        <w:pStyle w:val="TextBody"/>
        <w:bidi w:val="0"/>
        <w:spacing w:before="120" w:after="0"/>
        <w:jc w:val="center"/>
        <w:rPr>
          <w:rFonts w:ascii="Times New Roman" w:hAnsi="Times New Roman"/>
          <w:b/>
          <w:sz w:val="20"/>
        </w:rPr>
      </w:pPr>
      <w:r>
        <w:rPr>
          <w:rFonts w:ascii="Times New Roman" w:hAnsi="Times New Roman"/>
          <w:b/>
          <w:sz w:val="20"/>
        </w:rPr>
        <w:t xml:space="preserve">POST-CLOSING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ten (10) Business Days after the Issue Date (it being agreed that any efforts taken by the Company prior to the Issue Date shall be deemed to have been taken within such period), the Company shall take commercially reasonable efforts to seek advice and consultation procedures with the Dutch Entity’s works council by submitting a request for advice to the Dutch Entity’s works council regarding the entering into of a supplemental indenture or other documentation to be joined as a Guarantor under the Notes, all in accordance with the Dutch Works Councils Act, to (x) cause the Dutch Entity to guarantee the Notes, (y) cause the Dutch Entity to grant a second-priority security interest in its Collateral (subject to Permitted Liens, the Applicable Intercreditor Agreement and any other exceptions set forth in the Note Documents) and (z) grant a second-priority security interest in the Company’s equity interest in the Dutch Entity (subject to Permitted Liens, the Applicable Intercreditor Agreement and any other exceptions set forth in the Note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Within the later of (x) ninety (90) days after the Issue Date, (y) forty-five (45) days after clause (c) in this Schedule 13.08 is complied with and (z) such later date as the Collateral Agent may agree, (i) the Company shall take commercially reasonable efforts to deliver, or cause to be delivered, to the Collateral Agent a certified copy of the Dutch notarial deed of pledge of the Equity Interests of the Dutch Entity and (ii) the Company shall take commercially reasonable efforts to cause the Dutch Entity to deliver, or cause to be delivered, (x) a Dutch law governed pledge of all other Collateral with respect to the Dutch Entity and (y) a customary director’s certificate, together with customary attachments (</w:t>
            </w:r>
            <w:r>
              <w:rPr>
                <w:rFonts w:ascii="Times New Roman" w:hAnsi="Times New Roman"/>
                <w:i/>
                <w:sz w:val="20"/>
              </w:rPr>
              <w:t>e.g.</w:t>
            </w:r>
            <w:r>
              <w:rPr>
                <w:rFonts w:ascii="Times New Roman" w:hAnsi="Times New Roman"/>
                <w:sz w:val="20"/>
              </w:rPr>
              <w:t xml:space="preserve"> managing board resolutions, shareholder resolutions, specimen signatures, required confirmations and positive/neutral works council advice, as applicable) to such certificate and customary legal opinions covering the capacity of the Dutch Entity and the enforceability of the agreements set forth in immediately preceding clauses (i) and (ii)(x), each addressed to the Collateral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the later of (x) ninety (90) days after the Issue Date, (y) forty-five (45) days after clause (a) in this Schedule 13.08 is complied with and (z) such later date as the Collateral Agent may agree, the Company shall take commercially reasonable efforts to deliver a copy of the request for advice from the works council and a copy of (A) if received by the Company or the Dutch Entity, the positive or neutral advice from the works council which contains no condition, which if not fulfilled, would result in a breach of any of the Note Documents or (B) if such confirmation would be true and correct, a board resolution which confirms that a works council has been installed but does not have jurisdiction in respect of the transactions contemplated by the Note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the later of (x) ninety (90) days after the Issue Date, (y) forty-five (45) days after clause (c) in this Schedule 13.08 is complied with and (z) such later date as the Collateral Agent may agree, the Company shall take commercially reasonable efforts to cause the Dutch Entity to deliver, or cause to be delivered, to the Collateral Agent a fully executed and compiled supplement to the Perfection Certificate and a fully executed supplemental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seventy-five (75) days after the Issue Date (or such later date as the Collateral Agent may agree), the Company shall deliver, or cause to be delivered, to the Collateral Agent, deposit account control agreements, in form and substance reasonably satisfactory to the Collateral Agent, which provide for the Collateral Agent, on behalf of the Holders, to have “control” as defined in the Code over the Deposit Accounts (as defined in Article 9 of the Code) (other than Excluded Accounts) specified in the Perfection Certificate as of the Issue Date and maintained by any Note Party on the Issue Date, in each case, among the Collateral Agent, the applicable Note Party and the applicable financial institution or securities intermediary at which such Deposit Account (as defined in Article 9 of the Code) is maintained;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seventy-five (75) days after the Issue Date (or such later date as the Collateral Agent may agree), the Company shall deliver, or cause to be delivered, to the Collateral Agent, fully executed and notarized mortgages for any fee-owned real property specified in the Perfection Certificate as of the Issue Date and owned by the Company in the United States, in each case, having a fair market value of greater than $1,000,000 (as determined in good faith by the Company), along with ALTA mortgage title insurance policies issued by a title insurance company reasonably acceptable to the Collateral Agent, assuring the Collateral Agent that the mortgage covering such real property creates a valid and enforceable second priority mortgage lien on such real property (subject to the Intercreditor Agreement and Permitted Liens), free and clear of all defects and encumbrances, except Permitted Liens, which title insurance policies shall (i) otherwise be in form and substance reasonably satisfactory to the Collateral Agent and (ii) include such endorsements as requested by the Collateral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forty-five (45) days after the Issue Date (or such later date as the Collateral Agent may agree), the Company shall execute such Intellectual Property security agreements as the Collateral Agent may reasonably request to perfect the Collateral Agent’s security interest in Intellectual Property owned by the Company and specified in the Perfection Certificate as of the Effective Date, for recording with the United States Copyright Office and the United States Patent and Trademark Office, as the case may be (for the avoidance of doubt, the Company shall not be obligated to perfect any foreign Intellectual Property);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later than thirty (30) days after the Issue Date (or such later date as the Collateral Agent may agree), the Company shall deliver, or cause to be delivered to the Collateral Agent, in form and substance reasonably satisfactory to the Collateral Agent, a global intercompany note and the related allonge with respect to Intercompany Debt in which the Company has granted a security interest to the Collateral Agent under Section 19.01; </w:t>
            </w:r>
            <w:r>
              <w:rPr>
                <w:rFonts w:ascii="Times New Roman" w:hAnsi="Times New Roman"/>
                <w:i/>
                <w:sz w:val="20"/>
              </w:rPr>
              <w:t>provided</w:t>
            </w:r>
            <w:r>
              <w:rPr>
                <w:rFonts w:ascii="Times New Roman" w:hAnsi="Times New Roman"/>
                <w:sz w:val="20"/>
              </w:rPr>
              <w:t xml:space="preserve"> that, notwithstanding the foregoing, to the extent that any Lien on any Collateral is perfected by the possession or control of such Collateral or of any account in which such Collateral is held, and if such Collateral or any such account is in fact in the possession or under the control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Designated First Lien Representative (as defined in the Intercreditor Agreement), the Designated Second Lien Representative (as defined in the Intercreditor Agreement) or agents or bailees of the Designated First Lien Representative (as defined in the Intercreditor Agreement) or Designated Second Lien Representative (as defined in the Intercreditor Agreement), respectively, in each case, in accordance with the Intercreditor Agreement, the perfection actions and related deliverables described in this Schedule 13.08 shall not be required.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sz w:val="20"/>
        </w:rPr>
      </w:pPr>
      <w:r>
        <w:rPr>
          <w:rFonts w:ascii="Times New Roman" w:hAnsi="Times New Roman"/>
          <w:sz w:val="20"/>
        </w:rPr>
        <w:t xml:space="preserve">[FORM OF FACE OF NOTE] </w:t>
      </w:r>
    </w:p>
    <w:p>
      <w:pPr>
        <w:pStyle w:val="TextBody"/>
        <w:bidi w:val="0"/>
        <w:spacing w:before="120" w:after="0"/>
        <w:jc w:val="center"/>
        <w:rPr>
          <w:rFonts w:ascii="Times New Roman" w:hAnsi="Times New Roman"/>
          <w:sz w:val="20"/>
        </w:rPr>
      </w:pPr>
      <w:r>
        <w:rPr>
          <w:rFonts w:ascii="Times New Roman" w:hAnsi="Times New Roman"/>
          <w:sz w:val="20"/>
        </w:rPr>
        <w:t xml:space="preserve">[INCLUDE FOLLOWING LEGEND IF A GLOBAL NOTE]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[INCLUDE FOLLOWING LEGEND IF A RESTRICTED SECURITY] </w:t>
      </w:r>
    </w:p>
    <w:p>
      <w:pPr>
        <w:pStyle w:val="TextBody"/>
        <w:bidi w:val="0"/>
        <w:spacing w:before="240" w:after="0"/>
        <w:jc w:val="left"/>
        <w:rPr>
          <w:rFonts w:ascii="Times New Roman" w:hAnsi="Times New Roman"/>
          <w:sz w:val="20"/>
        </w:rPr>
      </w:pPr>
      <w:r>
        <w:rPr>
          <w:rFonts w:ascii="Times New Roman" w:hAnsi="Times New Roman"/>
          <w:sz w:val="20"/>
        </w:rPr>
        <w:t xml:space="preserve">[THIS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 AGREES FOR THE BENEFIT OF BEYOND MEAT, INC. (THE “COMPANY”) THAT IT WILL NOT OFFER, SELL, PLEDGE OR OTHERWISE TRANSFER THIS SECURITY OR ANY BENEFICIAL INTEREST HEREIN PRIOR TO THE DATE THAT IS THE LATEST OF (X) ONE YEAR AFTER THE DATE OF ORIGINAL ISSUANCE HEREOF OR SUCH SHORTER PERIOD OF TIME AS PERMITTED BY RULE 144 OR ANY SUCCESSOR PROVISION THERETO, (Y) SUCH LATER DATE, IF ANY, AS MAY BE REQUIRED BY APPLICABLE LAW (AS DETERMINED IN GOOD FAITH BY THE COMPANY), AND (Z) THE DATE THE COMPANY RECEIVES NOTICE FROM A HOLDER REQUESTING THAT THE LEGEND BE REMOVED, EXCEPT: </w:t>
      </w:r>
    </w:p>
    <w:p>
      <w:pPr>
        <w:pStyle w:val="TextBody"/>
        <w:bidi w:val="0"/>
        <w:spacing w:before="120" w:after="0"/>
        <w:jc w:val="left"/>
        <w:rPr>
          <w:rFonts w:ascii="Times New Roman" w:hAnsi="Times New Roman"/>
          <w:sz w:val="20"/>
        </w:rPr>
      </w:pPr>
      <w:r>
        <w:rPr>
          <w:rFonts w:ascii="Times New Roman" w:hAnsi="Times New Roman"/>
          <w:sz w:val="20"/>
        </w:rPr>
        <w:t xml:space="preserve">(A) TO THE COMPANY OR ANY SUBSIDIARY THEREOF, OR </w:t>
      </w:r>
    </w:p>
    <w:p>
      <w:pPr>
        <w:pStyle w:val="TextBody"/>
        <w:bidi w:val="0"/>
        <w:spacing w:before="120" w:after="0"/>
        <w:jc w:val="left"/>
        <w:rPr>
          <w:rFonts w:ascii="Times New Roman" w:hAnsi="Times New Roman"/>
          <w:sz w:val="20"/>
        </w:rPr>
      </w:pPr>
      <w:r>
        <w:rPr>
          <w:rFonts w:ascii="Times New Roman" w:hAnsi="Times New Roman"/>
          <w:sz w:val="20"/>
        </w:rPr>
        <w:t xml:space="preserve">(B) PURSUANT TO A REGISTRATION STATEMENT WHICH HAS BECOME EFFECTIVE UNDER THE SECURITIES ACT, OR </w:t>
      </w:r>
    </w:p>
    <w:p>
      <w:pPr>
        <w:pStyle w:val="TextBody"/>
        <w:bidi w:val="0"/>
        <w:spacing w:before="120" w:after="0"/>
        <w:jc w:val="left"/>
        <w:rPr>
          <w:rFonts w:ascii="Times New Roman" w:hAnsi="Times New Roman"/>
          <w:sz w:val="20"/>
        </w:rPr>
      </w:pPr>
      <w:r>
        <w:rPr>
          <w:rFonts w:ascii="Times New Roman" w:hAnsi="Times New Roman"/>
          <w:sz w:val="20"/>
        </w:rPr>
        <w:t xml:space="preserve">(C) PURSUANT TO AN EXEMPTION FROM REGISTRATION PROVIDED BY RULE 144 UNDER THE SECURITIES ACT OR ANY OTHER AVAILABLE EXEMPTION FROM THE REGISTRATION REQUIREMENTS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THE REGISTRATION OF ANY TRANSFER IN ACCORDANCE WITH CLAUSE (2)(C)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[INCLUDE FOLLOWING OID LEGEND IF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IS SUPPLIED SOLELY FOR U.S. FEDERAL INCOME TAX PURPOSES. THIS NOTE WAS ISSUED WITH ORIGINAL ISSUE DISCOUNT (“OID”) WITHIN THE MEANING OF SECTION 1273 OF THE INTERNAL REVENUE CODE OF 1986, AS AMENDED (THE “CODE”), AND THIS LEGEND IS REQUIRED BY SECTION 1275(c) OF THE CODE. UPON REQUEST, THE COMPANY WILL PROMPTLY MAKE AVAILABLE TO A HOLDER OF THIS NOTE INFORMATION REGARDING THE ISSUE PRICE, AMOUNT OF OID, ISSUE DATE AND YIELD TO MATURITY OF THE NOTES BY SUBMITTING A WRITTEN REQUEST FOR SUCH INFORMATION TO THE COMPANY AT BEYOND MEAT, INC., 888 N. DOUGLAS ST., SUITE 100, EL SEGUNDO, CALIFORNIA, 90245, ATTENTION: CHIEF LEGAL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Beyond Meat, Inc. </w:t>
      </w:r>
    </w:p>
    <w:p>
      <w:pPr>
        <w:pStyle w:val="TextBody"/>
        <w:bidi w:val="0"/>
        <w:spacing w:before="120" w:after="0"/>
        <w:jc w:val="center"/>
        <w:rPr>
          <w:rFonts w:ascii="Times New Roman" w:hAnsi="Times New Roman"/>
          <w:sz w:val="20"/>
        </w:rPr>
      </w:pPr>
      <w:r>
        <w:rPr>
          <w:rFonts w:ascii="Times New Roman" w:hAnsi="Times New Roman"/>
          <w:sz w:val="20"/>
        </w:rPr>
        <w:t xml:space="preserve">Convertible Senior Secured Second Lien PIK Toggle Notes due 2030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1"/>
        <w:gridCol w:w="121"/>
        <w:gridCol w:w="4843"/>
      </w:tblGrid>
      <w:tr>
        <w:trPr/>
        <w:tc>
          <w:tcPr>
            <w:tcW w:w="524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43" w:type="dxa"/>
            <w:tcBorders/>
            <w:vAlign w:val="center"/>
          </w:tcPr>
          <w:p>
            <w:pPr>
              <w:pStyle w:val="TableContents"/>
              <w:bidi w:val="0"/>
              <w:spacing w:before="0" w:after="283"/>
              <w:jc w:val="left"/>
              <w:rPr>
                <w:sz w:val="4"/>
                <w:szCs w:val="4"/>
              </w:rPr>
            </w:pPr>
            <w:r>
              <w:rPr>
                <w:sz w:val="4"/>
                <w:szCs w:val="4"/>
              </w:rPr>
            </w:r>
          </w:p>
        </w:tc>
      </w:tr>
      <w:tr>
        <w:trPr/>
        <w:tc>
          <w:tcPr>
            <w:tcW w:w="5241" w:type="dxa"/>
            <w:tcBorders/>
          </w:tcPr>
          <w:p>
            <w:pPr>
              <w:pStyle w:val="TableContents"/>
              <w:bidi w:val="0"/>
              <w:spacing w:before="0" w:after="283"/>
              <w:jc w:val="left"/>
              <w:rPr/>
            </w:pPr>
            <w:r>
              <w:rPr/>
              <w:t>No. [_______]</w:t>
            </w:r>
          </w:p>
        </w:tc>
        <w:tc>
          <w:tcPr>
            <w:tcW w:w="121" w:type="dxa"/>
            <w:tcBorders/>
            <w:vAlign w:val="bottom"/>
          </w:tcPr>
          <w:p>
            <w:pPr>
              <w:pStyle w:val="TableContents"/>
              <w:bidi w:val="0"/>
              <w:spacing w:before="0" w:after="283"/>
              <w:jc w:val="left"/>
              <w:rPr/>
            </w:pPr>
            <w:r>
              <w:rPr/>
              <w:t>  </w:t>
            </w:r>
          </w:p>
        </w:tc>
        <w:tc>
          <w:tcPr>
            <w:tcW w:w="4843" w:type="dxa"/>
            <w:tcBorders/>
          </w:tcPr>
          <w:p>
            <w:pPr>
              <w:pStyle w:val="TableContents"/>
              <w:bidi w:val="0"/>
              <w:spacing w:before="0" w:after="283"/>
              <w:jc w:val="right"/>
              <w:rPr/>
            </w:pPr>
            <w:r>
              <w:rPr/>
              <w:t>[Initially]1 $[________]</w:t>
            </w:r>
          </w:p>
        </w:tc>
      </w:tr>
    </w:tbl>
    <w:p>
      <w:pPr>
        <w:pStyle w:val="TextBody"/>
        <w:bidi w:val="0"/>
        <w:spacing w:before="240" w:after="0"/>
        <w:jc w:val="right"/>
        <w:rPr>
          <w:rFonts w:ascii="Times New Roman" w:hAnsi="Times New Roman"/>
          <w:sz w:val="20"/>
        </w:rPr>
      </w:pPr>
      <w:r>
        <w:rPr>
          <w:rFonts w:ascii="Times New Roman" w:hAnsi="Times New Roman"/>
          <w:sz w:val="20"/>
        </w:rPr>
        <w:t xml:space="preserve">[CUSIP No. [  ]]2 3 </w:t>
      </w:r>
    </w:p>
    <w:p>
      <w:pPr>
        <w:pStyle w:val="TextBody"/>
        <w:bidi w:val="0"/>
        <w:spacing w:before="240" w:after="0"/>
        <w:jc w:val="left"/>
        <w:rPr>
          <w:rFonts w:ascii="Times New Roman" w:hAnsi="Times New Roman"/>
          <w:sz w:val="20"/>
        </w:rPr>
      </w:pPr>
      <w:r>
        <w:rPr>
          <w:rFonts w:ascii="Times New Roman" w:hAnsi="Times New Roman"/>
          <w:sz w:val="20"/>
        </w:rPr>
        <w:t>Beyond Meat, Inc., a corporation duly organized and validly existing under the laws of the State of Delaware (the “</w:t>
      </w:r>
      <w:r>
        <w:rPr>
          <w:rFonts w:ascii="Times New Roman" w:hAnsi="Times New Roman"/>
          <w:b/>
          <w:sz w:val="20"/>
        </w:rPr>
        <w:t>Company</w:t>
      </w:r>
      <w:r>
        <w:rPr>
          <w:rFonts w:ascii="Times New Roman" w:hAnsi="Times New Roman"/>
          <w:sz w:val="20"/>
        </w:rPr>
        <w:t xml:space="preserve">,” which term includes any successor corporation or other entity under the Indenture referred to on the reverse hereof), for value received hereby promises to pay to [CEDE &amp; CO.]4 [________]5, or registered assigns, the principal sum [as set forth in the “Schedule of Exchanges of Notes” attached hereto]6 [of $[______]]7, which amount, taken together with the principal amounts of all other outstanding Notes, shall not, unless permitted by the Indenture, exceed $208,717,000 in aggregate at any time (exclusive of any PIK Notes)[, in accordance with the rules and procedures of the Depositary,]8 on October 15, 2030, and interest thereon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Indenture and the following paragraph, this Note shall bear interest at the rate of either (i) 7.00% per year, if Cash Interest or Common Stock Interest is paid, or (ii) 9.50% per year, if PIK Interest is paid, in each case from October 15, 2025, or from the most recent date to which interest has been paid or provided for to, but excluding, the next scheduled Interest Payment Date until October 15, 2030. Accrued interest on this Note shall be computed on the basis of a 360-day year composed of twelve 30-day months and, for partial months, on the basis of the number of days actually elapsed in a 30-day month. Interest is payable in Common Stock in the case of Stock Interest or in cash in the case of Cash Interest, or PIK Notes are issuable in the case of PIK Interest, in each case semi-annually in arrears on each May 1 and November 1, commencing on May 1, 2026, to Holders of record at the close of business on the preceding April 15 and October 15 (whether or not such day is a Business Day), respectively. Additional Interest will be payable as set forth in Section 6.03 of the within-mentioned Indenture, and any reference to interest on, or in respect of, any Note therein shall be deemed to include Additional Interest if, in such context, Additional Interest is, was or would be payable pursuant to Section 6.03, and any express mention of the payment of Additional Interest in any provision therein shall not be construed as excluding Additional Interest in those provisions thereof where such express mention is not made.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a global note.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Note will be deemed to be identified by CUSIP No. [  ] from and after such time when the Company delivers, pursuant to Section 2.05(c) of the within-mentioned Indenture, written notice to the Trustee of the occurrence of the Resale Restriction Termination Date and the removal of the restrictive legend affixed to this Note in accordance with the applicable procedures of the Depositary.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a global note.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a global note.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a physical note.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a global note.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a physical note.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a global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absence of a Default or Event of Default and (i) in the event the Company does not intend to pay interest 100% in the form of PIK Interest, the Company shall deliver an Interest Determination Notice to the Trustee and the Paying Agent not less than five (5) Business Days prior to the Interest Payment Date of the relevant Interest Period in accordance with Section 2.03 of the Indenture and (ii) in the event the Company intends to pay any interest in the form of Common Stock Interest, the Company shall deliver a Stock Interest Notice to the Trustee and the Holders no later than the date that is one (1) Trading Day prior to the commencement of the relevant Stock Interest Determination Period in accordance with Section 2.03 of the Indenture. Any PIK Interest on the Global Notes will increase the principal amount of the Global Notes by an amount equal to the amount of PIK Interest for the applicable period (rounded to the nearest whole dollar, with amounts of $0.50 or more being rounded up). Any references to the principal amount of any Global Note herein shall mean the then current principal amount as increased by any PIK Interest, and references to accrued but unpaid interest shall not include any interest provided for as PIK Interest. Following an increase in the principal amount of the outstanding Global Notes as a result of PIK Interest, the Global Notes will bear interest on such increased principal amount from and after the date of such increase. </w:t>
      </w:r>
    </w:p>
    <w:p>
      <w:pPr>
        <w:pStyle w:val="TextBody"/>
        <w:bidi w:val="0"/>
        <w:spacing w:before="240" w:after="0"/>
        <w:jc w:val="left"/>
        <w:rPr>
          <w:rFonts w:ascii="Times New Roman" w:hAnsi="Times New Roman"/>
          <w:sz w:val="20"/>
        </w:rPr>
      </w:pPr>
      <w:r>
        <w:rPr>
          <w:rFonts w:ascii="Times New Roman" w:hAnsi="Times New Roman"/>
          <w:sz w:val="20"/>
        </w:rPr>
        <w:t xml:space="preserve">Any Defaulted Amounts shall accrue interest per annum at the rate borne by the Notes, from, and including, the relevant payment date to, but excluding, the date on which such Defaulted Amounts shall have been paid by the Company, at its election, in accordance with Section 2.03(d)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the principal of and Cash Interest on this Note, if and so long as such Note is a Global Note, in immediately available funds in lawful money of the United States at the time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Corporate Trust Office located in the United States of America, as a place where Notes may be presented for payment or for registration of transfer and exchange. </w:t>
      </w:r>
    </w:p>
    <w:p>
      <w:pPr>
        <w:pStyle w:val="TextBody"/>
        <w:bidi w:val="0"/>
        <w:spacing w:before="240" w:after="0"/>
        <w:jc w:val="left"/>
        <w:rPr>
          <w:rFonts w:ascii="Times New Roman" w:hAnsi="Times New Roman"/>
          <w:sz w:val="20"/>
        </w:rPr>
      </w:pPr>
      <w:r>
        <w:rPr>
          <w:rFonts w:ascii="Times New Roman" w:hAnsi="Times New Roman"/>
          <w:sz w:val="20"/>
        </w:rPr>
        <w:t xml:space="preserve">The Company’s obligations under this Note are fully and unconditionally guaranteed, jointly and severally, by the Guarantors from time to time party to the Indenture, if any. </w:t>
      </w:r>
    </w:p>
    <w:p>
      <w:pPr>
        <w:pStyle w:val="TextBody"/>
        <w:bidi w:val="0"/>
        <w:spacing w:before="240" w:after="0"/>
        <w:jc w:val="left"/>
        <w:rPr>
          <w:rFonts w:ascii="Times New Roman" w:hAnsi="Times New Roman"/>
          <w:sz w:val="20"/>
        </w:rPr>
      </w:pPr>
      <w:r>
        <w:rPr>
          <w:rFonts w:ascii="Times New Roman" w:hAnsi="Times New Roman"/>
          <w:sz w:val="20"/>
        </w:rPr>
        <w:t xml:space="preserve">This Note will be secured by the Collateral. Reference is made to the Indenture and the Collateral Documents for terms relating to such security, including the release, termination and discharge thereof. The Company shall not be required to make any notation on this Note to reflect any grant of such security or any such release, termination or discharge.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further provisions of this Note set forth on the reverse hereof, including, without limitation, provisions giving each of the Holder of this Note and the Company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This Note, and any claim, controversy or dispute arising under or related to this Note, shall be construed in accordance with and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conflict between this Note and the Indenture, the provisions of the Indenture shall control and govern.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not be valid or become obligatory for any purpose until the certificate of authentication hereon shall have been signed manually by the Trustee or a duly authorized authenticating agent under the Indenture.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Note to be duly executed.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4"/>
        <w:gridCol w:w="61"/>
        <w:gridCol w:w="3617"/>
      </w:tblGrid>
      <w:tr>
        <w:trPr/>
        <w:tc>
          <w:tcPr>
            <w:tcW w:w="40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BEYOND MEAT, INC.</w:t>
            </w:r>
          </w:p>
        </w:tc>
      </w:tr>
      <w:tr>
        <w:trPr>
          <w:trHeight w:val="240" w:hRule="atLeast"/>
        </w:trPr>
        <w:tc>
          <w:tcPr>
            <w:tcW w:w="404" w:type="dxa"/>
            <w:tcBorders/>
            <w:vAlign w:val="center"/>
          </w:tcPr>
          <w:p>
            <w:pPr>
              <w:pStyle w:val="TableContents"/>
              <w:bidi w:val="0"/>
              <w:spacing w:before="0" w:after="283"/>
              <w:jc w:val="left"/>
              <w:rPr>
                <w:sz w:val="4"/>
                <w:szCs w:val="4"/>
              </w:rPr>
            </w:pPr>
            <w:r>
              <w:rPr>
                <w:sz w:val="4"/>
                <w:szCs w:val="4"/>
              </w:rPr>
            </w:r>
          </w:p>
        </w:tc>
        <w:tc>
          <w:tcPr>
            <w:tcW w:w="3678" w:type="dxa"/>
            <w:gridSpan w:val="2"/>
            <w:tcBorders/>
            <w:vAlign w:val="center"/>
          </w:tcPr>
          <w:p>
            <w:pPr>
              <w:pStyle w:val="TableContents"/>
              <w:bidi w:val="0"/>
              <w:spacing w:before="0" w:after="283"/>
              <w:jc w:val="left"/>
              <w:rPr>
                <w:sz w:val="4"/>
                <w:szCs w:val="4"/>
              </w:rPr>
            </w:pPr>
            <w:r>
              <w:rPr>
                <w:sz w:val="4"/>
                <w:szCs w:val="4"/>
              </w:rPr>
            </w:r>
          </w:p>
        </w:tc>
      </w:tr>
      <w:tr>
        <w:trPr/>
        <w:tc>
          <w:tcPr>
            <w:tcW w:w="40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7" w:type="dxa"/>
            <w:tcBorders>
              <w:bottom w:val="single" w:sz="2" w:space="0" w:color="000000"/>
            </w:tcBorders>
            <w:tcMar>
              <w:bottom w:w="28" w:type="dxa"/>
            </w:tcMar>
          </w:tcPr>
          <w:p>
            <w:pPr>
              <w:pStyle w:val="TableContents"/>
              <w:bidi w:val="0"/>
              <w:spacing w:before="0" w:after="283"/>
              <w:jc w:val="left"/>
              <w:rPr/>
            </w:pPr>
            <w:r>
              <w:rPr/>
              <w:t> </w:t>
            </w:r>
          </w:p>
        </w:tc>
      </w:tr>
      <w:tr>
        <w:trPr/>
        <w:tc>
          <w:tcPr>
            <w:tcW w:w="40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7" w:type="dxa"/>
            <w:tcBorders/>
          </w:tcPr>
          <w:p>
            <w:pPr>
              <w:pStyle w:val="TableContents"/>
              <w:bidi w:val="0"/>
              <w:spacing w:before="0" w:after="283"/>
              <w:jc w:val="left"/>
              <w:rPr/>
            </w:pPr>
            <w:r>
              <w:rPr/>
              <w:t>Name:</w:t>
            </w:r>
          </w:p>
        </w:tc>
      </w:tr>
      <w:tr>
        <w:trPr/>
        <w:tc>
          <w:tcPr>
            <w:tcW w:w="40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7"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TRUSTEE’S CERTIFICATE OF AUTHENTICATION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NATIONAL ASSOCIATION</w:t>
              <w:br/>
              <w:t>as Trustee, certifies that this is one of the Notes described</w:t>
              <w:br/>
              <w:t>in the within-named Indenture.</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 </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Authorized Signatory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[FORM OF REVERSE OF NOTE] </w:t>
      </w:r>
    </w:p>
    <w:p>
      <w:pPr>
        <w:pStyle w:val="TextBody"/>
        <w:bidi w:val="0"/>
        <w:spacing w:before="120" w:after="0"/>
        <w:jc w:val="center"/>
        <w:rPr>
          <w:rFonts w:ascii="Times New Roman" w:hAnsi="Times New Roman"/>
          <w:sz w:val="20"/>
        </w:rPr>
      </w:pPr>
      <w:r>
        <w:rPr>
          <w:rFonts w:ascii="Times New Roman" w:hAnsi="Times New Roman"/>
          <w:sz w:val="20"/>
        </w:rPr>
        <w:t xml:space="preserve">Beyond Meat, Inc. </w:t>
      </w:r>
    </w:p>
    <w:p>
      <w:pPr>
        <w:pStyle w:val="TextBody"/>
        <w:bidi w:val="0"/>
        <w:spacing w:before="0" w:after="0"/>
        <w:jc w:val="center"/>
        <w:rPr>
          <w:rFonts w:ascii="Times New Roman" w:hAnsi="Times New Roman"/>
          <w:sz w:val="20"/>
        </w:rPr>
      </w:pPr>
      <w:r>
        <w:rPr>
          <w:rFonts w:ascii="Times New Roman" w:hAnsi="Times New Roman"/>
          <w:sz w:val="20"/>
        </w:rPr>
        <w:t xml:space="preserve">Convertible Senior Secured Second Lien PIK Toggle Notes due 2030 </w:t>
      </w:r>
    </w:p>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Notes of the Company, designated as its Convertible Senior Secured Second Lien PIK Toggle Notes due 2030 (the “</w:t>
      </w:r>
      <w:r>
        <w:rPr>
          <w:rFonts w:ascii="Times New Roman" w:hAnsi="Times New Roman"/>
          <w:b/>
          <w:sz w:val="20"/>
        </w:rPr>
        <w:t>Notes</w:t>
      </w:r>
      <w:r>
        <w:rPr>
          <w:rFonts w:ascii="Times New Roman" w:hAnsi="Times New Roman"/>
          <w:sz w:val="20"/>
        </w:rPr>
        <w:t>”), initially limited to the aggregate principal amount of $208,717,000 (exclusive of any PIK Notes) all issued or to be issued under and pursuant to an Indenture dated as of October 15, 2025 (the “</w:t>
      </w:r>
      <w:r>
        <w:rPr>
          <w:rFonts w:ascii="Times New Roman" w:hAnsi="Times New Roman"/>
          <w:b/>
          <w:sz w:val="20"/>
        </w:rPr>
        <w:t>Indenture</w:t>
      </w:r>
      <w:r>
        <w:rPr>
          <w:rFonts w:ascii="Times New Roman" w:hAnsi="Times New Roman"/>
          <w:sz w:val="20"/>
        </w:rPr>
        <w:t>”), among the Company, the Guarantors and Wilmington Trust, National Association, as trustee (in such capacity, the “</w:t>
      </w:r>
      <w:r>
        <w:rPr>
          <w:rFonts w:ascii="Times New Roman" w:hAnsi="Times New Roman"/>
          <w:b/>
          <w:sz w:val="20"/>
        </w:rPr>
        <w:t>Trustee</w:t>
      </w:r>
      <w:r>
        <w:rPr>
          <w:rFonts w:ascii="Times New Roman" w:hAnsi="Times New Roman"/>
          <w:sz w:val="20"/>
        </w:rPr>
        <w:t>”) and collateral agent (in such capacity, the “</w:t>
      </w:r>
      <w:r>
        <w:rPr>
          <w:rFonts w:ascii="Times New Roman" w:hAnsi="Times New Roman"/>
          <w:b/>
          <w:sz w:val="20"/>
        </w:rPr>
        <w:t>Collateral Agent</w:t>
      </w:r>
      <w:r>
        <w:rPr>
          <w:rFonts w:ascii="Times New Roman" w:hAnsi="Times New Roman"/>
          <w:sz w:val="20"/>
        </w:rPr>
        <w:t xml:space="preserve">”), to which Indenture and all indentures supplemental thereto reference is hereby made for a description of the rights, limitations of rights, obligations, duties and immunities thereunder of the Trustee, the Collateral Agent, the Company, the Guarantors and the Holders of the Notes. Additional Notes and PIK Notes may be issued, subject to certain conditions specified in the Indenture. Capitalized terms used in this Note and not defined in this Note shall have the respective meanings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Indenture, the Company will make all payments and deliveries in respect of the Fundamental Change Repurchase Price on the Fundamental Change Repurchase Date, all payments and deliveries in respect of any Optional Redemption, Mandatory Conversion, Mandatory Equitization or Net Proceeds Offer on the relevant Optional Redemption Date, Conversion Date, equitization date or Net Proceeds Purchase Date, as applicable, and the principal amount on the Maturity Date, as the case may be, to the Holder who delivers a Note to a Paying Agent to collect such payments in respect of the Note. The Company will pay cash amounts in money of the United States that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permitting the Company and the Trustee in certain circumstances, without the consent of the Holders of the Notes, and in certain other circumstances, with the consent of the Holders of not less than a majority (or 75%, as applicable)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Note or of the Indenture shall alter or impair the obligation of the Company, which is absolute and unconditional, to pay or deliver, as the case may be, the principal (including the Fundamental Change Repurchase Price, if applicable) of, accrued and unpaid interest on, and the consideration due upon conversion or equitization of, this Note at the place, at the respective times, at the rate and in the lawful money herein prescribed.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Notes are issuable in registered form without coupons in denominations of $1,000 principal amount and integral multiples thereof (or denominations of $1.00 and any integral multiple of $1.00 in excess thereof after a PIK Payment).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delivered for such exchange.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the Company may force a Mandatory Conversion or Mandatory Equitization of the Notes in accordance with the terms and subject to the conditions specified in the Indenture. No sinking fund is provided for the Notes.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a Fundamental Change, the Holder has the right, at such Holder’s option, to require the Company to repurchase for cash all of such Holder’s Notes or any portion thereof on the Fundamental Change Repurchase Date at a price equal to the Fundamental Change Repurchase Price. Under certain circumstances, the Company be required to make a Net Proceeds Offer in accordance with the terms and subject to the conditions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Indenture, the Holder hereof has the right, at its option, during certain periods specified in the Indenture, prior to the close of business on the second Scheduled Trading Day immediately preceding the Maturity Date, to convert any Notes or portion thereof, into cash, shares of Common Stock or a combination of cash and shares of Common Stock, as applicable, at the Conversion Rate specified in the Indenture, as adjusted from time to time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Terms used in this Note and defined in the Indenture are used herein as therein defined.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ABBREVIATIONS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abbreviations, when used in the inscription of the face of this Note, shall be construed as though they were written out in full according to applicable laws or regulations: </w:t>
      </w:r>
    </w:p>
    <w:p>
      <w:pPr>
        <w:pStyle w:val="TextBody"/>
        <w:bidi w:val="0"/>
        <w:spacing w:before="120" w:after="0"/>
        <w:jc w:val="left"/>
        <w:rPr>
          <w:rFonts w:ascii="Times New Roman" w:hAnsi="Times New Roman"/>
          <w:sz w:val="20"/>
        </w:rPr>
      </w:pPr>
      <w:r>
        <w:rPr>
          <w:rFonts w:ascii="Times New Roman" w:hAnsi="Times New Roman"/>
          <w:sz w:val="20"/>
        </w:rPr>
        <w:t xml:space="preserve">TEN COM = as tenants in common </w:t>
      </w:r>
    </w:p>
    <w:p>
      <w:pPr>
        <w:pStyle w:val="TextBody"/>
        <w:bidi w:val="0"/>
        <w:spacing w:before="240" w:after="0"/>
        <w:jc w:val="left"/>
        <w:rPr>
          <w:rFonts w:ascii="Times New Roman" w:hAnsi="Times New Roman"/>
          <w:sz w:val="20"/>
        </w:rPr>
      </w:pPr>
      <w:r>
        <w:rPr>
          <w:rFonts w:ascii="Times New Roman" w:hAnsi="Times New Roman"/>
          <w:sz w:val="20"/>
        </w:rPr>
        <w:t xml:space="preserve">UNIF GIFT MIN ACT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CUST = Custodian </w:t>
      </w:r>
    </w:p>
    <w:p>
      <w:pPr>
        <w:pStyle w:val="TextBody"/>
        <w:bidi w:val="0"/>
        <w:spacing w:before="240" w:after="0"/>
        <w:jc w:val="left"/>
        <w:rPr>
          <w:rFonts w:ascii="Times New Roman" w:hAnsi="Times New Roman"/>
          <w:sz w:val="20"/>
        </w:rPr>
      </w:pPr>
      <w:r>
        <w:rPr>
          <w:rFonts w:ascii="Times New Roman" w:hAnsi="Times New Roman"/>
          <w:sz w:val="20"/>
        </w:rPr>
        <w:t xml:space="preserve">TEN ENT = as tenants by the entireties </w:t>
      </w:r>
    </w:p>
    <w:p>
      <w:pPr>
        <w:pStyle w:val="TextBody"/>
        <w:bidi w:val="0"/>
        <w:spacing w:before="240" w:after="0"/>
        <w:jc w:val="left"/>
        <w:rPr>
          <w:rFonts w:ascii="Times New Roman" w:hAnsi="Times New Roman"/>
          <w:sz w:val="20"/>
        </w:rPr>
      </w:pPr>
      <w:r>
        <w:rPr>
          <w:rFonts w:ascii="Times New Roman" w:hAnsi="Times New Roman"/>
          <w:sz w:val="20"/>
        </w:rPr>
        <w:t xml:space="preserve">JT TEN = joint tenants with right of survivorship and not as tenants in common </w:t>
      </w:r>
    </w:p>
    <w:p>
      <w:pPr>
        <w:pStyle w:val="TextBody"/>
        <w:bidi w:val="0"/>
        <w:spacing w:before="240" w:after="0"/>
        <w:jc w:val="left"/>
        <w:rPr>
          <w:rFonts w:ascii="Times New Roman" w:hAnsi="Times New Roman"/>
          <w:sz w:val="20"/>
        </w:rPr>
      </w:pPr>
      <w:r>
        <w:rPr>
          <w:rFonts w:ascii="Times New Roman" w:hAnsi="Times New Roman"/>
          <w:sz w:val="20"/>
        </w:rPr>
        <w:t xml:space="preserve">Additional abbreviations may also be used though not in the above list.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A9 </w:t>
      </w:r>
    </w:p>
    <w:p>
      <w:pPr>
        <w:pStyle w:val="TextBody"/>
        <w:bidi w:val="0"/>
        <w:spacing w:before="120" w:after="0"/>
        <w:jc w:val="center"/>
        <w:rPr>
          <w:rFonts w:ascii="Times New Roman" w:hAnsi="Times New Roman"/>
          <w:sz w:val="20"/>
        </w:rPr>
      </w:pPr>
      <w:r>
        <w:rPr>
          <w:rFonts w:ascii="Times New Roman" w:hAnsi="Times New Roman"/>
          <w:sz w:val="20"/>
        </w:rPr>
        <w:t xml:space="preserve">SCHEDULE OF EXCHANGES OF NOTES </w:t>
      </w:r>
    </w:p>
    <w:p>
      <w:pPr>
        <w:pStyle w:val="TextBody"/>
        <w:bidi w:val="0"/>
        <w:spacing w:before="120" w:after="0"/>
        <w:jc w:val="center"/>
        <w:rPr>
          <w:rFonts w:ascii="Times New Roman" w:hAnsi="Times New Roman"/>
          <w:sz w:val="20"/>
        </w:rPr>
      </w:pPr>
      <w:r>
        <w:rPr>
          <w:rFonts w:ascii="Times New Roman" w:hAnsi="Times New Roman"/>
          <w:sz w:val="20"/>
        </w:rPr>
        <w:t xml:space="preserve">Beyond Meat, Inc. </w:t>
      </w:r>
    </w:p>
    <w:p>
      <w:pPr>
        <w:pStyle w:val="TextBody"/>
        <w:bidi w:val="0"/>
        <w:spacing w:before="0" w:after="0"/>
        <w:jc w:val="center"/>
        <w:rPr>
          <w:rFonts w:ascii="Times New Roman" w:hAnsi="Times New Roman"/>
          <w:sz w:val="20"/>
        </w:rPr>
      </w:pPr>
      <w:r>
        <w:rPr>
          <w:rFonts w:ascii="Times New Roman" w:hAnsi="Times New Roman"/>
          <w:sz w:val="20"/>
        </w:rPr>
        <w:t xml:space="preserve">Convertible Senior Secured Second Lien PIK Toggle Notes due 2030 </w:t>
      </w:r>
    </w:p>
    <w:p>
      <w:pPr>
        <w:pStyle w:val="TextBody"/>
        <w:bidi w:val="0"/>
        <w:spacing w:before="240" w:after="0"/>
        <w:jc w:val="left"/>
        <w:rPr>
          <w:rFonts w:ascii="Times New Roman" w:hAnsi="Times New Roman"/>
          <w:sz w:val="20"/>
        </w:rPr>
      </w:pPr>
      <w:r>
        <w:rPr>
          <w:rFonts w:ascii="Times New Roman" w:hAnsi="Times New Roman"/>
          <w:sz w:val="20"/>
        </w:rPr>
        <w:t xml:space="preserve">The initial principal amount of this Global Note is _________ MILLION DOLLARS ($[_______]). The following increases or decreases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72"/>
        <w:gridCol w:w="120"/>
        <w:gridCol w:w="1947"/>
        <w:gridCol w:w="120"/>
        <w:gridCol w:w="1936"/>
        <w:gridCol w:w="267"/>
        <w:gridCol w:w="1720"/>
        <w:gridCol w:w="120"/>
        <w:gridCol w:w="1803"/>
      </w:tblGrid>
      <w:tr>
        <w:trPr/>
        <w:tc>
          <w:tcPr>
            <w:tcW w:w="217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r>
      <w:tr>
        <w:trPr/>
        <w:tc>
          <w:tcPr>
            <w:tcW w:w="2172"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Date of exchange</w:t>
            </w:r>
          </w:p>
        </w:tc>
        <w:tc>
          <w:tcPr>
            <w:tcW w:w="120" w:type="dxa"/>
            <w:tcBorders/>
            <w:vAlign w:val="bottom"/>
          </w:tcPr>
          <w:p>
            <w:pPr>
              <w:pStyle w:val="TableContents"/>
              <w:bidi w:val="0"/>
              <w:spacing w:before="0" w:after="283"/>
              <w:jc w:val="left"/>
              <w:rPr/>
            </w:pPr>
            <w:r>
              <w:rPr/>
              <w:t>  </w:t>
            </w:r>
          </w:p>
        </w:tc>
        <w:tc>
          <w:tcPr>
            <w:tcW w:w="1947"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Amount of decrease</w:t>
            </w:r>
          </w:p>
          <w:p>
            <w:pPr>
              <w:pStyle w:val="TableContents"/>
              <w:bidi w:val="0"/>
              <w:spacing w:before="0" w:after="0"/>
              <w:jc w:val="center"/>
              <w:rPr>
                <w:rFonts w:ascii="Times New Roman" w:hAnsi="Times New Roman"/>
                <w:sz w:val="16"/>
              </w:rPr>
            </w:pPr>
            <w:r>
              <w:rPr>
                <w:rFonts w:ascii="Times New Roman" w:hAnsi="Times New Roman"/>
                <w:sz w:val="16"/>
              </w:rPr>
              <w:t>in principal amount</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of this Global Note</w:t>
            </w:r>
          </w:p>
        </w:tc>
        <w:tc>
          <w:tcPr>
            <w:tcW w:w="120"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Amount of increase</w:t>
            </w:r>
          </w:p>
          <w:p>
            <w:pPr>
              <w:pStyle w:val="TableContents"/>
              <w:bidi w:val="0"/>
              <w:spacing w:before="0" w:after="0"/>
              <w:jc w:val="center"/>
              <w:rPr>
                <w:rFonts w:ascii="Times New Roman" w:hAnsi="Times New Roman"/>
                <w:sz w:val="16"/>
              </w:rPr>
            </w:pPr>
            <w:r>
              <w:rPr>
                <w:rFonts w:ascii="Times New Roman" w:hAnsi="Times New Roman"/>
                <w:sz w:val="16"/>
              </w:rPr>
              <w:t>in principal amount</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of this Global Note</w:t>
            </w:r>
          </w:p>
        </w:tc>
        <w:tc>
          <w:tcPr>
            <w:tcW w:w="267" w:type="dxa"/>
            <w:tcBorders/>
            <w:vAlign w:val="bottom"/>
          </w:tcPr>
          <w:p>
            <w:pPr>
              <w:pStyle w:val="TableContents"/>
              <w:bidi w:val="0"/>
              <w:spacing w:before="0" w:after="283"/>
              <w:jc w:val="left"/>
              <w:rPr/>
            </w:pPr>
            <w:r>
              <w:rPr/>
              <w:t>  </w:t>
            </w:r>
          </w:p>
        </w:tc>
        <w:tc>
          <w:tcPr>
            <w:tcW w:w="1720"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Principal amount of</w:t>
            </w:r>
          </w:p>
          <w:p>
            <w:pPr>
              <w:pStyle w:val="TableContents"/>
              <w:bidi w:val="0"/>
              <w:spacing w:before="0" w:after="0"/>
              <w:jc w:val="center"/>
              <w:rPr>
                <w:rFonts w:ascii="Times New Roman" w:hAnsi="Times New Roman"/>
                <w:sz w:val="16"/>
              </w:rPr>
            </w:pPr>
            <w:r>
              <w:rPr>
                <w:rFonts w:ascii="Times New Roman" w:hAnsi="Times New Roman"/>
                <w:sz w:val="16"/>
              </w:rPr>
              <w:t>this Global Note</w:t>
            </w:r>
          </w:p>
          <w:p>
            <w:pPr>
              <w:pStyle w:val="TableContents"/>
              <w:bidi w:val="0"/>
              <w:spacing w:before="0" w:after="0"/>
              <w:jc w:val="center"/>
              <w:rPr>
                <w:rFonts w:ascii="Times New Roman" w:hAnsi="Times New Roman"/>
                <w:sz w:val="16"/>
              </w:rPr>
            </w:pPr>
            <w:r>
              <w:rPr>
                <w:rFonts w:ascii="Times New Roman" w:hAnsi="Times New Roman"/>
                <w:sz w:val="16"/>
              </w:rPr>
              <w:t>following such</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decrease or increase</w:t>
            </w:r>
          </w:p>
        </w:tc>
        <w:tc>
          <w:tcPr>
            <w:tcW w:w="120" w:type="dxa"/>
            <w:tcBorders/>
            <w:vAlign w:val="bottom"/>
          </w:tcPr>
          <w:p>
            <w:pPr>
              <w:pStyle w:val="TableContents"/>
              <w:bidi w:val="0"/>
              <w:spacing w:before="0" w:after="283"/>
              <w:jc w:val="left"/>
              <w:rPr/>
            </w:pPr>
            <w:r>
              <w:rPr/>
              <w:t>  </w:t>
            </w:r>
          </w:p>
        </w:tc>
        <w:tc>
          <w:tcPr>
            <w:tcW w:w="1803"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Signature of</w:t>
            </w:r>
          </w:p>
          <w:p>
            <w:pPr>
              <w:pStyle w:val="TableContents"/>
              <w:bidi w:val="0"/>
              <w:spacing w:before="0" w:after="0"/>
              <w:jc w:val="center"/>
              <w:rPr>
                <w:rFonts w:ascii="Times New Roman" w:hAnsi="Times New Roman"/>
                <w:sz w:val="16"/>
              </w:rPr>
            </w:pPr>
            <w:r>
              <w:rPr>
                <w:rFonts w:ascii="Times New Roman" w:hAnsi="Times New Roman"/>
                <w:sz w:val="16"/>
              </w:rPr>
              <w:t>authorized</w:t>
            </w:r>
          </w:p>
          <w:p>
            <w:pPr>
              <w:pStyle w:val="TableContents"/>
              <w:bidi w:val="0"/>
              <w:spacing w:before="0" w:after="0"/>
              <w:jc w:val="center"/>
              <w:rPr>
                <w:rFonts w:ascii="Times New Roman" w:hAnsi="Times New Roman"/>
                <w:sz w:val="16"/>
              </w:rPr>
            </w:pPr>
            <w:r>
              <w:rPr>
                <w:rFonts w:ascii="Times New Roman" w:hAnsi="Times New Roman"/>
                <w:sz w:val="16"/>
              </w:rPr>
              <w:t>signatory of Trustee</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or Custodian</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a global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ATTACHMENT 1 </w:t>
      </w:r>
    </w:p>
    <w:p>
      <w:pPr>
        <w:pStyle w:val="TextBody"/>
        <w:bidi w:val="0"/>
        <w:spacing w:before="120" w:after="0"/>
        <w:jc w:val="center"/>
        <w:rPr>
          <w:rFonts w:ascii="Times New Roman" w:hAnsi="Times New Roman"/>
          <w:sz w:val="20"/>
        </w:rPr>
      </w:pPr>
      <w:r>
        <w:rPr>
          <w:rFonts w:ascii="Times New Roman" w:hAnsi="Times New Roman"/>
          <w:sz w:val="20"/>
        </w:rPr>
        <w:t xml:space="preserve">[FORM OF NOTICE OF CONVERSION] </w:t>
      </w:r>
    </w:p>
    <w:p>
      <w:pPr>
        <w:pStyle w:val="TextBody"/>
        <w:bidi w:val="0"/>
        <w:spacing w:before="240" w:after="0"/>
        <w:jc w:val="left"/>
        <w:rPr>
          <w:rFonts w:ascii="Times New Roman" w:hAnsi="Times New Roman"/>
          <w:sz w:val="20"/>
        </w:rPr>
      </w:pPr>
      <w:r>
        <w:rPr>
          <w:rFonts w:ascii="Times New Roman" w:hAnsi="Times New Roman"/>
          <w:sz w:val="20"/>
        </w:rPr>
        <w:t xml:space="preserve">To: Beyond Meat, Inc. </w:t>
      </w:r>
    </w:p>
    <w:p>
      <w:pPr>
        <w:pStyle w:val="TextBody"/>
        <w:bidi w:val="0"/>
        <w:spacing w:before="240" w:after="0"/>
        <w:jc w:val="left"/>
        <w:rPr>
          <w:rFonts w:ascii="Times New Roman" w:hAnsi="Times New Roman"/>
          <w:sz w:val="20"/>
        </w:rPr>
      </w:pPr>
      <w:r>
        <w:rPr>
          <w:rFonts w:ascii="Times New Roman" w:hAnsi="Times New Roman"/>
          <w:sz w:val="20"/>
        </w:rPr>
        <w:t xml:space="preserve">To: Wilmington Trust,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 </w:t>
      </w:r>
    </w:p>
    <w:p>
      <w:pPr>
        <w:pStyle w:val="TextBody"/>
        <w:bidi w:val="0"/>
        <w:spacing w:before="0" w:after="0"/>
        <w:jc w:val="left"/>
        <w:rPr>
          <w:rFonts w:ascii="Times New Roman" w:hAnsi="Times New Roman"/>
          <w:sz w:val="20"/>
        </w:rPr>
      </w:pPr>
      <w:r>
        <w:rPr>
          <w:rFonts w:ascii="Times New Roman" w:hAnsi="Times New Roman"/>
          <w:sz w:val="20"/>
        </w:rPr>
        <w:t xml:space="preserve">Attention: Beyond Meat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registered owner of this Note hereby exercises the option to convert this Note, or the portion hereof (that is $1,000 principal amount (or if a PIK Payment has been made, $1.00 principal amount) or an integral multiple thereof) below designated, into cash, shares of Common Stock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Further, the undersigned represents and warrants that compliance by the Company with this notice will not be deemed to result in a of the Beneficial Ownership Limitation included in Section 14.14 of the Indenture being exceeded. Capitalized terms used herein but not defined shall have the meanings ascribed to such terms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Current aggregate beneficial ownership of Common Stock of Economic Interest Holder and its Attribution Parties (at time of this Notice of Conversion): ____________________shares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85"/>
        <w:gridCol w:w="120"/>
        <w:gridCol w:w="4182"/>
        <w:gridCol w:w="113"/>
        <w:gridCol w:w="393"/>
        <w:gridCol w:w="60"/>
        <w:gridCol w:w="23"/>
        <w:gridCol w:w="113"/>
        <w:gridCol w:w="4516"/>
      </w:tblGrid>
      <w:tr>
        <w:trPr/>
        <w:tc>
          <w:tcPr>
            <w:tcW w:w="6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182"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Dated:</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182" w:type="dxa"/>
            <w:tcBorders>
              <w:bottom w:val="single" w:sz="2" w:space="0" w:color="000000"/>
            </w:tcBorders>
            <w:tcMar>
              <w:bottom w:w="28" w:type="dxa"/>
            </w:tcMa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3" w:type="dxa"/>
            <w:tcBorders>
              <w:bottom w:val="single" w:sz="2" w:space="0" w:color="000000"/>
            </w:tcBorders>
            <w:tcMar>
              <w:bottom w:w="28" w:type="dxa"/>
            </w:tcMar>
            <w:vAlign w:val="bottom"/>
          </w:tcPr>
          <w:p>
            <w:pPr>
              <w:pStyle w:val="TableContents"/>
              <w:bidi w:val="0"/>
              <w:spacing w:before="0" w:after="283"/>
              <w:jc w:val="left"/>
              <w:rPr/>
            </w:pPr>
            <w:r>
              <w:rPr/>
              <w:t> </w:t>
            </w:r>
          </w:p>
        </w:tc>
        <w:tc>
          <w:tcPr>
            <w:tcW w:w="4516"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685" w:type="dxa"/>
            <w:tcBorders/>
            <w:vAlign w:val="center"/>
          </w:tcPr>
          <w:p>
            <w:pPr>
              <w:pStyle w:val="TableContents"/>
              <w:bidi w:val="0"/>
              <w:spacing w:before="0" w:after="283"/>
              <w:jc w:val="left"/>
              <w:rPr>
                <w:sz w:val="4"/>
                <w:szCs w:val="4"/>
              </w:rPr>
            </w:pPr>
            <w:r>
              <w:rPr>
                <w:sz w:val="4"/>
                <w:szCs w:val="4"/>
              </w:rPr>
            </w:r>
          </w:p>
        </w:tc>
        <w:tc>
          <w:tcPr>
            <w:tcW w:w="4302" w:type="dxa"/>
            <w:gridSpan w:val="2"/>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629"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182"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3" w:type="dxa"/>
            <w:tcBorders>
              <w:bottom w:val="single" w:sz="2" w:space="0" w:color="000000"/>
            </w:tcBorders>
            <w:tcMar>
              <w:bottom w:w="28" w:type="dxa"/>
            </w:tcMar>
            <w:vAlign w:val="bottom"/>
          </w:tcPr>
          <w:p>
            <w:pPr>
              <w:pStyle w:val="TableContents"/>
              <w:bidi w:val="0"/>
              <w:spacing w:before="0" w:after="283"/>
              <w:jc w:val="left"/>
              <w:rPr/>
            </w:pPr>
            <w:r>
              <w:rPr/>
              <w:t> </w:t>
            </w:r>
          </w:p>
        </w:tc>
        <w:tc>
          <w:tcPr>
            <w:tcW w:w="4516" w:type="dxa"/>
            <w:tcBorders>
              <w:bottom w:val="single" w:sz="2" w:space="0" w:color="000000"/>
            </w:tcBorders>
            <w:tcMar>
              <w:bottom w:w="28" w:type="dxa"/>
            </w:tcMar>
          </w:tcPr>
          <w:p>
            <w:pPr>
              <w:pStyle w:val="TableContents"/>
              <w:bidi w:val="0"/>
              <w:spacing w:before="0" w:after="283"/>
              <w:jc w:val="left"/>
              <w:rPr/>
            </w:pPr>
            <w:r>
              <w:rPr/>
              <w:t> </w:t>
            </w:r>
          </w:p>
        </w:tc>
      </w:tr>
      <w:tr>
        <w:trPr/>
        <w:tc>
          <w:tcPr>
            <w:tcW w:w="4987" w:type="dxa"/>
            <w:gridSpan w:val="3"/>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0"/>
              <w:jc w:val="left"/>
              <w:rPr>
                <w:rFonts w:ascii="Times New Roman" w:hAnsi="Times New Roman"/>
                <w:sz w:val="20"/>
              </w:rPr>
            </w:pPr>
            <w:r>
              <w:rPr>
                <w:rFonts w:ascii="Times New Roman" w:hAnsi="Times New Roman"/>
                <w:sz w:val="20"/>
              </w:rPr>
              <w:t>Signature(s)</w:t>
            </w:r>
          </w:p>
        </w:tc>
      </w:tr>
      <w:tr>
        <w:trPr>
          <w:trHeight w:val="240" w:hRule="atLeast"/>
        </w:trPr>
        <w:tc>
          <w:tcPr>
            <w:tcW w:w="4987" w:type="dxa"/>
            <w:gridSpan w:val="3"/>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629" w:type="dxa"/>
            <w:gridSpan w:val="2"/>
            <w:tcBorders/>
            <w:vAlign w:val="center"/>
          </w:tcPr>
          <w:p>
            <w:pPr>
              <w:pStyle w:val="TableContents"/>
              <w:bidi w:val="0"/>
              <w:spacing w:before="0" w:after="283"/>
              <w:jc w:val="left"/>
              <w:rPr>
                <w:sz w:val="4"/>
                <w:szCs w:val="4"/>
              </w:rPr>
            </w:pPr>
            <w:r>
              <w:rPr>
                <w:sz w:val="4"/>
                <w:szCs w:val="4"/>
              </w:rPr>
            </w:r>
          </w:p>
        </w:tc>
      </w:tr>
      <w:tr>
        <w:trPr/>
        <w:tc>
          <w:tcPr>
            <w:tcW w:w="4987" w:type="dxa"/>
            <w:gridSpan w:val="3"/>
            <w:tcBorders>
              <w:bottom w:val="single" w:sz="2" w:space="0" w:color="000000"/>
            </w:tcBorders>
            <w:tcMar>
              <w:bottom w:w="28" w:type="dxa"/>
            </w:tcMa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sz w:val="4"/>
                <w:szCs w:val="4"/>
              </w:rPr>
            </w:pPr>
            <w:r>
              <w:rPr>
                <w:sz w:val="4"/>
                <w:szCs w:val="4"/>
              </w:rPr>
            </w:r>
          </w:p>
        </w:tc>
      </w:tr>
      <w:tr>
        <w:trPr/>
        <w:tc>
          <w:tcPr>
            <w:tcW w:w="49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Signature Guarantee</w:t>
            </w:r>
          </w:p>
        </w:tc>
        <w:tc>
          <w:tcPr>
            <w:tcW w:w="113"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Signature(s) must be guaranteed by an eligible Guarantor Institution (banks, stock brokers, savings and loan associations and credit unions) with membership in an approved signature guarantee medallion program pursuant to Securities and Exchange Commission Rule 17Ad-15 if shares of Common Stock are to be issued, or Notes are to be delivered, other than to and in the name of the registered 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Fill in for registration of shares if to be issued, and Notes if to be delivered, other than to and in the name of the registered 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283"/>
              <w:jc w:val="left"/>
              <w:rPr/>
            </w:pPr>
            <w:r>
              <w:rPr/>
              <w:t>(Name)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283"/>
              <w:jc w:val="left"/>
              <w:rPr/>
            </w:pPr>
            <w:r>
              <w:rPr/>
              <w:t>(Street Address)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283"/>
              <w:jc w:val="left"/>
              <w:rPr/>
            </w:pPr>
            <w:r>
              <w:rPr/>
              <w:t>(City, State and Zip Code)</w:t>
            </w:r>
          </w:p>
        </w:tc>
      </w:tr>
      <w:tr>
        <w:trPr/>
        <w:tc>
          <w:tcPr>
            <w:tcW w:w="4082" w:type="dxa"/>
            <w:tcBorders/>
          </w:tcPr>
          <w:p>
            <w:pPr>
              <w:pStyle w:val="TableContents"/>
              <w:bidi w:val="0"/>
              <w:spacing w:before="0" w:after="283"/>
              <w:jc w:val="left"/>
              <w:rPr/>
            </w:pPr>
            <w:r>
              <w:rPr/>
              <w:t>Please print name and address</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Principal amount to be converted (if less than all): $______.00</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NOTICE: The above signature(s) of the Holder(s) hereof must correspond with the name as written upon the face of the Note in every particular without alteration or enlargement or any change whatever.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283"/>
              <w:jc w:val="left"/>
              <w:rPr/>
            </w:pPr>
            <w:r>
              <w:rPr/>
              <w:t>Social Security or Other Taxpayer</w:t>
            </w:r>
          </w:p>
        </w:tc>
      </w:tr>
      <w:tr>
        <w:trPr/>
        <w:tc>
          <w:tcPr>
            <w:tcW w:w="4082" w:type="dxa"/>
            <w:tcBorders/>
          </w:tcPr>
          <w:p>
            <w:pPr>
              <w:pStyle w:val="TableContents"/>
              <w:bidi w:val="0"/>
              <w:spacing w:before="0" w:after="283"/>
              <w:jc w:val="left"/>
              <w:rPr/>
            </w:pPr>
            <w:r>
              <w:rPr/>
              <w:t>Identification Number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ATTACHMENT 2 </w:t>
      </w:r>
    </w:p>
    <w:p>
      <w:pPr>
        <w:pStyle w:val="TextBody"/>
        <w:bidi w:val="0"/>
        <w:spacing w:before="240" w:after="0"/>
        <w:jc w:val="center"/>
        <w:rPr>
          <w:rFonts w:ascii="Times New Roman" w:hAnsi="Times New Roman"/>
          <w:sz w:val="24"/>
        </w:rPr>
      </w:pPr>
      <w:r>
        <w:rPr>
          <w:rFonts w:ascii="Times New Roman" w:hAnsi="Times New Roman"/>
          <w:sz w:val="24"/>
        </w:rPr>
        <w:t xml:space="preserve">[FORM OF FUNDAMENTAL CHANGE REPURCHASE NOTICE] </w:t>
      </w:r>
    </w:p>
    <w:p>
      <w:pPr>
        <w:pStyle w:val="TextBody"/>
        <w:bidi w:val="0"/>
        <w:spacing w:before="240" w:after="0"/>
        <w:jc w:val="left"/>
        <w:rPr>
          <w:rFonts w:ascii="Times New Roman" w:hAnsi="Times New Roman"/>
          <w:sz w:val="20"/>
        </w:rPr>
      </w:pPr>
      <w:r>
        <w:rPr>
          <w:rFonts w:ascii="Times New Roman" w:hAnsi="Times New Roman"/>
          <w:sz w:val="20"/>
        </w:rPr>
        <w:t xml:space="preserve">To: Beyond Meat, Inc. </w:t>
      </w:r>
    </w:p>
    <w:p>
      <w:pPr>
        <w:pStyle w:val="TextBody"/>
        <w:bidi w:val="0"/>
        <w:spacing w:before="240" w:after="0"/>
        <w:jc w:val="left"/>
        <w:rPr>
          <w:rFonts w:ascii="Times New Roman" w:hAnsi="Times New Roman"/>
          <w:sz w:val="20"/>
        </w:rPr>
      </w:pPr>
      <w:r>
        <w:rPr>
          <w:rFonts w:ascii="Times New Roman" w:hAnsi="Times New Roman"/>
          <w:sz w:val="20"/>
        </w:rPr>
        <w:t xml:space="preserve">To: Wilmington Trust,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 </w:t>
      </w:r>
    </w:p>
    <w:p>
      <w:pPr>
        <w:pStyle w:val="TextBody"/>
        <w:bidi w:val="0"/>
        <w:spacing w:before="240" w:after="0"/>
        <w:jc w:val="left"/>
        <w:rPr>
          <w:rFonts w:ascii="Times New Roman" w:hAnsi="Times New Roman"/>
          <w:sz w:val="20"/>
        </w:rPr>
      </w:pPr>
      <w:r>
        <w:rPr>
          <w:rFonts w:ascii="Times New Roman" w:hAnsi="Times New Roman"/>
          <w:sz w:val="20"/>
        </w:rPr>
        <w:t xml:space="preserve">Attention: Beyond Meat Administrator </w:t>
      </w:r>
    </w:p>
    <w:p>
      <w:pPr>
        <w:pStyle w:val="TextBody"/>
        <w:bidi w:val="0"/>
        <w:spacing w:before="240" w:after="0"/>
        <w:jc w:val="left"/>
        <w:rPr>
          <w:rFonts w:ascii="Times New Roman" w:hAnsi="Times New Roman"/>
          <w:sz w:val="20"/>
        </w:rPr>
      </w:pPr>
      <w:r>
        <w:rPr>
          <w:rFonts w:ascii="Times New Roman" w:hAnsi="Times New Roman"/>
          <w:sz w:val="20"/>
        </w:rPr>
        <w:t>The undersigned registered owner of this Note hereby acknowledges receipt of a notice from Beyond Meat, Inc. (the “</w:t>
      </w:r>
      <w:r>
        <w:rPr>
          <w:rFonts w:ascii="Times New Roman" w:hAnsi="Times New Roman"/>
          <w:b/>
          <w:sz w:val="20"/>
        </w:rPr>
        <w:t>Company</w:t>
      </w:r>
      <w:r>
        <w:rPr>
          <w:rFonts w:ascii="Times New Roman" w:hAnsi="Times New Roman"/>
          <w:sz w:val="20"/>
        </w:rPr>
        <w:t xml:space="preserve">”), as to the occurrence of a Fundamental Change with respect to the Company and specifying the Fundamental Change Repurchase Date and requests and instructs the Company to pay to the registered holder hereof in accordance with Section 15.01 of the Indenture referred to in this Note (1) the entire principal amount of this Note, or the portion thereof (that is $1,000 principal amount (or if a PIK Payment has been made, $1.00 principal amount) or an integral multiple thereof) below designated, and (2) if such Fundamental Change Repurchase Date does not fall during the period after a Regular Record Date and on or prior to the Business Day immediately succeeding corresponding Interest Payment Date, accrued and unpaid interest, if any, thereon to, but excluding, such Fundamental Change Repurchase Date. Capitalized terms used herein but not defined shall have the meanings ascribed to such terms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Physical Notes, the certificate numbers of the Notes to be repurchased are as set forth below: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35"/>
        <w:gridCol w:w="62"/>
        <w:gridCol w:w="3285"/>
      </w:tblGrid>
      <w:tr>
        <w:trPr/>
        <w:tc>
          <w:tcPr>
            <w:tcW w:w="73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735" w:type="dxa"/>
            <w:tcBorders/>
          </w:tcPr>
          <w:p>
            <w:pPr>
              <w:pStyle w:val="TableContents"/>
              <w:bidi w:val="0"/>
              <w:spacing w:before="0" w:after="283"/>
              <w:jc w:val="left"/>
              <w:rPr/>
            </w:pPr>
            <w:r>
              <w:rPr/>
              <w:t>Dated:</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28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283"/>
              <w:jc w:val="left"/>
              <w:rPr/>
            </w:pPr>
            <w:r>
              <w:rPr/>
              <w:t>Signature(s)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283"/>
              <w:jc w:val="left"/>
              <w:rPr/>
            </w:pPr>
            <w:r>
              <w:rPr/>
              <w:t>Social Security or Other Taxpayer</w:t>
            </w:r>
          </w:p>
        </w:tc>
      </w:tr>
      <w:tr>
        <w:trPr/>
        <w:tc>
          <w:tcPr>
            <w:tcW w:w="4082" w:type="dxa"/>
            <w:tcBorders/>
          </w:tcPr>
          <w:p>
            <w:pPr>
              <w:pStyle w:val="TableContents"/>
              <w:bidi w:val="0"/>
              <w:spacing w:before="0" w:after="283"/>
              <w:jc w:val="left"/>
              <w:rPr/>
            </w:pPr>
            <w:r>
              <w:rPr/>
              <w:t>Identification Number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Principal amount to be repurchased (if less than all): $______.00</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NOTICE: The above signature(s) of the Holder(s) hereof must correspond with the name as written upon the face of the Note in every particular without alteration or enlargement or any change whatever.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ATTACHMENT 3 </w:t>
      </w:r>
    </w:p>
    <w:p>
      <w:pPr>
        <w:pStyle w:val="TextBody"/>
        <w:bidi w:val="0"/>
        <w:spacing w:before="120" w:after="0"/>
        <w:jc w:val="center"/>
        <w:rPr>
          <w:rFonts w:ascii="Times New Roman" w:hAnsi="Times New Roman"/>
          <w:sz w:val="20"/>
        </w:rPr>
      </w:pPr>
      <w:r>
        <w:rPr>
          <w:rFonts w:ascii="Times New Roman" w:hAnsi="Times New Roman"/>
          <w:sz w:val="20"/>
        </w:rPr>
        <w:t xml:space="preserve">[FORM OF ASSIGNMENT AND TRANSFER] </w:t>
      </w:r>
    </w:p>
    <w:p>
      <w:pPr>
        <w:pStyle w:val="TextBody"/>
        <w:bidi w:val="0"/>
        <w:spacing w:before="240" w:after="0"/>
        <w:jc w:val="left"/>
        <w:rPr>
          <w:rFonts w:ascii="Times New Roman" w:hAnsi="Times New Roman"/>
          <w:sz w:val="20"/>
        </w:rPr>
      </w:pPr>
      <w:r>
        <w:rPr>
          <w:rFonts w:ascii="Times New Roman" w:hAnsi="Times New Roman"/>
          <w:sz w:val="20"/>
        </w:rPr>
        <w:t xml:space="preserve">To: Beyond Meat, Inc. </w:t>
      </w:r>
    </w:p>
    <w:p>
      <w:pPr>
        <w:pStyle w:val="TextBody"/>
        <w:bidi w:val="0"/>
        <w:spacing w:before="240" w:after="0"/>
        <w:jc w:val="left"/>
        <w:rPr>
          <w:rFonts w:ascii="Times New Roman" w:hAnsi="Times New Roman"/>
          <w:sz w:val="20"/>
        </w:rPr>
      </w:pPr>
      <w:r>
        <w:rPr>
          <w:rFonts w:ascii="Times New Roman" w:hAnsi="Times New Roman"/>
          <w:sz w:val="20"/>
        </w:rPr>
        <w:t xml:space="preserve">To: Wilmington Trust,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 </w:t>
      </w:r>
    </w:p>
    <w:p>
      <w:pPr>
        <w:pStyle w:val="TextBody"/>
        <w:bidi w:val="0"/>
        <w:spacing w:before="240" w:after="0"/>
        <w:jc w:val="left"/>
        <w:rPr>
          <w:rFonts w:ascii="Times New Roman" w:hAnsi="Times New Roman"/>
          <w:sz w:val="20"/>
        </w:rPr>
      </w:pPr>
      <w:r>
        <w:rPr>
          <w:rFonts w:ascii="Times New Roman" w:hAnsi="Times New Roman"/>
          <w:sz w:val="20"/>
        </w:rPr>
        <w:t xml:space="preserve">Attention: Beyond Meat Administrator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____________________________ hereby sell(s), assign(s) and transfer(s) unto _________________ (Please insert social security or Taxpayer Identification Number of assignee) the within Note, and hereby irrevocably constitutes and appoints _____________________ attorney to transfer the said Note on the books of the Company, with full power of substitution 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transfer of the within Note occurring prior to any Resale Restriction Termination Date, as defined in the Indenture governing such Note, the undersigned confirms that such Note is being transferred: </w:t>
      </w:r>
    </w:p>
    <w:p>
      <w:pPr>
        <w:pStyle w:val="TextBody"/>
        <w:bidi w:val="0"/>
        <w:spacing w:before="120" w:after="0"/>
        <w:jc w:val="left"/>
        <w:rPr/>
      </w:pPr>
      <w:r>
        <w:rPr/>
        <w:t xml:space="preserve">☐ </w:t>
      </w:r>
      <w:r>
        <w:rPr>
          <w:rFonts w:ascii="Times New Roman" w:hAnsi="Times New Roman"/>
          <w:sz w:val="20"/>
        </w:rPr>
        <w:t xml:space="preserve">To Beyond Meat, Inc., or a subsidiary thereof; or </w:t>
      </w:r>
    </w:p>
    <w:p>
      <w:pPr>
        <w:pStyle w:val="TextBody"/>
        <w:bidi w:val="0"/>
        <w:spacing w:before="240" w:after="0"/>
        <w:jc w:val="left"/>
        <w:rPr/>
      </w:pPr>
      <w:r>
        <w:rPr/>
        <w:t xml:space="preserve">☐ </w:t>
      </w:r>
      <w:r>
        <w:rPr>
          <w:rFonts w:ascii="Times New Roman" w:hAnsi="Times New Roman"/>
          <w:sz w:val="20"/>
        </w:rPr>
        <w:t xml:space="preserve">Pursuant to a registration statement that has become or been declared effective under the Securities Act of 1933, as amended; or </w:t>
      </w:r>
    </w:p>
    <w:p>
      <w:pPr>
        <w:pStyle w:val="TextBody"/>
        <w:bidi w:val="0"/>
        <w:spacing w:before="240" w:after="0"/>
        <w:jc w:val="left"/>
        <w:rPr/>
      </w:pPr>
      <w:r>
        <w:rPr/>
        <w:t xml:space="preserve">☐ </w:t>
      </w:r>
      <w:r>
        <w:rPr>
          <w:rFonts w:ascii="Times New Roman" w:hAnsi="Times New Roman"/>
          <w:sz w:val="20"/>
        </w:rPr>
        <w:t xml:space="preserve">Pursuant to and in compliance with Rule 144 under the Securities Act of 1933, as amended, or any other available exemption from the registration requirements of the Securities Act of 1933,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1066"/>
        <w:gridCol w:w="84"/>
        <w:gridCol w:w="2932"/>
      </w:tblGrid>
      <w:tr>
        <w:trPr/>
        <w:tc>
          <w:tcPr>
            <w:tcW w:w="1066"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r>
      <w:tr>
        <w:trPr/>
        <w:tc>
          <w:tcPr>
            <w:tcW w:w="1066" w:type="dxa"/>
            <w:tcBorders/>
          </w:tcPr>
          <w:p>
            <w:pPr>
              <w:pStyle w:val="TableContents"/>
              <w:bidi w:val="0"/>
              <w:spacing w:before="0" w:after="283"/>
              <w:jc w:val="left"/>
              <w:rPr/>
            </w:pPr>
            <w:r>
              <w:rPr/>
              <w:t>Dated:</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2932"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Signature(s)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Signature Guarantee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Signature(s) must be guaranteed by an eligible Guarantor Institution (banks, stock brokers, savings and loan associations and credit unions) with membership in an approved signature guarantee medallion program pursuant to Securities and Exchange Commission Rule 17Ad-15 if Notes are to be delivered, other than to and in the name of the registered holder.</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NOTICE: The signature on the assignment must correspond with the name as written upon the face of the Note in every particular without alteration or enlargement or any change whatever.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SUPPLEMENTAL INDENTURE </w:t>
      </w:r>
    </w:p>
    <w:p>
      <w:pPr>
        <w:pStyle w:val="TextBody"/>
        <w:bidi w:val="0"/>
        <w:spacing w:before="0" w:after="0"/>
        <w:jc w:val="center"/>
        <w:rPr>
          <w:rFonts w:ascii="Times New Roman" w:hAnsi="Times New Roman"/>
          <w:b/>
          <w:sz w:val="20"/>
        </w:rPr>
      </w:pPr>
      <w:r>
        <w:rPr>
          <w:rFonts w:ascii="Times New Roman" w:hAnsi="Times New Roman"/>
          <w:b/>
          <w:sz w:val="20"/>
        </w:rPr>
        <w:t xml:space="preserve">TO BE DELIVERED BY GUARANTORS10 </w:t>
      </w:r>
    </w:p>
    <w:p>
      <w:pPr>
        <w:pStyle w:val="TextBody"/>
        <w:bidi w:val="0"/>
        <w:spacing w:before="240" w:after="0"/>
        <w:jc w:val="left"/>
        <w:rPr>
          <w:rFonts w:ascii="Times New Roman" w:hAnsi="Times New Roman"/>
          <w:sz w:val="20"/>
        </w:rPr>
      </w:pPr>
      <w:r>
        <w:rPr>
          <w:rFonts w:ascii="Times New Roman" w:hAnsi="Times New Roman"/>
          <w:sz w:val="20"/>
        </w:rPr>
        <w:t xml:space="preserve">[________] SUPPLEMENTAL INDENTURE (this “Supplemental Indenture”), dated as of ________________, 20__, among BEYOND MEAT, INC., a Delaware corporation, as issuer (the “Company,”), WILMINGTON TRUST, NATIONAL ASSOCIATION, a national banking association, as trustee (in such capacity, the “Trustee,”) and as collateral agent (in such capacity, the “Collateral Agent”) and__________________ (the “Guarantor”), a subsidiary of the Company. </w:t>
      </w:r>
    </w:p>
    <w:p>
      <w:pPr>
        <w:pStyle w:val="TextBody"/>
        <w:bidi w:val="0"/>
        <w:spacing w:before="48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has heretofore executed and delivered to Wilmington Trust, National Association, as trustee (in such capacity, the “Trustee”) and as collateral agent (in such capacity, the “Collateral Agent”) under the Indenture referred to below an indenture (the “Indenture”), dated as of October 15, 2025 providing for the issuance of Convertible Senior Secured Second Lien PIK Toggle Notes due 2030 (the “Notes”); </w:t>
      </w:r>
    </w:p>
    <w:p>
      <w:pPr>
        <w:pStyle w:val="TextBody"/>
        <w:bidi w:val="0"/>
        <w:spacing w:before="240" w:after="0"/>
        <w:jc w:val="left"/>
        <w:rPr>
          <w:rFonts w:ascii="Times New Roman" w:hAnsi="Times New Roman"/>
          <w:sz w:val="20"/>
        </w:rPr>
      </w:pPr>
      <w:r>
        <w:rPr>
          <w:rFonts w:ascii="Times New Roman" w:hAnsi="Times New Roman"/>
          <w:sz w:val="20"/>
        </w:rPr>
        <w:t xml:space="preserve">WHEREAS, the Indenture provides that under certain circumstances the Guarantor shall execute and deliver to the Trustee and the Collateral Agent a supplemental indenture pursuant to which the Guarantor shall unconditionally guarantee all of the Company’s Obligations under the Notes and the Indenture on the terms and conditions set forth herein (the “Guarantee”); and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Section 10.01 of the Indenture, the Guarantor, the Trustee and the Collateral Agent are authorized to enter into this Supplemental Indenture without the consent of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for other good and valuable consideration, the receipt of which is hereby acknowledged, the Guarantor, the Trustee and the Collateral Agent mutually covenant and agree for the equal and ratable benefit of the Holders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Capitalized Terms</w:t>
      </w:r>
      <w:r>
        <w:rPr>
          <w:rFonts w:ascii="Times New Roman" w:hAnsi="Times New Roman"/>
          <w:sz w:val="20"/>
        </w:rPr>
        <w:t xml:space="preserve">. Capitalized terms used herein without definition shall have the meanings assigned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Guarantee</w:t>
      </w:r>
      <w:r>
        <w:rPr>
          <w:rFonts w:ascii="Times New Roman" w:hAnsi="Times New Roman"/>
          <w:sz w:val="20"/>
        </w:rPr>
        <w:t xml:space="preserve">. The Guarantor hereby provides an unconditional Guarantee on the terms and subject to the conditions set forth in the Indenture including but not limited to Article 13 thereof.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Governing Law; Jurisdiction</w:t>
      </w:r>
      <w:r>
        <w:rPr>
          <w:rFonts w:ascii="Times New Roman" w:hAnsi="Times New Roman"/>
          <w:sz w:val="20"/>
        </w:rPr>
        <w:t xml:space="preserve">. THIS SUPPLEMENTAL INDENTURE AND ANY CLAIM, CONTROVERSY OR DISPUTE ARISING UNDER OR RELATED TO THIS SUPPLEMNTAL INDENTURE SHALL BE GOVERNED BY, AND CONSTRUED IN ACCORDANCE WITH, THE LAWS OF THE STATE OF NEW YORK.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The form of Supplemental Indenture may be modified with respect to the Dutch Entity to the extent required pursuant to Dutch law, including the Dutch Works Councils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Guarantor irrevocably consents and agrees, for the benefit of the Holders from time to time of the Notes and the Trustee, that any legal action, suit or proceeding against it with respect to obligations, liabilities or any other matter arising out of or in connection with this Supplemental Indenture may be brought in the courts of the State of New York or the courts of the United States located in the Borough of Manhattan, New York City, New York and, until amounts due and to become due in respect of the Guarantee have been paid, hereby irrevocably consents and submits to the non-exclusive jurisdiction of each such court </w:t>
      </w:r>
      <w:r>
        <w:rPr>
          <w:rFonts w:ascii="Times New Roman" w:hAnsi="Times New Roman"/>
          <w:i/>
          <w:sz w:val="20"/>
        </w:rPr>
        <w:t>in personam</w:t>
      </w:r>
      <w:r>
        <w:rPr>
          <w:rFonts w:ascii="Times New Roman" w:hAnsi="Times New Roman"/>
          <w:sz w:val="20"/>
        </w:rPr>
        <w:t xml:space="preserve">, generally and unconditionally with respect to any action, suit or proceeding for itself in respect of its properties, assets and revenues.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Counterparts</w:t>
      </w:r>
      <w:r>
        <w:rPr>
          <w:rFonts w:ascii="Times New Roman" w:hAnsi="Times New Roman"/>
          <w:sz w:val="20"/>
        </w:rPr>
        <w:t xml:space="preserve">. This Supplemental Indenture may be executed in any number of counterparts, each of which shall be an original, but such counterparts shall together constitute but one and the same instrument.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for all purposes. Signatures of the parties hereto transmitted by facsimile, PDF or other electronic transmission shall constitute effective execution and delivery of this Supplemental Indenture as to the other parties hereto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All notices, approvals, consents, requests and any communications hereunder must be in writing (provided that any such communication sent to Trustee hereunder must be in the form of a document that is signed manually or by way of a digital signature provided by DocuSign or other electronic signature provider that the Guarantor plans to use or such other digital signature provider as specified in writing to Trustee by the authorized representative), in English. Guarantor agrees to assume all risks arising out of the use of using digital signatures and electronic methods to submit communications to Trustee, including without limitation the risk of Trustee acting on unauthorized instructions, and the risk of interception and misuse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Effect of Headings</w:t>
      </w:r>
      <w:r>
        <w:rPr>
          <w:rFonts w:ascii="Times New Roman" w:hAnsi="Times New Roman"/>
          <w:sz w:val="20"/>
        </w:rPr>
        <w:t xml:space="preserve">. The Section headings herein are for convenience or reference only and are not intended to be considered a part hereof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The Trustee and Collateral Agent</w:t>
      </w:r>
      <w:r>
        <w:rPr>
          <w:rFonts w:ascii="Times New Roman" w:hAnsi="Times New Roman"/>
          <w:sz w:val="20"/>
        </w:rPr>
        <w:t xml:space="preserve">. Neither the Trustee nor the Collateral Agent shall be responsible in any manner whatsoever for or in respect of the validity or sufficiency of this Supplemental Indenture or for or in respect of the recitals and statements contained herein, all of which recitals are made solely by the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[party][parties] hereto [has][have] caused this Supplemental Indenture to be duly executed, all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20"/>
        <w:gridCol w:w="124"/>
        <w:gridCol w:w="3238"/>
      </w:tblGrid>
      <w:tr>
        <w:trPr/>
        <w:tc>
          <w:tcPr>
            <w:tcW w:w="72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BEYOND MEAT, INC.,</w:t>
            </w:r>
          </w:p>
        </w:tc>
      </w:tr>
      <w:tr>
        <w:trPr>
          <w:trHeight w:val="240" w:hRule="atLeast"/>
        </w:trPr>
        <w:tc>
          <w:tcPr>
            <w:tcW w:w="720" w:type="dxa"/>
            <w:tcBorders/>
            <w:vAlign w:val="center"/>
          </w:tcPr>
          <w:p>
            <w:pPr>
              <w:pStyle w:val="TableContents"/>
              <w:bidi w:val="0"/>
              <w:spacing w:before="0" w:after="283"/>
              <w:jc w:val="left"/>
              <w:rPr>
                <w:sz w:val="4"/>
                <w:szCs w:val="4"/>
              </w:rPr>
            </w:pPr>
            <w:r>
              <w:rPr>
                <w:sz w:val="4"/>
                <w:szCs w:val="4"/>
              </w:rPr>
            </w:r>
          </w:p>
        </w:tc>
        <w:tc>
          <w:tcPr>
            <w:tcW w:w="3362" w:type="dxa"/>
            <w:gridSpan w:val="2"/>
            <w:tcBorders/>
            <w:vAlign w:val="center"/>
          </w:tcPr>
          <w:p>
            <w:pPr>
              <w:pStyle w:val="TableContents"/>
              <w:bidi w:val="0"/>
              <w:spacing w:before="0" w:after="283"/>
              <w:jc w:val="left"/>
              <w:rPr>
                <w:sz w:val="4"/>
                <w:szCs w:val="4"/>
              </w:rPr>
            </w:pPr>
            <w:r>
              <w:rPr>
                <w:sz w:val="4"/>
                <w:szCs w:val="4"/>
              </w:rPr>
            </w:r>
          </w:p>
        </w:tc>
      </w:tr>
      <w:tr>
        <w:trPr/>
        <w:tc>
          <w:tcPr>
            <w:tcW w:w="72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24" w:type="dxa"/>
            <w:tcBorders>
              <w:bottom w:val="single" w:sz="2" w:space="0" w:color="000000"/>
            </w:tcBorders>
            <w:tcMar>
              <w:bottom w:w="28" w:type="dxa"/>
            </w:tcMar>
            <w:vAlign w:val="bottom"/>
          </w:tcPr>
          <w:p>
            <w:pPr>
              <w:pStyle w:val="TableContents"/>
              <w:bidi w:val="0"/>
              <w:spacing w:before="0" w:after="283"/>
              <w:jc w:val="left"/>
              <w:rPr/>
            </w:pPr>
            <w:r>
              <w:rPr/>
              <w:t> </w:t>
            </w:r>
          </w:p>
        </w:tc>
        <w:tc>
          <w:tcPr>
            <w:tcW w:w="3238" w:type="dxa"/>
            <w:tcBorders>
              <w:bottom w:val="single" w:sz="2" w:space="0" w:color="000000"/>
            </w:tcBorders>
            <w:tcMar>
              <w:bottom w:w="28" w:type="dxa"/>
            </w:tcMar>
          </w:tcPr>
          <w:p>
            <w:pPr>
              <w:pStyle w:val="TableContents"/>
              <w:bidi w:val="0"/>
              <w:spacing w:before="0" w:after="283"/>
              <w:jc w:val="left"/>
              <w:rPr/>
            </w:pPr>
            <w:r>
              <w:rPr/>
              <w:t> </w:t>
            </w:r>
          </w:p>
        </w:tc>
      </w:tr>
      <w:tr>
        <w:trPr/>
        <w:tc>
          <w:tcPr>
            <w:tcW w:w="720"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3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720"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3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[GUARANTOR],</w:t>
            </w:r>
          </w:p>
        </w:tc>
      </w:tr>
      <w:tr>
        <w:trPr>
          <w:trHeight w:val="240" w:hRule="atLeast"/>
        </w:trPr>
        <w:tc>
          <w:tcPr>
            <w:tcW w:w="720" w:type="dxa"/>
            <w:tcBorders/>
            <w:vAlign w:val="center"/>
          </w:tcPr>
          <w:p>
            <w:pPr>
              <w:pStyle w:val="TableContents"/>
              <w:bidi w:val="0"/>
              <w:spacing w:before="0" w:after="283"/>
              <w:jc w:val="left"/>
              <w:rPr>
                <w:sz w:val="4"/>
                <w:szCs w:val="4"/>
              </w:rPr>
            </w:pPr>
            <w:r>
              <w:rPr>
                <w:sz w:val="4"/>
                <w:szCs w:val="4"/>
              </w:rPr>
            </w:r>
          </w:p>
        </w:tc>
        <w:tc>
          <w:tcPr>
            <w:tcW w:w="3362" w:type="dxa"/>
            <w:gridSpan w:val="2"/>
            <w:tcBorders/>
            <w:vAlign w:val="center"/>
          </w:tcPr>
          <w:p>
            <w:pPr>
              <w:pStyle w:val="TableContents"/>
              <w:bidi w:val="0"/>
              <w:spacing w:before="0" w:after="283"/>
              <w:jc w:val="left"/>
              <w:rPr>
                <w:sz w:val="4"/>
                <w:szCs w:val="4"/>
              </w:rPr>
            </w:pPr>
            <w:r>
              <w:rPr>
                <w:sz w:val="4"/>
                <w:szCs w:val="4"/>
              </w:rPr>
            </w:r>
          </w:p>
        </w:tc>
      </w:tr>
      <w:tr>
        <w:trPr/>
        <w:tc>
          <w:tcPr>
            <w:tcW w:w="72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24" w:type="dxa"/>
            <w:tcBorders>
              <w:bottom w:val="single" w:sz="2" w:space="0" w:color="000000"/>
            </w:tcBorders>
            <w:tcMar>
              <w:bottom w:w="28" w:type="dxa"/>
            </w:tcMar>
            <w:vAlign w:val="bottom"/>
          </w:tcPr>
          <w:p>
            <w:pPr>
              <w:pStyle w:val="TableContents"/>
              <w:bidi w:val="0"/>
              <w:spacing w:before="0" w:after="283"/>
              <w:jc w:val="left"/>
              <w:rPr/>
            </w:pPr>
            <w:r>
              <w:rPr/>
              <w:t> </w:t>
            </w:r>
          </w:p>
        </w:tc>
        <w:tc>
          <w:tcPr>
            <w:tcW w:w="3238" w:type="dxa"/>
            <w:tcBorders>
              <w:bottom w:val="single" w:sz="2" w:space="0" w:color="000000"/>
            </w:tcBorders>
            <w:tcMar>
              <w:bottom w:w="28" w:type="dxa"/>
            </w:tcMar>
          </w:tcPr>
          <w:p>
            <w:pPr>
              <w:pStyle w:val="TableContents"/>
              <w:bidi w:val="0"/>
              <w:spacing w:before="0" w:after="283"/>
              <w:jc w:val="left"/>
              <w:rPr/>
            </w:pPr>
            <w:r>
              <w:rPr/>
              <w:t> </w:t>
            </w:r>
          </w:p>
        </w:tc>
      </w:tr>
      <w:tr>
        <w:trPr/>
        <w:tc>
          <w:tcPr>
            <w:tcW w:w="720"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3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720"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3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WILMINGTON TRUST, NATIONAL ASSOCIATION as Trustee and as Collateral Agent</w:t>
            </w:r>
          </w:p>
        </w:tc>
      </w:tr>
      <w:tr>
        <w:trPr>
          <w:trHeight w:val="240" w:hRule="atLeast"/>
        </w:trPr>
        <w:tc>
          <w:tcPr>
            <w:tcW w:w="720" w:type="dxa"/>
            <w:tcBorders/>
            <w:vAlign w:val="center"/>
          </w:tcPr>
          <w:p>
            <w:pPr>
              <w:pStyle w:val="TableContents"/>
              <w:bidi w:val="0"/>
              <w:spacing w:before="0" w:after="283"/>
              <w:jc w:val="left"/>
              <w:rPr>
                <w:sz w:val="4"/>
                <w:szCs w:val="4"/>
              </w:rPr>
            </w:pPr>
            <w:r>
              <w:rPr>
                <w:sz w:val="4"/>
                <w:szCs w:val="4"/>
              </w:rPr>
            </w:r>
          </w:p>
        </w:tc>
        <w:tc>
          <w:tcPr>
            <w:tcW w:w="3362" w:type="dxa"/>
            <w:gridSpan w:val="2"/>
            <w:tcBorders/>
            <w:vAlign w:val="center"/>
          </w:tcPr>
          <w:p>
            <w:pPr>
              <w:pStyle w:val="TableContents"/>
              <w:bidi w:val="0"/>
              <w:spacing w:before="0" w:after="283"/>
              <w:jc w:val="left"/>
              <w:rPr>
                <w:sz w:val="4"/>
                <w:szCs w:val="4"/>
              </w:rPr>
            </w:pPr>
            <w:r>
              <w:rPr>
                <w:sz w:val="4"/>
                <w:szCs w:val="4"/>
              </w:rPr>
            </w:r>
          </w:p>
        </w:tc>
      </w:tr>
      <w:tr>
        <w:trPr/>
        <w:tc>
          <w:tcPr>
            <w:tcW w:w="72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24" w:type="dxa"/>
            <w:tcBorders>
              <w:bottom w:val="single" w:sz="2" w:space="0" w:color="000000"/>
            </w:tcBorders>
            <w:tcMar>
              <w:bottom w:w="28" w:type="dxa"/>
            </w:tcMar>
            <w:vAlign w:val="bottom"/>
          </w:tcPr>
          <w:p>
            <w:pPr>
              <w:pStyle w:val="TableContents"/>
              <w:bidi w:val="0"/>
              <w:spacing w:before="0" w:after="283"/>
              <w:jc w:val="left"/>
              <w:rPr/>
            </w:pPr>
            <w:r>
              <w:rPr/>
              <w:t> </w:t>
            </w:r>
          </w:p>
        </w:tc>
        <w:tc>
          <w:tcPr>
            <w:tcW w:w="3238" w:type="dxa"/>
            <w:tcBorders>
              <w:bottom w:val="single" w:sz="2" w:space="0" w:color="000000"/>
            </w:tcBorders>
            <w:tcMar>
              <w:bottom w:w="28" w:type="dxa"/>
            </w:tcMar>
          </w:tcPr>
          <w:p>
            <w:pPr>
              <w:pStyle w:val="TableContents"/>
              <w:bidi w:val="0"/>
              <w:spacing w:before="0" w:after="283"/>
              <w:jc w:val="left"/>
              <w:rPr/>
            </w:pPr>
            <w:r>
              <w:rPr/>
              <w:t> </w:t>
            </w:r>
          </w:p>
        </w:tc>
      </w:tr>
      <w:tr>
        <w:trPr/>
        <w:tc>
          <w:tcPr>
            <w:tcW w:w="720"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3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720"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3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WILMINGTON TRUST, NATIONAL ASSOCIATION as Trustee and as Collateral Agent</w:t>
            </w:r>
          </w:p>
        </w:tc>
      </w:tr>
      <w:tr>
        <w:trPr>
          <w:trHeight w:val="240" w:hRule="atLeast"/>
        </w:trPr>
        <w:tc>
          <w:tcPr>
            <w:tcW w:w="720" w:type="dxa"/>
            <w:tcBorders/>
            <w:vAlign w:val="center"/>
          </w:tcPr>
          <w:p>
            <w:pPr>
              <w:pStyle w:val="TableContents"/>
              <w:bidi w:val="0"/>
              <w:spacing w:before="0" w:after="283"/>
              <w:jc w:val="left"/>
              <w:rPr>
                <w:sz w:val="4"/>
                <w:szCs w:val="4"/>
              </w:rPr>
            </w:pPr>
            <w:r>
              <w:rPr>
                <w:sz w:val="4"/>
                <w:szCs w:val="4"/>
              </w:rPr>
            </w:r>
          </w:p>
        </w:tc>
        <w:tc>
          <w:tcPr>
            <w:tcW w:w="3362" w:type="dxa"/>
            <w:gridSpan w:val="2"/>
            <w:tcBorders/>
            <w:vAlign w:val="center"/>
          </w:tcPr>
          <w:p>
            <w:pPr>
              <w:pStyle w:val="TableContents"/>
              <w:bidi w:val="0"/>
              <w:spacing w:before="0" w:after="283"/>
              <w:jc w:val="left"/>
              <w:rPr>
                <w:sz w:val="4"/>
                <w:szCs w:val="4"/>
              </w:rPr>
            </w:pPr>
            <w:r>
              <w:rPr>
                <w:sz w:val="4"/>
                <w:szCs w:val="4"/>
              </w:rPr>
            </w:r>
          </w:p>
        </w:tc>
      </w:tr>
      <w:tr>
        <w:trPr/>
        <w:tc>
          <w:tcPr>
            <w:tcW w:w="72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24" w:type="dxa"/>
            <w:tcBorders>
              <w:bottom w:val="single" w:sz="2" w:space="0" w:color="000000"/>
            </w:tcBorders>
            <w:tcMar>
              <w:bottom w:w="28" w:type="dxa"/>
            </w:tcMar>
            <w:vAlign w:val="bottom"/>
          </w:tcPr>
          <w:p>
            <w:pPr>
              <w:pStyle w:val="TableContents"/>
              <w:bidi w:val="0"/>
              <w:spacing w:before="0" w:after="283"/>
              <w:jc w:val="left"/>
              <w:rPr/>
            </w:pPr>
            <w:r>
              <w:rPr/>
              <w:t> </w:t>
            </w:r>
          </w:p>
        </w:tc>
        <w:tc>
          <w:tcPr>
            <w:tcW w:w="3238" w:type="dxa"/>
            <w:tcBorders>
              <w:bottom w:val="single" w:sz="2" w:space="0" w:color="000000"/>
            </w:tcBorders>
            <w:tcMar>
              <w:bottom w:w="28" w:type="dxa"/>
            </w:tcMar>
          </w:tcPr>
          <w:p>
            <w:pPr>
              <w:pStyle w:val="TableContents"/>
              <w:bidi w:val="0"/>
              <w:spacing w:before="0" w:after="283"/>
              <w:jc w:val="left"/>
              <w:rPr/>
            </w:pPr>
            <w:r>
              <w:rPr/>
              <w:t> </w:t>
            </w:r>
          </w:p>
        </w:tc>
      </w:tr>
      <w:tr>
        <w:trPr/>
        <w:tc>
          <w:tcPr>
            <w:tcW w:w="720"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3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720"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3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p>
    <w:p>
      <w:pPr>
        <w:pStyle w:val="TextBody"/>
        <w:bidi w:val="0"/>
        <w:spacing w:before="0" w:after="0"/>
        <w:jc w:val="right"/>
        <w:rPr>
          <w:rFonts w:ascii="Times New Roman" w:hAnsi="Times New Roman"/>
          <w:b/>
          <w:sz w:val="20"/>
        </w:rPr>
      </w:pPr>
      <w:bookmarkStart w:id="4" w:name="d60690dex103.htm"/>
      <w:bookmarkStart w:id="5" w:name="ksd60690dex103"/>
      <w:bookmarkEnd w:id="4"/>
      <w:bookmarkEnd w:id="5"/>
      <w:r>
        <w:rPr>
          <w:rFonts w:ascii="Times New Roman" w:hAnsi="Times New Roman"/>
          <w:b/>
          <w:sz w:val="20"/>
        </w:rPr>
        <w:t xml:space="preserve">Exhibit 10.3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INTERCREDITOR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October 15, 2025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UNPROCESSED FOODS, LLC, </w:t>
      </w:r>
    </w:p>
    <w:p>
      <w:pPr>
        <w:pStyle w:val="TextBody"/>
        <w:bidi w:val="0"/>
        <w:spacing w:before="0" w:after="0"/>
        <w:jc w:val="center"/>
        <w:rPr>
          <w:rFonts w:ascii="Times New Roman" w:hAnsi="Times New Roman"/>
          <w:sz w:val="20"/>
        </w:rPr>
      </w:pPr>
      <w:r>
        <w:rPr>
          <w:rFonts w:ascii="Times New Roman" w:hAnsi="Times New Roman"/>
          <w:sz w:val="20"/>
        </w:rPr>
        <w:t xml:space="preserve">as the First Lien Representative and the First Lien Collateral Agent for the First Lien Claimholders,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the Initial Second Lien Representative for the Initial Second Lien Claimholders,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the Initial Second Lien Collateral Agent for the Initial Second Lien Claimholders,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each additional Representative and Collateral Agent from time to time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and acknowledged and agreed to by </w:t>
      </w:r>
    </w:p>
    <w:p>
      <w:pPr>
        <w:pStyle w:val="TextBody"/>
        <w:bidi w:val="0"/>
        <w:spacing w:before="240" w:after="0"/>
        <w:jc w:val="center"/>
        <w:rPr>
          <w:rFonts w:ascii="Times New Roman" w:hAnsi="Times New Roman"/>
          <w:sz w:val="20"/>
        </w:rPr>
      </w:pPr>
      <w:r>
        <w:rPr>
          <w:rFonts w:ascii="Times New Roman" w:hAnsi="Times New Roman"/>
          <w:sz w:val="20"/>
        </w:rPr>
        <w:t xml:space="preserve">BEYOND MEAT, INC., </w:t>
      </w:r>
    </w:p>
    <w:p>
      <w:pPr>
        <w:pStyle w:val="TextBody"/>
        <w:bidi w:val="0"/>
        <w:spacing w:before="0" w:after="0"/>
        <w:jc w:val="center"/>
        <w:rPr>
          <w:rFonts w:ascii="Times New Roman" w:hAnsi="Times New Roman"/>
          <w:sz w:val="20"/>
        </w:rPr>
      </w:pPr>
      <w:r>
        <w:rPr>
          <w:rFonts w:ascii="Times New Roman" w:hAnsi="Times New Roman"/>
          <w:sz w:val="20"/>
        </w:rPr>
        <w:t xml:space="preserve">as the Company, </w:t>
      </w:r>
    </w:p>
    <w:p>
      <w:pPr>
        <w:pStyle w:val="TextBody"/>
        <w:bidi w:val="0"/>
        <w:spacing w:before="240" w:after="0"/>
        <w:jc w:val="center"/>
        <w:rPr>
          <w:rFonts w:ascii="Times New Roman" w:hAnsi="Times New Roman"/>
          <w:sz w:val="20"/>
        </w:rPr>
      </w:pPr>
      <w:r>
        <w:rPr>
          <w:rFonts w:ascii="Times New Roman" w:hAnsi="Times New Roman"/>
          <w:sz w:val="20"/>
        </w:rPr>
        <w:t xml:space="preserve">and the other </w:t>
      </w:r>
    </w:p>
    <w:p>
      <w:pPr>
        <w:pStyle w:val="TextBody"/>
        <w:bidi w:val="0"/>
        <w:spacing w:before="0" w:after="0"/>
        <w:jc w:val="center"/>
        <w:rPr>
          <w:rFonts w:ascii="Times New Roman" w:hAnsi="Times New Roman"/>
          <w:sz w:val="20"/>
        </w:rPr>
      </w:pPr>
      <w:r>
        <w:rPr>
          <w:rFonts w:ascii="Times New Roman" w:hAnsi="Times New Roman"/>
          <w:sz w:val="20"/>
        </w:rPr>
        <w:t xml:space="preserve">Grantors referred to herein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toc"/>
      <w:bookmarkEnd w:id="6"/>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2"/>
        <w:gridCol w:w="270"/>
        <w:gridCol w:w="8356"/>
        <w:gridCol w:w="128"/>
        <w:gridCol w:w="96"/>
        <w:gridCol w:w="419"/>
        <w:gridCol w:w="64"/>
      </w:tblGrid>
      <w:tr>
        <w:trPr/>
        <w:tc>
          <w:tcPr>
            <w:tcW w:w="872"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72"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Section 1.  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Definitions.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1.1 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Defined Terms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1.2 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Terms Generally</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872" w:type="dxa"/>
            <w:tcBorders/>
            <w:vAlign w:val="center"/>
          </w:tcPr>
          <w:p>
            <w:pPr>
              <w:pStyle w:val="TableContents"/>
              <w:bidi w:val="0"/>
              <w:spacing w:before="0" w:after="283"/>
              <w:jc w:val="left"/>
              <w:rPr>
                <w:sz w:val="4"/>
                <w:szCs w:val="4"/>
              </w:rPr>
            </w:pPr>
            <w:r>
              <w:rPr>
                <w:sz w:val="4"/>
                <w:szCs w:val="4"/>
              </w:rPr>
            </w:r>
          </w:p>
        </w:tc>
        <w:tc>
          <w:tcPr>
            <w:tcW w:w="8626" w:type="dxa"/>
            <w:gridSpan w:val="2"/>
            <w:tcBorders/>
            <w:vAlign w:val="center"/>
          </w:tcPr>
          <w:p>
            <w:pPr>
              <w:pStyle w:val="TableContents"/>
              <w:bidi w:val="0"/>
              <w:spacing w:before="0" w:after="283"/>
              <w:jc w:val="left"/>
              <w:rPr>
                <w:sz w:val="4"/>
                <w:szCs w:val="4"/>
              </w:rPr>
            </w:pPr>
            <w:r>
              <w:rPr>
                <w:sz w:val="4"/>
                <w:szCs w:val="4"/>
              </w:rPr>
            </w:r>
          </w:p>
        </w:tc>
        <w:tc>
          <w:tcPr>
            <w:tcW w:w="707" w:type="dxa"/>
            <w:gridSpan w:val="4"/>
            <w:tcBorders/>
            <w:vAlign w:val="center"/>
          </w:tcPr>
          <w:p>
            <w:pPr>
              <w:pStyle w:val="TableContents"/>
              <w:bidi w:val="0"/>
              <w:spacing w:before="0" w:after="283"/>
              <w:jc w:val="left"/>
              <w:rPr>
                <w:sz w:val="4"/>
                <w:szCs w:val="4"/>
              </w:rPr>
            </w:pPr>
            <w:r>
              <w:rPr>
                <w:sz w:val="4"/>
                <w:szCs w:val="4"/>
              </w:rPr>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Section 2.  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Priorities.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2.1 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Relative Priorities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2.2 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Prohibition on Contesting Liens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2.3 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No New Liens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2.4 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Similar Liens and Agreements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2.5 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Perfection of Liens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872" w:type="dxa"/>
            <w:tcBorders/>
            <w:vAlign w:val="center"/>
          </w:tcPr>
          <w:p>
            <w:pPr>
              <w:pStyle w:val="TableContents"/>
              <w:bidi w:val="0"/>
              <w:spacing w:before="0" w:after="283"/>
              <w:jc w:val="left"/>
              <w:rPr>
                <w:sz w:val="4"/>
                <w:szCs w:val="4"/>
              </w:rPr>
            </w:pPr>
            <w:r>
              <w:rPr>
                <w:sz w:val="4"/>
                <w:szCs w:val="4"/>
              </w:rPr>
            </w:r>
          </w:p>
        </w:tc>
        <w:tc>
          <w:tcPr>
            <w:tcW w:w="8626" w:type="dxa"/>
            <w:gridSpan w:val="2"/>
            <w:tcBorders/>
            <w:vAlign w:val="center"/>
          </w:tcPr>
          <w:p>
            <w:pPr>
              <w:pStyle w:val="TableContents"/>
              <w:bidi w:val="0"/>
              <w:spacing w:before="0" w:after="283"/>
              <w:jc w:val="left"/>
              <w:rPr>
                <w:sz w:val="4"/>
                <w:szCs w:val="4"/>
              </w:rPr>
            </w:pPr>
            <w:r>
              <w:rPr>
                <w:sz w:val="4"/>
                <w:szCs w:val="4"/>
              </w:rPr>
            </w:r>
          </w:p>
        </w:tc>
        <w:tc>
          <w:tcPr>
            <w:tcW w:w="707" w:type="dxa"/>
            <w:gridSpan w:val="4"/>
            <w:tcBorders/>
            <w:vAlign w:val="center"/>
          </w:tcPr>
          <w:p>
            <w:pPr>
              <w:pStyle w:val="TableContents"/>
              <w:bidi w:val="0"/>
              <w:spacing w:before="0" w:after="283"/>
              <w:jc w:val="left"/>
              <w:rPr>
                <w:sz w:val="4"/>
                <w:szCs w:val="4"/>
              </w:rPr>
            </w:pPr>
            <w:r>
              <w:rPr>
                <w:sz w:val="4"/>
                <w:szCs w:val="4"/>
              </w:rPr>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Section 3.  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Enforcement.</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3.1 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Exercise of Remedies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3.2 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Specific Performance</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872" w:type="dxa"/>
            <w:tcBorders/>
            <w:vAlign w:val="center"/>
          </w:tcPr>
          <w:p>
            <w:pPr>
              <w:pStyle w:val="TableContents"/>
              <w:bidi w:val="0"/>
              <w:spacing w:before="0" w:after="283"/>
              <w:jc w:val="left"/>
              <w:rPr>
                <w:sz w:val="4"/>
                <w:szCs w:val="4"/>
              </w:rPr>
            </w:pPr>
            <w:r>
              <w:rPr>
                <w:sz w:val="4"/>
                <w:szCs w:val="4"/>
              </w:rPr>
            </w:r>
          </w:p>
        </w:tc>
        <w:tc>
          <w:tcPr>
            <w:tcW w:w="8626" w:type="dxa"/>
            <w:gridSpan w:val="2"/>
            <w:tcBorders/>
            <w:vAlign w:val="center"/>
          </w:tcPr>
          <w:p>
            <w:pPr>
              <w:pStyle w:val="TableContents"/>
              <w:bidi w:val="0"/>
              <w:spacing w:before="0" w:after="283"/>
              <w:jc w:val="left"/>
              <w:rPr>
                <w:sz w:val="4"/>
                <w:szCs w:val="4"/>
              </w:rPr>
            </w:pPr>
            <w:r>
              <w:rPr>
                <w:sz w:val="4"/>
                <w:szCs w:val="4"/>
              </w:rPr>
            </w:r>
          </w:p>
        </w:tc>
        <w:tc>
          <w:tcPr>
            <w:tcW w:w="707" w:type="dxa"/>
            <w:gridSpan w:val="4"/>
            <w:tcBorders/>
            <w:vAlign w:val="center"/>
          </w:tcPr>
          <w:p>
            <w:pPr>
              <w:pStyle w:val="TableContents"/>
              <w:bidi w:val="0"/>
              <w:spacing w:before="0" w:after="283"/>
              <w:jc w:val="left"/>
              <w:rPr>
                <w:sz w:val="4"/>
                <w:szCs w:val="4"/>
              </w:rPr>
            </w:pPr>
            <w:r>
              <w:rPr>
                <w:sz w:val="4"/>
                <w:szCs w:val="4"/>
              </w:rPr>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Section 4.  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Payments.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4.1 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Application of Proceeds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4.2 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Payments Over</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872" w:type="dxa"/>
            <w:tcBorders/>
            <w:vAlign w:val="center"/>
          </w:tcPr>
          <w:p>
            <w:pPr>
              <w:pStyle w:val="TableContents"/>
              <w:bidi w:val="0"/>
              <w:spacing w:before="0" w:after="283"/>
              <w:jc w:val="left"/>
              <w:rPr>
                <w:sz w:val="4"/>
                <w:szCs w:val="4"/>
              </w:rPr>
            </w:pPr>
            <w:r>
              <w:rPr>
                <w:sz w:val="4"/>
                <w:szCs w:val="4"/>
              </w:rPr>
            </w:r>
          </w:p>
        </w:tc>
        <w:tc>
          <w:tcPr>
            <w:tcW w:w="8626" w:type="dxa"/>
            <w:gridSpan w:val="2"/>
            <w:tcBorders/>
            <w:vAlign w:val="center"/>
          </w:tcPr>
          <w:p>
            <w:pPr>
              <w:pStyle w:val="TableContents"/>
              <w:bidi w:val="0"/>
              <w:spacing w:before="0" w:after="283"/>
              <w:jc w:val="left"/>
              <w:rPr>
                <w:sz w:val="4"/>
                <w:szCs w:val="4"/>
              </w:rPr>
            </w:pPr>
            <w:r>
              <w:rPr>
                <w:sz w:val="4"/>
                <w:szCs w:val="4"/>
              </w:rPr>
            </w:r>
          </w:p>
        </w:tc>
        <w:tc>
          <w:tcPr>
            <w:tcW w:w="707" w:type="dxa"/>
            <w:gridSpan w:val="4"/>
            <w:tcBorders/>
            <w:vAlign w:val="center"/>
          </w:tcPr>
          <w:p>
            <w:pPr>
              <w:pStyle w:val="TableContents"/>
              <w:bidi w:val="0"/>
              <w:spacing w:before="0" w:after="283"/>
              <w:jc w:val="left"/>
              <w:rPr>
                <w:sz w:val="4"/>
                <w:szCs w:val="4"/>
              </w:rPr>
            </w:pPr>
            <w:r>
              <w:rPr>
                <w:sz w:val="4"/>
                <w:szCs w:val="4"/>
              </w:rPr>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Section 5.  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Other Agreements.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5.1 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Releases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5.2 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Insurance</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5.3 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Amendments to First Lien Loan Documents and Second Lien Debt Documents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5.4 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Confirmation of Subordination in Second Lien Collateral Documents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5.5 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Gratuitous Bailee/Agent for Perfection; Control Agent for Perfection</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5.6 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No Waiver of Lien Priorities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5.7 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Purchase Right</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5.8 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Rights as Unsecured Creditors; Rights to Certain Payments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872" w:type="dxa"/>
            <w:tcBorders/>
            <w:vAlign w:val="center"/>
          </w:tcPr>
          <w:p>
            <w:pPr>
              <w:pStyle w:val="TableContents"/>
              <w:bidi w:val="0"/>
              <w:spacing w:before="0" w:after="283"/>
              <w:jc w:val="left"/>
              <w:rPr>
                <w:sz w:val="4"/>
                <w:szCs w:val="4"/>
              </w:rPr>
            </w:pPr>
            <w:r>
              <w:rPr>
                <w:sz w:val="4"/>
                <w:szCs w:val="4"/>
              </w:rPr>
            </w:r>
          </w:p>
        </w:tc>
        <w:tc>
          <w:tcPr>
            <w:tcW w:w="8626" w:type="dxa"/>
            <w:gridSpan w:val="2"/>
            <w:tcBorders/>
            <w:vAlign w:val="center"/>
          </w:tcPr>
          <w:p>
            <w:pPr>
              <w:pStyle w:val="TableContents"/>
              <w:bidi w:val="0"/>
              <w:spacing w:before="0" w:after="283"/>
              <w:jc w:val="left"/>
              <w:rPr>
                <w:sz w:val="4"/>
                <w:szCs w:val="4"/>
              </w:rPr>
            </w:pPr>
            <w:r>
              <w:rPr>
                <w:sz w:val="4"/>
                <w:szCs w:val="4"/>
              </w:rPr>
            </w:r>
          </w:p>
        </w:tc>
        <w:tc>
          <w:tcPr>
            <w:tcW w:w="707" w:type="dxa"/>
            <w:gridSpan w:val="4"/>
            <w:tcBorders/>
            <w:vAlign w:val="center"/>
          </w:tcPr>
          <w:p>
            <w:pPr>
              <w:pStyle w:val="TableContents"/>
              <w:bidi w:val="0"/>
              <w:spacing w:before="0" w:after="283"/>
              <w:jc w:val="left"/>
              <w:rPr>
                <w:sz w:val="4"/>
                <w:szCs w:val="4"/>
              </w:rPr>
            </w:pPr>
            <w:r>
              <w:rPr>
                <w:sz w:val="4"/>
                <w:szCs w:val="4"/>
              </w:rPr>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Section 6.  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Insolvency or Liquidation Proceedings.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6.1 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Finance Matters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6.2 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Relief from the Automatic Stay</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6.3 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Adequate Protection</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6.4 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No Waiver</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6.5 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Avoidance Issues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6.6 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Asset Dispositions in an Insolvency or Liquidation Proceeding</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6.7 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Reorganization Securities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6.8 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Post-Petition Interest</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6.9 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Waiver</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6.10</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Separate Grants of Security and Separate Classification</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6.11</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Effectiveness in Insolvency or Liquidation Proceedings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872" w:type="dxa"/>
            <w:tcBorders/>
            <w:vAlign w:val="center"/>
          </w:tcPr>
          <w:p>
            <w:pPr>
              <w:pStyle w:val="TableContents"/>
              <w:bidi w:val="0"/>
              <w:spacing w:before="0" w:after="283"/>
              <w:jc w:val="left"/>
              <w:rPr>
                <w:sz w:val="4"/>
                <w:szCs w:val="4"/>
              </w:rPr>
            </w:pPr>
            <w:r>
              <w:rPr>
                <w:sz w:val="4"/>
                <w:szCs w:val="4"/>
              </w:rPr>
            </w:r>
          </w:p>
        </w:tc>
        <w:tc>
          <w:tcPr>
            <w:tcW w:w="8626" w:type="dxa"/>
            <w:gridSpan w:val="2"/>
            <w:tcBorders/>
            <w:vAlign w:val="center"/>
          </w:tcPr>
          <w:p>
            <w:pPr>
              <w:pStyle w:val="TableContents"/>
              <w:bidi w:val="0"/>
              <w:spacing w:before="0" w:after="283"/>
              <w:jc w:val="left"/>
              <w:rPr>
                <w:sz w:val="4"/>
                <w:szCs w:val="4"/>
              </w:rPr>
            </w:pPr>
            <w:r>
              <w:rPr>
                <w:sz w:val="4"/>
                <w:szCs w:val="4"/>
              </w:rPr>
            </w:r>
          </w:p>
        </w:tc>
        <w:tc>
          <w:tcPr>
            <w:tcW w:w="707" w:type="dxa"/>
            <w:gridSpan w:val="4"/>
            <w:tcBorders/>
            <w:vAlign w:val="center"/>
          </w:tcPr>
          <w:p>
            <w:pPr>
              <w:pStyle w:val="TableContents"/>
              <w:bidi w:val="0"/>
              <w:spacing w:before="0" w:after="283"/>
              <w:jc w:val="left"/>
              <w:rPr>
                <w:sz w:val="4"/>
                <w:szCs w:val="4"/>
              </w:rPr>
            </w:pPr>
            <w:r>
              <w:rPr>
                <w:sz w:val="4"/>
                <w:szCs w:val="4"/>
              </w:rPr>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Section 7.  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Reliance; Waivers; Etc.</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7.1 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Reliance</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7.2 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No Warranties or Liability</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7.3 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No Waiver of Lien Priorities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7.4 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Obligations Unconditional</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872" w:type="dxa"/>
            <w:tcBorders/>
            <w:vAlign w:val="center"/>
          </w:tcPr>
          <w:p>
            <w:pPr>
              <w:pStyle w:val="TableContents"/>
              <w:bidi w:val="0"/>
              <w:spacing w:before="0" w:after="283"/>
              <w:jc w:val="left"/>
              <w:rPr>
                <w:sz w:val="4"/>
                <w:szCs w:val="4"/>
              </w:rPr>
            </w:pPr>
            <w:r>
              <w:rPr>
                <w:sz w:val="4"/>
                <w:szCs w:val="4"/>
              </w:rPr>
            </w:r>
          </w:p>
        </w:tc>
        <w:tc>
          <w:tcPr>
            <w:tcW w:w="8626" w:type="dxa"/>
            <w:gridSpan w:val="2"/>
            <w:tcBorders/>
            <w:vAlign w:val="center"/>
          </w:tcPr>
          <w:p>
            <w:pPr>
              <w:pStyle w:val="TableContents"/>
              <w:bidi w:val="0"/>
              <w:spacing w:before="0" w:after="283"/>
              <w:jc w:val="left"/>
              <w:rPr>
                <w:sz w:val="4"/>
                <w:szCs w:val="4"/>
              </w:rPr>
            </w:pPr>
            <w:r>
              <w:rPr>
                <w:sz w:val="4"/>
                <w:szCs w:val="4"/>
              </w:rPr>
            </w:r>
          </w:p>
        </w:tc>
        <w:tc>
          <w:tcPr>
            <w:tcW w:w="707" w:type="dxa"/>
            <w:gridSpan w:val="4"/>
            <w:tcBorders/>
            <w:vAlign w:val="center"/>
          </w:tcPr>
          <w:p>
            <w:pPr>
              <w:pStyle w:val="TableContents"/>
              <w:bidi w:val="0"/>
              <w:spacing w:before="0" w:after="283"/>
              <w:jc w:val="left"/>
              <w:rPr>
                <w:sz w:val="4"/>
                <w:szCs w:val="4"/>
              </w:rPr>
            </w:pPr>
            <w:r>
              <w:rPr>
                <w:sz w:val="4"/>
                <w:szCs w:val="4"/>
              </w:rPr>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Section 8.  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Miscellaneous.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8.1 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Integration/Conflicts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872" w:type="dxa"/>
            <w:tcBorders/>
          </w:tcPr>
          <w:p>
            <w:pPr>
              <w:pStyle w:val="TableContents"/>
              <w:bidi w:val="0"/>
              <w:spacing w:before="0" w:after="0"/>
              <w:jc w:val="right"/>
              <w:rPr>
                <w:rFonts w:ascii="Times New Roman" w:hAnsi="Times New Roman"/>
                <w:sz w:val="20"/>
              </w:rPr>
            </w:pPr>
            <w:r>
              <w:rPr>
                <w:rFonts w:ascii="Times New Roman" w:hAnsi="Times New Roman"/>
                <w:sz w:val="20"/>
              </w:rPr>
              <w:t>8.2 </w:t>
            </w:r>
          </w:p>
        </w:tc>
        <w:tc>
          <w:tcPr>
            <w:tcW w:w="270" w:type="dxa"/>
            <w:tcBorders/>
            <w:vAlign w:val="bottom"/>
          </w:tcPr>
          <w:p>
            <w:pPr>
              <w:pStyle w:val="TableContents"/>
              <w:bidi w:val="0"/>
              <w:spacing w:before="0" w:after="283"/>
              <w:jc w:val="left"/>
              <w:rPr/>
            </w:pPr>
            <w:r>
              <w:rPr/>
              <w:t>    </w:t>
            </w:r>
          </w:p>
        </w:tc>
        <w:tc>
          <w:tcPr>
            <w:tcW w:w="8356" w:type="dxa"/>
            <w:tcBorders/>
            <w:vAlign w:val="bottom"/>
          </w:tcPr>
          <w:p>
            <w:pPr>
              <w:pStyle w:val="TableContents"/>
              <w:bidi w:val="0"/>
              <w:spacing w:before="0" w:after="283"/>
              <w:jc w:val="left"/>
              <w:rPr/>
            </w:pPr>
            <w:r>
              <w:rPr/>
              <w:t>Effectiveness; Continuing Nature of this Agreement; Severability</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56"/>
        <w:gridCol w:w="265"/>
        <w:gridCol w:w="8475"/>
        <w:gridCol w:w="126"/>
        <w:gridCol w:w="60"/>
        <w:gridCol w:w="260"/>
        <w:gridCol w:w="63"/>
      </w:tblGrid>
      <w:tr>
        <w:trPr/>
        <w:tc>
          <w:tcPr>
            <w:tcW w:w="956"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847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0"/>
              <w:jc w:val="right"/>
              <w:rPr>
                <w:rFonts w:ascii="Times New Roman" w:hAnsi="Times New Roman"/>
                <w:sz w:val="20"/>
              </w:rPr>
            </w:pPr>
            <w:r>
              <w:rPr>
                <w:rFonts w:ascii="Times New Roman" w:hAnsi="Times New Roman"/>
                <w:sz w:val="20"/>
              </w:rPr>
              <w:t>8.3 </w:t>
            </w:r>
          </w:p>
        </w:tc>
        <w:tc>
          <w:tcPr>
            <w:tcW w:w="265"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Amendments; Waivers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56" w:type="dxa"/>
            <w:tcBorders/>
          </w:tcPr>
          <w:p>
            <w:pPr>
              <w:pStyle w:val="TableContents"/>
              <w:bidi w:val="0"/>
              <w:spacing w:before="0" w:after="0"/>
              <w:jc w:val="right"/>
              <w:rPr>
                <w:rFonts w:ascii="Times New Roman" w:hAnsi="Times New Roman"/>
                <w:sz w:val="20"/>
              </w:rPr>
            </w:pPr>
            <w:r>
              <w:rPr>
                <w:rFonts w:ascii="Times New Roman" w:hAnsi="Times New Roman"/>
                <w:sz w:val="20"/>
              </w:rPr>
              <w:t>8.4 </w:t>
            </w:r>
          </w:p>
        </w:tc>
        <w:tc>
          <w:tcPr>
            <w:tcW w:w="265"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Information Concerning Financial Condition of the Grantors and their Subsidiaries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56" w:type="dxa"/>
            <w:tcBorders/>
          </w:tcPr>
          <w:p>
            <w:pPr>
              <w:pStyle w:val="TableContents"/>
              <w:bidi w:val="0"/>
              <w:spacing w:before="0" w:after="0"/>
              <w:jc w:val="right"/>
              <w:rPr>
                <w:rFonts w:ascii="Times New Roman" w:hAnsi="Times New Roman"/>
                <w:sz w:val="20"/>
              </w:rPr>
            </w:pPr>
            <w:r>
              <w:rPr>
                <w:rFonts w:ascii="Times New Roman" w:hAnsi="Times New Roman"/>
                <w:sz w:val="20"/>
              </w:rPr>
              <w:t>8.5 </w:t>
            </w:r>
          </w:p>
        </w:tc>
        <w:tc>
          <w:tcPr>
            <w:tcW w:w="265"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Subrogation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56" w:type="dxa"/>
            <w:tcBorders/>
          </w:tcPr>
          <w:p>
            <w:pPr>
              <w:pStyle w:val="TableContents"/>
              <w:bidi w:val="0"/>
              <w:spacing w:before="0" w:after="0"/>
              <w:jc w:val="right"/>
              <w:rPr>
                <w:rFonts w:ascii="Times New Roman" w:hAnsi="Times New Roman"/>
                <w:sz w:val="20"/>
              </w:rPr>
            </w:pPr>
            <w:r>
              <w:rPr>
                <w:rFonts w:ascii="Times New Roman" w:hAnsi="Times New Roman"/>
                <w:sz w:val="20"/>
              </w:rPr>
              <w:t>8.6 </w:t>
            </w:r>
          </w:p>
        </w:tc>
        <w:tc>
          <w:tcPr>
            <w:tcW w:w="265"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Application of Payments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56" w:type="dxa"/>
            <w:tcBorders/>
          </w:tcPr>
          <w:p>
            <w:pPr>
              <w:pStyle w:val="TableContents"/>
              <w:bidi w:val="0"/>
              <w:spacing w:before="0" w:after="0"/>
              <w:jc w:val="right"/>
              <w:rPr>
                <w:rFonts w:ascii="Times New Roman" w:hAnsi="Times New Roman"/>
                <w:sz w:val="20"/>
              </w:rPr>
            </w:pPr>
            <w:r>
              <w:rPr>
                <w:rFonts w:ascii="Times New Roman" w:hAnsi="Times New Roman"/>
                <w:sz w:val="20"/>
              </w:rPr>
              <w:t>8.7 </w:t>
            </w:r>
          </w:p>
        </w:tc>
        <w:tc>
          <w:tcPr>
            <w:tcW w:w="265"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Additional Debt Facilities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56" w:type="dxa"/>
            <w:tcBorders/>
          </w:tcPr>
          <w:p>
            <w:pPr>
              <w:pStyle w:val="TableContents"/>
              <w:bidi w:val="0"/>
              <w:spacing w:before="0" w:after="0"/>
              <w:jc w:val="right"/>
              <w:rPr>
                <w:rFonts w:ascii="Times New Roman" w:hAnsi="Times New Roman"/>
                <w:sz w:val="20"/>
              </w:rPr>
            </w:pPr>
            <w:r>
              <w:rPr>
                <w:rFonts w:ascii="Times New Roman" w:hAnsi="Times New Roman"/>
                <w:sz w:val="20"/>
              </w:rPr>
              <w:t>8.8 </w:t>
            </w:r>
          </w:p>
        </w:tc>
        <w:tc>
          <w:tcPr>
            <w:tcW w:w="265"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Agency Capacities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956" w:type="dxa"/>
            <w:tcBorders/>
          </w:tcPr>
          <w:p>
            <w:pPr>
              <w:pStyle w:val="TableContents"/>
              <w:bidi w:val="0"/>
              <w:spacing w:before="0" w:after="0"/>
              <w:jc w:val="right"/>
              <w:rPr>
                <w:rFonts w:ascii="Times New Roman" w:hAnsi="Times New Roman"/>
                <w:sz w:val="20"/>
              </w:rPr>
            </w:pPr>
            <w:r>
              <w:rPr>
                <w:rFonts w:ascii="Times New Roman" w:hAnsi="Times New Roman"/>
                <w:sz w:val="20"/>
              </w:rPr>
              <w:t>8.9 </w:t>
            </w:r>
          </w:p>
        </w:tc>
        <w:tc>
          <w:tcPr>
            <w:tcW w:w="265"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Submission to Jurisdiction; Certain Waivers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956" w:type="dxa"/>
            <w:tcBorders/>
          </w:tcPr>
          <w:p>
            <w:pPr>
              <w:pStyle w:val="TableContents"/>
              <w:bidi w:val="0"/>
              <w:spacing w:before="0" w:after="0"/>
              <w:jc w:val="right"/>
              <w:rPr>
                <w:rFonts w:ascii="Times New Roman" w:hAnsi="Times New Roman"/>
                <w:sz w:val="20"/>
              </w:rPr>
            </w:pPr>
            <w:r>
              <w:rPr>
                <w:rFonts w:ascii="Times New Roman" w:hAnsi="Times New Roman"/>
                <w:sz w:val="20"/>
              </w:rPr>
              <w:t>8.10</w:t>
            </w:r>
          </w:p>
        </w:tc>
        <w:tc>
          <w:tcPr>
            <w:tcW w:w="265"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WAIVER OF JURY TRIAL</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956" w:type="dxa"/>
            <w:tcBorders/>
          </w:tcPr>
          <w:p>
            <w:pPr>
              <w:pStyle w:val="TableContents"/>
              <w:bidi w:val="0"/>
              <w:spacing w:before="0" w:after="0"/>
              <w:jc w:val="right"/>
              <w:rPr>
                <w:rFonts w:ascii="Times New Roman" w:hAnsi="Times New Roman"/>
                <w:sz w:val="20"/>
              </w:rPr>
            </w:pPr>
            <w:r>
              <w:rPr>
                <w:rFonts w:ascii="Times New Roman" w:hAnsi="Times New Roman"/>
                <w:sz w:val="20"/>
              </w:rPr>
              <w:t>8.11</w:t>
            </w:r>
          </w:p>
        </w:tc>
        <w:tc>
          <w:tcPr>
            <w:tcW w:w="265"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Notices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956" w:type="dxa"/>
            <w:tcBorders/>
          </w:tcPr>
          <w:p>
            <w:pPr>
              <w:pStyle w:val="TableContents"/>
              <w:bidi w:val="0"/>
              <w:spacing w:before="0" w:after="0"/>
              <w:jc w:val="right"/>
              <w:rPr>
                <w:rFonts w:ascii="Times New Roman" w:hAnsi="Times New Roman"/>
                <w:sz w:val="20"/>
              </w:rPr>
            </w:pPr>
            <w:r>
              <w:rPr>
                <w:rFonts w:ascii="Times New Roman" w:hAnsi="Times New Roman"/>
                <w:sz w:val="20"/>
              </w:rPr>
              <w:t>8.12</w:t>
            </w:r>
          </w:p>
        </w:tc>
        <w:tc>
          <w:tcPr>
            <w:tcW w:w="265"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Further Assurances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956" w:type="dxa"/>
            <w:tcBorders/>
          </w:tcPr>
          <w:p>
            <w:pPr>
              <w:pStyle w:val="TableContents"/>
              <w:bidi w:val="0"/>
              <w:spacing w:before="0" w:after="0"/>
              <w:jc w:val="right"/>
              <w:rPr>
                <w:rFonts w:ascii="Times New Roman" w:hAnsi="Times New Roman"/>
                <w:sz w:val="20"/>
              </w:rPr>
            </w:pPr>
            <w:r>
              <w:rPr>
                <w:rFonts w:ascii="Times New Roman" w:hAnsi="Times New Roman"/>
                <w:sz w:val="20"/>
              </w:rPr>
              <w:t>8.13</w:t>
            </w:r>
          </w:p>
        </w:tc>
        <w:tc>
          <w:tcPr>
            <w:tcW w:w="265"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APPLICABLE LAW</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956" w:type="dxa"/>
            <w:tcBorders/>
          </w:tcPr>
          <w:p>
            <w:pPr>
              <w:pStyle w:val="TableContents"/>
              <w:bidi w:val="0"/>
              <w:spacing w:before="0" w:after="0"/>
              <w:jc w:val="right"/>
              <w:rPr>
                <w:rFonts w:ascii="Times New Roman" w:hAnsi="Times New Roman"/>
                <w:sz w:val="20"/>
              </w:rPr>
            </w:pPr>
            <w:r>
              <w:rPr>
                <w:rFonts w:ascii="Times New Roman" w:hAnsi="Times New Roman"/>
                <w:sz w:val="20"/>
              </w:rPr>
              <w:t>8.14</w:t>
            </w:r>
          </w:p>
        </w:tc>
        <w:tc>
          <w:tcPr>
            <w:tcW w:w="265"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Binding on Successors and Assigns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956" w:type="dxa"/>
            <w:tcBorders/>
          </w:tcPr>
          <w:p>
            <w:pPr>
              <w:pStyle w:val="TableContents"/>
              <w:bidi w:val="0"/>
              <w:spacing w:before="0" w:after="0"/>
              <w:jc w:val="right"/>
              <w:rPr>
                <w:rFonts w:ascii="Times New Roman" w:hAnsi="Times New Roman"/>
                <w:sz w:val="20"/>
              </w:rPr>
            </w:pPr>
            <w:r>
              <w:rPr>
                <w:rFonts w:ascii="Times New Roman" w:hAnsi="Times New Roman"/>
                <w:sz w:val="20"/>
              </w:rPr>
              <w:t>8.15</w:t>
            </w:r>
          </w:p>
        </w:tc>
        <w:tc>
          <w:tcPr>
            <w:tcW w:w="265"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Section Headings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956" w:type="dxa"/>
            <w:tcBorders/>
          </w:tcPr>
          <w:p>
            <w:pPr>
              <w:pStyle w:val="TableContents"/>
              <w:bidi w:val="0"/>
              <w:spacing w:before="0" w:after="0"/>
              <w:jc w:val="right"/>
              <w:rPr>
                <w:rFonts w:ascii="Times New Roman" w:hAnsi="Times New Roman"/>
                <w:sz w:val="20"/>
              </w:rPr>
            </w:pPr>
            <w:r>
              <w:rPr>
                <w:rFonts w:ascii="Times New Roman" w:hAnsi="Times New Roman"/>
                <w:sz w:val="20"/>
              </w:rPr>
              <w:t>8.16</w:t>
            </w:r>
          </w:p>
        </w:tc>
        <w:tc>
          <w:tcPr>
            <w:tcW w:w="265"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Counterparts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956" w:type="dxa"/>
            <w:tcBorders/>
          </w:tcPr>
          <w:p>
            <w:pPr>
              <w:pStyle w:val="TableContents"/>
              <w:bidi w:val="0"/>
              <w:spacing w:before="0" w:after="0"/>
              <w:jc w:val="right"/>
              <w:rPr>
                <w:rFonts w:ascii="Times New Roman" w:hAnsi="Times New Roman"/>
                <w:sz w:val="20"/>
              </w:rPr>
            </w:pPr>
            <w:r>
              <w:rPr>
                <w:rFonts w:ascii="Times New Roman" w:hAnsi="Times New Roman"/>
                <w:sz w:val="20"/>
              </w:rPr>
              <w:t>8.17</w:t>
            </w:r>
          </w:p>
        </w:tc>
        <w:tc>
          <w:tcPr>
            <w:tcW w:w="265"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Authorization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956" w:type="dxa"/>
            <w:tcBorders/>
          </w:tcPr>
          <w:p>
            <w:pPr>
              <w:pStyle w:val="TableContents"/>
              <w:bidi w:val="0"/>
              <w:spacing w:before="0" w:after="0"/>
              <w:jc w:val="right"/>
              <w:rPr>
                <w:rFonts w:ascii="Times New Roman" w:hAnsi="Times New Roman"/>
                <w:sz w:val="20"/>
              </w:rPr>
            </w:pPr>
            <w:r>
              <w:rPr>
                <w:rFonts w:ascii="Times New Roman" w:hAnsi="Times New Roman"/>
                <w:sz w:val="20"/>
              </w:rPr>
              <w:t>8.18</w:t>
            </w:r>
          </w:p>
        </w:tc>
        <w:tc>
          <w:tcPr>
            <w:tcW w:w="265"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No Third Party Beneficiaries; Provisions Solely to Define Relative Rights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956" w:type="dxa"/>
            <w:tcBorders/>
          </w:tcPr>
          <w:p>
            <w:pPr>
              <w:pStyle w:val="TableContents"/>
              <w:bidi w:val="0"/>
              <w:spacing w:before="0" w:after="0"/>
              <w:jc w:val="right"/>
              <w:rPr>
                <w:rFonts w:ascii="Times New Roman" w:hAnsi="Times New Roman"/>
                <w:sz w:val="20"/>
              </w:rPr>
            </w:pPr>
            <w:r>
              <w:rPr>
                <w:rFonts w:ascii="Times New Roman" w:hAnsi="Times New Roman"/>
                <w:sz w:val="20"/>
              </w:rPr>
              <w:t>8.19</w:t>
            </w:r>
          </w:p>
        </w:tc>
        <w:tc>
          <w:tcPr>
            <w:tcW w:w="265"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No Indirect Actions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956" w:type="dxa"/>
            <w:tcBorders/>
          </w:tcPr>
          <w:p>
            <w:pPr>
              <w:pStyle w:val="TableContents"/>
              <w:bidi w:val="0"/>
              <w:spacing w:before="0" w:after="0"/>
              <w:jc w:val="right"/>
              <w:rPr>
                <w:rFonts w:ascii="Times New Roman" w:hAnsi="Times New Roman"/>
                <w:sz w:val="20"/>
              </w:rPr>
            </w:pPr>
            <w:r>
              <w:rPr>
                <w:rFonts w:ascii="Times New Roman" w:hAnsi="Times New Roman"/>
                <w:sz w:val="20"/>
              </w:rPr>
              <w:t>8.20</w:t>
            </w:r>
          </w:p>
        </w:tc>
        <w:tc>
          <w:tcPr>
            <w:tcW w:w="265"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Additional Grantors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956" w:type="dxa"/>
            <w:tcBorders/>
            <w:vAlign w:val="center"/>
          </w:tcPr>
          <w:p>
            <w:pPr>
              <w:pStyle w:val="TableContents"/>
              <w:bidi w:val="0"/>
              <w:spacing w:before="0" w:after="283"/>
              <w:jc w:val="left"/>
              <w:rPr>
                <w:sz w:val="4"/>
                <w:szCs w:val="4"/>
              </w:rPr>
            </w:pPr>
            <w:r>
              <w:rPr>
                <w:sz w:val="4"/>
                <w:szCs w:val="4"/>
              </w:rPr>
            </w:r>
          </w:p>
        </w:tc>
        <w:tc>
          <w:tcPr>
            <w:tcW w:w="8740" w:type="dxa"/>
            <w:gridSpan w:val="2"/>
            <w:tcBorders/>
            <w:vAlign w:val="center"/>
          </w:tcPr>
          <w:p>
            <w:pPr>
              <w:pStyle w:val="TableContents"/>
              <w:bidi w:val="0"/>
              <w:spacing w:before="0" w:after="283"/>
              <w:jc w:val="left"/>
              <w:rPr>
                <w:sz w:val="4"/>
                <w:szCs w:val="4"/>
              </w:rPr>
            </w:pPr>
            <w:r>
              <w:rPr>
                <w:sz w:val="4"/>
                <w:szCs w:val="4"/>
              </w:rPr>
            </w:r>
          </w:p>
        </w:tc>
        <w:tc>
          <w:tcPr>
            <w:tcW w:w="509" w:type="dxa"/>
            <w:gridSpan w:val="4"/>
            <w:tcBorders/>
            <w:vAlign w:val="cente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0"/>
              <w:jc w:val="right"/>
              <w:rPr>
                <w:rFonts w:ascii="Times New Roman" w:hAnsi="Times New Roman"/>
                <w:sz w:val="20"/>
              </w:rPr>
            </w:pPr>
            <w:r>
              <w:rPr>
                <w:rFonts w:ascii="Times New Roman" w:hAnsi="Times New Roman"/>
                <w:sz w:val="20"/>
              </w:rPr>
              <w:t>Section 9.  </w:t>
            </w:r>
          </w:p>
        </w:tc>
        <w:tc>
          <w:tcPr>
            <w:tcW w:w="265"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Parallel Liability.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240" w:hRule="atLeast"/>
        </w:trPr>
        <w:tc>
          <w:tcPr>
            <w:tcW w:w="956" w:type="dxa"/>
            <w:tcBorders/>
            <w:vAlign w:val="center"/>
          </w:tcPr>
          <w:p>
            <w:pPr>
              <w:pStyle w:val="TableContents"/>
              <w:bidi w:val="0"/>
              <w:spacing w:before="0" w:after="283"/>
              <w:jc w:val="left"/>
              <w:rPr>
                <w:sz w:val="4"/>
                <w:szCs w:val="4"/>
              </w:rPr>
            </w:pPr>
            <w:r>
              <w:rPr>
                <w:sz w:val="4"/>
                <w:szCs w:val="4"/>
              </w:rPr>
            </w:r>
          </w:p>
        </w:tc>
        <w:tc>
          <w:tcPr>
            <w:tcW w:w="8740" w:type="dxa"/>
            <w:gridSpan w:val="2"/>
            <w:tcBorders/>
            <w:vAlign w:val="center"/>
          </w:tcPr>
          <w:p>
            <w:pPr>
              <w:pStyle w:val="TableContents"/>
              <w:bidi w:val="0"/>
              <w:spacing w:before="0" w:after="283"/>
              <w:jc w:val="left"/>
              <w:rPr>
                <w:sz w:val="4"/>
                <w:szCs w:val="4"/>
              </w:rPr>
            </w:pPr>
            <w:r>
              <w:rPr>
                <w:sz w:val="4"/>
                <w:szCs w:val="4"/>
              </w:rPr>
            </w:r>
          </w:p>
        </w:tc>
        <w:tc>
          <w:tcPr>
            <w:tcW w:w="509" w:type="dxa"/>
            <w:gridSpan w:val="4"/>
            <w:tcBorders/>
            <w:vAlign w:val="cente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0"/>
              <w:jc w:val="left"/>
              <w:rPr>
                <w:rFonts w:ascii="Times New Roman" w:hAnsi="Times New Roman"/>
                <w:sz w:val="20"/>
              </w:rPr>
            </w:pPr>
            <w:r>
              <w:rPr>
                <w:rFonts w:ascii="Times New Roman" w:hAnsi="Times New Roman"/>
                <w:sz w:val="20"/>
              </w:rPr>
              <w:t>EXHIBITS</w:t>
            </w:r>
          </w:p>
        </w:tc>
        <w:tc>
          <w:tcPr>
            <w:tcW w:w="265"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9696" w:type="dxa"/>
            <w:gridSpan w:val="3"/>
            <w:tcBorders/>
            <w:vAlign w:val="center"/>
          </w:tcPr>
          <w:p>
            <w:pPr>
              <w:pStyle w:val="TableContents"/>
              <w:bidi w:val="0"/>
              <w:spacing w:before="0" w:after="283"/>
              <w:jc w:val="left"/>
              <w:rPr>
                <w:sz w:val="4"/>
                <w:szCs w:val="4"/>
              </w:rPr>
            </w:pPr>
            <w:r>
              <w:rPr>
                <w:sz w:val="4"/>
                <w:szCs w:val="4"/>
              </w:rPr>
            </w:r>
          </w:p>
        </w:tc>
        <w:tc>
          <w:tcPr>
            <w:tcW w:w="509" w:type="dxa"/>
            <w:gridSpan w:val="4"/>
            <w:tcBorders/>
            <w:vAlign w:val="center"/>
          </w:tcPr>
          <w:p>
            <w:pPr>
              <w:pStyle w:val="TableContents"/>
              <w:bidi w:val="0"/>
              <w:spacing w:before="0" w:after="283"/>
              <w:jc w:val="left"/>
              <w:rPr>
                <w:sz w:val="4"/>
                <w:szCs w:val="4"/>
              </w:rPr>
            </w:pPr>
            <w:r>
              <w:rPr>
                <w:sz w:val="4"/>
                <w:szCs w:val="4"/>
              </w:rPr>
            </w:r>
          </w:p>
        </w:tc>
      </w:tr>
      <w:tr>
        <w:trPr/>
        <w:tc>
          <w:tcPr>
            <w:tcW w:w="9696" w:type="dxa"/>
            <w:gridSpan w:val="3"/>
            <w:tcBorders/>
          </w:tcPr>
          <w:p>
            <w:pPr>
              <w:pStyle w:val="TableContents"/>
              <w:bidi w:val="0"/>
              <w:spacing w:before="0" w:after="0"/>
              <w:jc w:val="left"/>
              <w:rPr/>
            </w:pPr>
            <w:r>
              <w:rPr/>
              <w:t> </w:t>
            </w:r>
            <w:r>
              <w:rPr>
                <w:rFonts w:ascii="Times New Roman" w:hAnsi="Times New Roman"/>
                <w:sz w:val="20"/>
              </w:rPr>
              <w:t>Exhibit A – Joinder Agreement (Additional Second Lien Debt)</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696" w:type="dxa"/>
            <w:gridSpan w:val="3"/>
            <w:tcBorders/>
          </w:tcPr>
          <w:p>
            <w:pPr>
              <w:pStyle w:val="TableContents"/>
              <w:bidi w:val="0"/>
              <w:spacing w:before="0" w:after="0"/>
              <w:jc w:val="left"/>
              <w:rPr/>
            </w:pPr>
            <w:r>
              <w:rPr/>
              <w:t> </w:t>
            </w:r>
            <w:r>
              <w:rPr>
                <w:rFonts w:ascii="Times New Roman" w:hAnsi="Times New Roman"/>
                <w:sz w:val="20"/>
              </w:rPr>
              <w:t>Exhibit B – [Reserved]</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696" w:type="dxa"/>
            <w:gridSpan w:val="3"/>
            <w:tcBorders/>
          </w:tcPr>
          <w:p>
            <w:pPr>
              <w:pStyle w:val="TableContents"/>
              <w:bidi w:val="0"/>
              <w:spacing w:before="0" w:after="0"/>
              <w:jc w:val="left"/>
              <w:rPr/>
            </w:pPr>
            <w:r>
              <w:rPr/>
              <w:t> </w:t>
            </w:r>
            <w:r>
              <w:rPr>
                <w:rFonts w:ascii="Times New Roman" w:hAnsi="Times New Roman"/>
                <w:sz w:val="20"/>
              </w:rPr>
              <w:t>Exhibit C – Additional Debt Designation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696" w:type="dxa"/>
            <w:gridSpan w:val="3"/>
            <w:tcBorders/>
          </w:tcPr>
          <w:p>
            <w:pPr>
              <w:pStyle w:val="TableContents"/>
              <w:bidi w:val="0"/>
              <w:spacing w:before="0" w:after="0"/>
              <w:jc w:val="left"/>
              <w:rPr/>
            </w:pPr>
            <w:r>
              <w:rPr/>
              <w:t> </w:t>
            </w:r>
            <w:r>
              <w:rPr>
                <w:rFonts w:ascii="Times New Roman" w:hAnsi="Times New Roman"/>
                <w:sz w:val="20"/>
              </w:rPr>
              <w:t>Exhibit D – Joinder Agreement (Additional Grantors)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INTERCREDITOR AGREEMENT </w:t>
      </w:r>
    </w:p>
    <w:p>
      <w:pPr>
        <w:pStyle w:val="TextBody"/>
        <w:bidi w:val="0"/>
        <w:spacing w:before="240" w:after="0"/>
        <w:jc w:val="left"/>
        <w:rPr>
          <w:rFonts w:ascii="Times New Roman" w:hAnsi="Times New Roman"/>
          <w:sz w:val="20"/>
        </w:rPr>
      </w:pPr>
      <w:r>
        <w:rPr>
          <w:rFonts w:ascii="Times New Roman" w:hAnsi="Times New Roman"/>
          <w:sz w:val="20"/>
        </w:rPr>
        <w:t>This INTERCREDITOR AGREEMENT (as amended, restated, amended and restated, supplemented or otherwise modified from time to time, this “</w:t>
      </w:r>
      <w:r>
        <w:rPr>
          <w:rFonts w:ascii="Times New Roman" w:hAnsi="Times New Roman"/>
          <w:b/>
          <w:sz w:val="20"/>
        </w:rPr>
        <w:t>Agreement</w:t>
      </w:r>
      <w:r>
        <w:rPr>
          <w:rFonts w:ascii="Times New Roman" w:hAnsi="Times New Roman"/>
          <w:sz w:val="20"/>
        </w:rPr>
        <w:t>”), dated as of October 15, 2025 and entered into by and among UNPROCESSED FOODS, LLC (“</w:t>
      </w:r>
      <w:r>
        <w:rPr>
          <w:rFonts w:ascii="Times New Roman" w:hAnsi="Times New Roman"/>
          <w:b/>
          <w:sz w:val="20"/>
        </w:rPr>
        <w:t>Unprocessed Foods</w:t>
      </w:r>
      <w:r>
        <w:rPr>
          <w:rFonts w:ascii="Times New Roman" w:hAnsi="Times New Roman"/>
          <w:sz w:val="20"/>
        </w:rPr>
        <w:t>”), as First Lien Representative for the First Lien Claimholders (as defined below) (in such capacity and together with its successors and assigns from time to time in such capacity, the “</w:t>
      </w:r>
      <w:r>
        <w:rPr>
          <w:rFonts w:ascii="Times New Roman" w:hAnsi="Times New Roman"/>
          <w:b/>
          <w:sz w:val="20"/>
        </w:rPr>
        <w:t>First Lien Representative</w:t>
      </w:r>
      <w:r>
        <w:rPr>
          <w:rFonts w:ascii="Times New Roman" w:hAnsi="Times New Roman"/>
          <w:sz w:val="20"/>
        </w:rPr>
        <w:t>”), Unprocessed Foods, as collateral agent for the First Lien Claimholders (in such capacity and together with its successors and assigns from time to time in such capacity, the “</w:t>
      </w:r>
      <w:r>
        <w:rPr>
          <w:rFonts w:ascii="Times New Roman" w:hAnsi="Times New Roman"/>
          <w:b/>
          <w:sz w:val="20"/>
        </w:rPr>
        <w:t>First Lien Collateral Agent</w:t>
      </w:r>
      <w:r>
        <w:rPr>
          <w:rFonts w:ascii="Times New Roman" w:hAnsi="Times New Roman"/>
          <w:sz w:val="20"/>
        </w:rPr>
        <w:t>”), WILMINGTON TRUST, NATIONAL ASSOCIATION (“</w:t>
      </w:r>
      <w:r>
        <w:rPr>
          <w:rFonts w:ascii="Times New Roman" w:hAnsi="Times New Roman"/>
          <w:b/>
          <w:sz w:val="20"/>
        </w:rPr>
        <w:t>Wilmington Trust, National Association</w:t>
      </w:r>
      <w:r>
        <w:rPr>
          <w:rFonts w:ascii="Times New Roman" w:hAnsi="Times New Roman"/>
          <w:sz w:val="20"/>
        </w:rPr>
        <w:t>”), not individually but solely in its capacity as trustee under the Initial Second Lien Indenture (as defined below), as Second Lien Representative for the Initial Second Lien Claimholders (as defined below) (in such capacity and together with its successors and assigns from time to time in such capacity, the “</w:t>
      </w:r>
      <w:r>
        <w:rPr>
          <w:rFonts w:ascii="Times New Roman" w:hAnsi="Times New Roman"/>
          <w:b/>
          <w:sz w:val="20"/>
        </w:rPr>
        <w:t>Initial Second Lien Representative</w:t>
      </w:r>
      <w:r>
        <w:rPr>
          <w:rFonts w:ascii="Times New Roman" w:hAnsi="Times New Roman"/>
          <w:sz w:val="20"/>
        </w:rPr>
        <w:t>”), WILMINGTON TRUST, NATIONAL ASSOCIATION, not in its individual capacity but solely as collateral agent under the Initial Second Lien Indenture, as collateral agent for the Initial Second Lien Claimholders (in such capacity and together with its successors and assigns from time to time in such capacity, the “</w:t>
      </w:r>
      <w:r>
        <w:rPr>
          <w:rFonts w:ascii="Times New Roman" w:hAnsi="Times New Roman"/>
          <w:b/>
          <w:sz w:val="20"/>
        </w:rPr>
        <w:t>Initial Second Lien Collateral Agent</w:t>
      </w:r>
      <w:r>
        <w:rPr>
          <w:rFonts w:ascii="Times New Roman" w:hAnsi="Times New Roman"/>
          <w:sz w:val="20"/>
        </w:rPr>
        <w:t xml:space="preserve">”), and each First Lien Collateral Agent, Second Lien Representative and Second Lien Collateral Agent that from time to time becomes a party hereto pursuant to </w:t>
      </w:r>
      <w:r>
        <w:rPr>
          <w:rFonts w:ascii="Times New Roman" w:hAnsi="Times New Roman"/>
          <w:sz w:val="20"/>
          <w:u w:val="single"/>
        </w:rPr>
        <w:t>Section 8.7</w:t>
      </w:r>
      <w:r>
        <w:rPr>
          <w:rFonts w:ascii="Times New Roman" w:hAnsi="Times New Roman"/>
          <w:sz w:val="20"/>
        </w:rPr>
        <w:t>, and acknowledged and agreed to by BEYOND MEAT, INC., a Delaware corporation (the “</w:t>
      </w:r>
      <w:r>
        <w:rPr>
          <w:rFonts w:ascii="Times New Roman" w:hAnsi="Times New Roman"/>
          <w:b/>
          <w:sz w:val="20"/>
        </w:rPr>
        <w:t>Company</w:t>
      </w:r>
      <w:r>
        <w:rPr>
          <w:rFonts w:ascii="Times New Roman" w:hAnsi="Times New Roman"/>
          <w:sz w:val="20"/>
        </w:rPr>
        <w:t xml:space="preserve">”), and the other Grantors (as defined below). Capitalized terms used in this Agreement have the meanings assigned to them in </w:t>
      </w:r>
      <w:r>
        <w:rPr>
          <w:rFonts w:ascii="Times New Roman" w:hAnsi="Times New Roman"/>
          <w:sz w:val="20"/>
          <w:u w:val="single"/>
        </w:rPr>
        <w:t>Section 1</w:t>
      </w:r>
      <w:r>
        <w:rPr>
          <w:rFonts w:ascii="Times New Roman" w:hAnsi="Times New Roman"/>
          <w:sz w:val="20"/>
        </w:rPr>
        <w:t xml:space="preserve">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The Company, as borrower, certain subsidiaries of the Company, as guarantors, the lenders party thereto, the First Lien Representative and the First Lien Collateral Agent have entered into that certain Loan and Security Agreement dated as of May 7, 2025 (as amended, restated, amended and restated, supplemented or otherwise modified from time to time the “</w:t>
      </w:r>
      <w:r>
        <w:rPr>
          <w:rFonts w:ascii="Times New Roman" w:hAnsi="Times New Roman"/>
          <w:b/>
          <w:sz w:val="20"/>
        </w:rPr>
        <w:t>First Lien Loan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as issuer, and certain subsidiaries of the Company, as guarantors, the Initial Second Lien Representative and the Initial Second Lien Collateral Agent have entered into that certain Indenture dated as of the date hereof (as amended, restated, amended and restated, supplemented or otherwise modified from time to time, the “</w:t>
      </w:r>
      <w:r>
        <w:rPr>
          <w:rFonts w:ascii="Times New Roman" w:hAnsi="Times New Roman"/>
          <w:b/>
          <w:sz w:val="20"/>
        </w:rPr>
        <w:t>Initial Second Lien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certain current and future Subsidiaries of the Company have agreed to guaranty the First Lien Obligations and the Second Lien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Grantors under the First Lien Loan Agreement, the obligations of certain current and future Subsidiaries of the Company in respect of their guaranty of the First Lien Obligations will be secured on a first-priority basis (subject to liens permitted under the First Lien Loan Agreement) by liens on substantially all the assets of the Company and such Subsidiaries pursuant to the terms of the First Lien Collateral Documents;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Company under the Initial Second Lien Indenture and the obligations of the Company and certain current and future Subsidiaries of the Company in respect of their guaranty of the Second Lien Obligations will be secured on a junior-priority basis by liens on substantially all the assets of the Company and such Subsidiaries pursuant to the terms of the Second Lien Collateral Documents;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Loan Documents and the Second Lien Debt Documents provide, among other things, that the parties thereto shall set forth in this Agreement their respective rights and remedies with respect to the Collateral;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consideration of the foregoing, the mutual covenants and obligations herein set forth and for other good and valuable consideration, the suﬃciency and receipt of which are hereby acknowledged, each of the First Lien Representative (for itself and on behalf of each other First Lien Claimholder), the First Lien Collateral Agent (for itself and on behalf of each other First Lien Claimholder), the Initial Second Lien Representative (for itself and on behalf of each other Initial Second Lien Claimholder), the Initial Second Lien Collateral Agent (for itself and on behalf of each other Initial Second Lien Claimholder), each Additional Second Lien Representative (for itself and on behalf of each other Additional Second Lien Claimholder represented by it) and each Additional Second Lien Collateral Agent (for itself and on behalf of each other Additional Second Lien Claimholder represented by it), intending to be legally bound, hereby agrees as follows: </w:t>
      </w:r>
    </w:p>
    <w:p>
      <w:pPr>
        <w:pStyle w:val="TextBody"/>
        <w:bidi w:val="0"/>
        <w:spacing w:before="360" w:after="0"/>
        <w:jc w:val="left"/>
        <w:rPr>
          <w:rFonts w:ascii="Times New Roman" w:hAnsi="Times New Roman"/>
          <w:b/>
          <w:sz w:val="20"/>
        </w:rPr>
      </w:pPr>
      <w:bookmarkStart w:id="7" w:name="ex10_3toc60690_1"/>
      <w:bookmarkEnd w:id="7"/>
      <w:r>
        <w:rPr>
          <w:rFonts w:ascii="Times New Roman" w:hAnsi="Times New Roman"/>
          <w:b/>
          <w:sz w:val="20"/>
        </w:rPr>
        <w:t>Section 1. </w:t>
      </w:r>
      <w:r>
        <w:rPr>
          <w:rFonts w:ascii="Times New Roman" w:hAnsi="Times New Roman"/>
          <w:b/>
          <w:sz w:val="20"/>
          <w:u w:val="single"/>
        </w:rPr>
        <w:t>Definitions.</w:t>
      </w:r>
      <w:r>
        <w:rPr>
          <w:rFonts w:ascii="Times New Roman" w:hAnsi="Times New Roman"/>
          <w:b/>
          <w:sz w:val="20"/>
        </w:rPr>
        <w:t xml:space="preserve"> </w:t>
      </w:r>
    </w:p>
    <w:p>
      <w:pPr>
        <w:pStyle w:val="TextBody"/>
        <w:bidi w:val="0"/>
        <w:spacing w:before="120" w:after="0"/>
        <w:jc w:val="left"/>
        <w:rPr>
          <w:rFonts w:ascii="Times New Roman" w:hAnsi="Times New Roman"/>
          <w:sz w:val="20"/>
        </w:rPr>
      </w:pPr>
      <w:bookmarkStart w:id="8" w:name="ex10_3toc60690_2"/>
      <w:bookmarkEnd w:id="8"/>
      <w:r>
        <w:rPr>
          <w:rFonts w:ascii="Times New Roman" w:hAnsi="Times New Roman"/>
          <w:sz w:val="20"/>
        </w:rPr>
        <w:t>1.1 </w:t>
      </w:r>
      <w:r>
        <w:rPr>
          <w:rFonts w:ascii="Times New Roman" w:hAnsi="Times New Roman"/>
          <w:sz w:val="20"/>
          <w:u w:val="single"/>
        </w:rPr>
        <w:t>Defined Terms</w:t>
      </w:r>
      <w:r>
        <w:rPr>
          <w:rFonts w:ascii="Times New Roman" w:hAnsi="Times New Roman"/>
          <w:sz w:val="20"/>
        </w:rPr>
        <w:t xml:space="preserve">. As used in this Agreement, the following terms shall have the following meanings: </w:t>
      </w:r>
    </w:p>
    <w:p>
      <w:pPr>
        <w:pStyle w:val="TextBody"/>
        <w:bidi w:val="0"/>
        <w:spacing w:before="120" w:after="0"/>
        <w:jc w:val="left"/>
        <w:rPr/>
      </w:pPr>
      <w:r>
        <w:rPr/>
        <w:t>“</w:t>
      </w:r>
      <w:r>
        <w:rPr>
          <w:rFonts w:ascii="Times New Roman" w:hAnsi="Times New Roman"/>
          <w:b/>
          <w:sz w:val="20"/>
        </w:rPr>
        <w:t>Additional Collateral Agent</w:t>
      </w:r>
      <w:r>
        <w:rPr>
          <w:rFonts w:ascii="Times New Roman" w:hAnsi="Times New Roman"/>
          <w:sz w:val="20"/>
        </w:rPr>
        <w:t xml:space="preserve">” means an Additional Second Lien Collateral Agent. </w:t>
      </w:r>
    </w:p>
    <w:p>
      <w:pPr>
        <w:pStyle w:val="TextBody"/>
        <w:bidi w:val="0"/>
        <w:spacing w:before="240" w:after="0"/>
        <w:jc w:val="left"/>
        <w:rPr/>
      </w:pPr>
      <w:r>
        <w:rPr/>
        <w:t>“</w:t>
      </w:r>
      <w:r>
        <w:rPr>
          <w:rFonts w:ascii="Times New Roman" w:hAnsi="Times New Roman"/>
          <w:b/>
          <w:sz w:val="20"/>
        </w:rPr>
        <w:t>Additional Debt</w:t>
      </w:r>
      <w:r>
        <w:rPr>
          <w:rFonts w:ascii="Times New Roman" w:hAnsi="Times New Roman"/>
          <w:sz w:val="20"/>
        </w:rPr>
        <w:t xml:space="preserve">” has the meaning set forth in </w:t>
      </w:r>
      <w:r>
        <w:rPr>
          <w:rFonts w:ascii="Times New Roman" w:hAnsi="Times New Roman"/>
          <w:sz w:val="20"/>
          <w:u w:val="single"/>
        </w:rPr>
        <w:t>Section 8.7(a)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Additional Representative</w:t>
      </w:r>
      <w:r>
        <w:rPr>
          <w:rFonts w:ascii="Times New Roman" w:hAnsi="Times New Roman"/>
          <w:sz w:val="20"/>
        </w:rPr>
        <w:t xml:space="preserve">” means an Additional Second Lien Representative. </w:t>
      </w:r>
    </w:p>
    <w:p>
      <w:pPr>
        <w:pStyle w:val="TextBody"/>
        <w:bidi w:val="0"/>
        <w:spacing w:before="240" w:after="0"/>
        <w:jc w:val="left"/>
        <w:rPr/>
      </w:pPr>
      <w:r>
        <w:rPr/>
        <w:t>“</w:t>
      </w:r>
      <w:r>
        <w:rPr>
          <w:rFonts w:ascii="Times New Roman" w:hAnsi="Times New Roman"/>
          <w:b/>
          <w:sz w:val="20"/>
        </w:rPr>
        <w:t>Additional Second Lien Claimholders</w:t>
      </w:r>
      <w:r>
        <w:rPr>
          <w:rFonts w:ascii="Times New Roman" w:hAnsi="Times New Roman"/>
          <w:sz w:val="20"/>
        </w:rPr>
        <w:t xml:space="preserve">” means, with respect to any Series of Additional Second Lien Debt, the holders of such Indebtedness, the Second Lien Representative with respect thereto, the Second Lien Collateral Agent with respect thereto, any trustee or agent therefor under any related Additional Second Lien Debt Documents and the beneficiaries of each indemnification obligation undertaken by the Company or any other Grantor under any related Additional Second Lien Debt Documents and the holders of any other Additional Second Lien Obligations secured by the Second Lien Collateral Documents for such Series of Additional Second Lien Debt. </w:t>
      </w:r>
    </w:p>
    <w:p>
      <w:pPr>
        <w:pStyle w:val="TextBody"/>
        <w:bidi w:val="0"/>
        <w:spacing w:before="240" w:after="0"/>
        <w:jc w:val="left"/>
        <w:rPr/>
      </w:pPr>
      <w:r>
        <w:rPr/>
        <w:t>“</w:t>
      </w:r>
      <w:r>
        <w:rPr>
          <w:rFonts w:ascii="Times New Roman" w:hAnsi="Times New Roman"/>
          <w:b/>
          <w:sz w:val="20"/>
        </w:rPr>
        <w:t>Additional Second Lien Collateral Agent</w:t>
      </w:r>
      <w:r>
        <w:rPr>
          <w:rFonts w:ascii="Times New Roman" w:hAnsi="Times New Roman"/>
          <w:sz w:val="20"/>
        </w:rPr>
        <w:t xml:space="preserve">” has the meaning set forth in the definition of “Second Lien Collateral Agent”. </w:t>
      </w:r>
    </w:p>
    <w:p>
      <w:pPr>
        <w:pStyle w:val="TextBody"/>
        <w:bidi w:val="0"/>
        <w:spacing w:before="240" w:after="0"/>
        <w:jc w:val="left"/>
        <w:rPr/>
      </w:pPr>
      <w:r>
        <w:rPr/>
        <w:t>“</w:t>
      </w:r>
      <w:r>
        <w:rPr>
          <w:rFonts w:ascii="Times New Roman" w:hAnsi="Times New Roman"/>
          <w:b/>
          <w:sz w:val="20"/>
        </w:rPr>
        <w:t>Additional Second Lien Debt</w:t>
      </w:r>
      <w:r>
        <w:rPr>
          <w:rFonts w:ascii="Times New Roman" w:hAnsi="Times New Roman"/>
          <w:sz w:val="20"/>
        </w:rPr>
        <w:t xml:space="preserve">” means any Indebtedness and guarantees thereof that is incurred, issued or guaranteed by the Company and/or any Grantor other than the Initial Second Lien Debt, which Indebtedness and guarantees are secured by the Second Lien Collateral (or a portion thereof) on a basis junior to the First Lien Obligations; </w:t>
      </w:r>
      <w:r>
        <w:rPr>
          <w:rFonts w:ascii="Times New Roman" w:hAnsi="Times New Roman"/>
          <w:sz w:val="20"/>
          <w:u w:val="single"/>
        </w:rPr>
        <w:t>provided, however</w:t>
      </w:r>
      <w:r>
        <w:rPr>
          <w:rFonts w:ascii="Times New Roman" w:hAnsi="Times New Roman"/>
          <w:sz w:val="20"/>
        </w:rPr>
        <w:t xml:space="preserve">, that with respect to any such Indebtedness incurred after the date hereof such Indebtedness is permitted to be incurred, secured and guaranteed on such basis by each First Lien Loan Document and Second Lien Debt Document, unless already a party with respect to that Series of Additional Second Lien Debt, each of the Second Lien Representative and the Second Lien Collateral Agent for the holders of such Indebtedness shall have become party to this Agreement pursuant to, and by satisfying the conditions set forth in, </w:t>
      </w:r>
      <w:r>
        <w:rPr>
          <w:rFonts w:ascii="Times New Roman" w:hAnsi="Times New Roman"/>
          <w:sz w:val="20"/>
          <w:u w:val="single"/>
        </w:rPr>
        <w:t>Section 8.7</w:t>
      </w:r>
      <w:r>
        <w:rPr>
          <w:rFonts w:ascii="Times New Roman" w:hAnsi="Times New Roman"/>
          <w:sz w:val="20"/>
        </w:rPr>
        <w:t xml:space="preserve"> and the Second Lien Pari Passu Intercreditor Agreement pursuant to and by satisfying the conditions set forth therein; </w:t>
      </w:r>
      <w:r>
        <w:rPr>
          <w:rFonts w:ascii="Times New Roman" w:hAnsi="Times New Roman"/>
          <w:sz w:val="20"/>
          <w:u w:val="single"/>
        </w:rPr>
        <w:t>provided, further</w:t>
      </w:r>
      <w:r>
        <w:rPr>
          <w:rFonts w:ascii="Times New Roman" w:hAnsi="Times New Roman"/>
          <w:sz w:val="20"/>
        </w:rPr>
        <w:t xml:space="preserve">, that, if such Indebtedness will be the initial Additional Second Lien Debt incurred by the Company or any other Grantor after the date hereof, then the Grantors, the Initial Second Lien Representative, the Initial Second Lien Collateral Agent, the Second Lien Representative for such Indebtedness and the Second Lien Collateral Agent for such Indebtedness shall have executed and delivered the Second Lien Pari Passu Intercreditor Agreement, and each of the other requirements of </w:t>
      </w:r>
      <w:r>
        <w:rPr>
          <w:rFonts w:ascii="Times New Roman" w:hAnsi="Times New Roman"/>
          <w:sz w:val="20"/>
          <w:u w:val="single"/>
        </w:rPr>
        <w:t>Section 8.7</w:t>
      </w:r>
      <w:r>
        <w:rPr>
          <w:rFonts w:ascii="Times New Roman" w:hAnsi="Times New Roman"/>
          <w:sz w:val="20"/>
        </w:rPr>
        <w:t xml:space="preserve"> shall have been complied with. </w:t>
      </w:r>
    </w:p>
    <w:p>
      <w:pPr>
        <w:pStyle w:val="TextBody"/>
        <w:bidi w:val="0"/>
        <w:spacing w:before="240" w:after="0"/>
        <w:jc w:val="left"/>
        <w:rPr/>
      </w:pPr>
      <w:r>
        <w:rPr/>
        <w:t>“</w:t>
      </w:r>
      <w:r>
        <w:rPr>
          <w:rFonts w:ascii="Times New Roman" w:hAnsi="Times New Roman"/>
          <w:b/>
          <w:sz w:val="20"/>
        </w:rPr>
        <w:t>Additional Second Lien Debt Documents</w:t>
      </w:r>
      <w:r>
        <w:rPr>
          <w:rFonts w:ascii="Times New Roman" w:hAnsi="Times New Roman"/>
          <w:sz w:val="20"/>
        </w:rPr>
        <w:t xml:space="preserve">” means, with respect to any Series of Additional Second Lien Debt, the loan agreements, promissory notes, indentures and other operative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agreements evidencing or governing such Indebtedness, any document governing reimbursement obligations in respect of letters of credit issued pursuant to any Additional Second Lien Debt Documents and the Second Lien Collateral Documents securing such Series of Additional Second Lien Debt. </w:t>
      </w:r>
    </w:p>
    <w:p>
      <w:pPr>
        <w:pStyle w:val="TextBody"/>
        <w:bidi w:val="0"/>
        <w:spacing w:before="240" w:after="0"/>
        <w:jc w:val="left"/>
        <w:rPr/>
      </w:pPr>
      <w:r>
        <w:rPr/>
        <w:t>“</w:t>
      </w:r>
      <w:r>
        <w:rPr>
          <w:rFonts w:ascii="Times New Roman" w:hAnsi="Times New Roman"/>
          <w:b/>
          <w:sz w:val="20"/>
        </w:rPr>
        <w:t>Additional Second Lien Obligations</w:t>
      </w:r>
      <w:r>
        <w:rPr>
          <w:rFonts w:ascii="Times New Roman" w:hAnsi="Times New Roman"/>
          <w:sz w:val="20"/>
        </w:rPr>
        <w:t xml:space="preserve">” means, with respect to any Series of Additional Second Lien Debt, (a) principal, interest (including without limitation any Post-Petition Interest), premium (if any), penalties, fees, expenses (including, without limitation, fees, expenses and disbursements of agents, professional advisors and legal counsel), indemnifications, reimbursement obligations (including in respect of letters of credit), damages and other liabilities, and guarantees of the foregoing amounts, in each case whether or not allowed or allowable in an Insolvency or Liquidation Proceeding, payable with respect to such Additional Second Lien Debt, (b) all other amounts payable to the related Additional Second Lien Claimholders under the related Additional Second Lien Debt Documents (other than in respect of any Indebtedness not constituting Additional Second Lien Debt) and (c) any renewals or extensions of the foregoing. </w:t>
      </w:r>
    </w:p>
    <w:p>
      <w:pPr>
        <w:pStyle w:val="TextBody"/>
        <w:bidi w:val="0"/>
        <w:spacing w:before="240" w:after="0"/>
        <w:jc w:val="left"/>
        <w:rPr/>
      </w:pPr>
      <w:r>
        <w:rPr/>
        <w:t>“</w:t>
      </w:r>
      <w:r>
        <w:rPr>
          <w:rFonts w:ascii="Times New Roman" w:hAnsi="Times New Roman"/>
          <w:b/>
          <w:sz w:val="20"/>
        </w:rPr>
        <w:t>Additional Second Lien Representative</w:t>
      </w:r>
      <w:r>
        <w:rPr>
          <w:rFonts w:ascii="Times New Roman" w:hAnsi="Times New Roman"/>
          <w:sz w:val="20"/>
        </w:rPr>
        <w:t xml:space="preserve">” has the meaning set forth in the definition of “Second Lien Representative”.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 specified Person, any branch of such Person or any other Person that directly, or indirectly through one or more intermediaries, Controls or is Controlled by or is under common Control with the specified Person.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rPr>
        <w:t>Bankruptcy Code</w:t>
      </w:r>
      <w:r>
        <w:rPr>
          <w:rFonts w:ascii="Times New Roman" w:hAnsi="Times New Roman"/>
          <w:sz w:val="20"/>
        </w:rPr>
        <w:t xml:space="preserve">” means Title 11 of the United States Code entitled “Bankruptcy,” as now and hereafter in effect, or any successor statute. </w:t>
      </w:r>
    </w:p>
    <w:p>
      <w:pPr>
        <w:pStyle w:val="TextBody"/>
        <w:bidi w:val="0"/>
        <w:spacing w:before="240" w:after="0"/>
        <w:jc w:val="left"/>
        <w:rPr/>
      </w:pPr>
      <w:r>
        <w:rPr/>
        <w:t>“</w:t>
      </w:r>
      <w:r>
        <w:rPr>
          <w:rFonts w:ascii="Times New Roman" w:hAnsi="Times New Roman"/>
          <w:b/>
          <w:sz w:val="20"/>
        </w:rPr>
        <w:t>Bankruptcy Law</w:t>
      </w:r>
      <w:r>
        <w:rPr>
          <w:rFonts w:ascii="Times New Roman" w:hAnsi="Times New Roman"/>
          <w:sz w:val="20"/>
        </w:rPr>
        <w:t xml:space="preserve">” means the Bankruptcy Code and any similar federal, state or foreign law for the relief of debtors.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 day other than a Saturday, Sunday or other holiday on which commercial banks in New York City are closed. </w:t>
      </w:r>
    </w:p>
    <w:p>
      <w:pPr>
        <w:pStyle w:val="TextBody"/>
        <w:bidi w:val="0"/>
        <w:spacing w:before="240" w:after="0"/>
        <w:jc w:val="left"/>
        <w:rPr/>
      </w:pPr>
      <w:r>
        <w:rPr/>
        <w:t>“</w:t>
      </w:r>
      <w:r>
        <w:rPr>
          <w:rFonts w:ascii="Times New Roman" w:hAnsi="Times New Roman"/>
          <w:b/>
          <w:sz w:val="20"/>
        </w:rPr>
        <w:t>Claimholders</w:t>
      </w:r>
      <w:r>
        <w:rPr>
          <w:rFonts w:ascii="Times New Roman" w:hAnsi="Times New Roman"/>
          <w:sz w:val="20"/>
        </w:rPr>
        <w:t xml:space="preserve">” means the First Lien Claimholders and/or the Second Lien Claimholders, as the context may require. </w:t>
      </w:r>
    </w:p>
    <w:p>
      <w:pPr>
        <w:pStyle w:val="TextBody"/>
        <w:bidi w:val="0"/>
        <w:spacing w:before="240" w:after="0"/>
        <w:jc w:val="left"/>
        <w:rPr/>
      </w:pPr>
      <w:r>
        <w:rPr/>
        <w:t>“</w:t>
      </w:r>
      <w:r>
        <w:rPr>
          <w:rFonts w:ascii="Times New Roman" w:hAnsi="Times New Roman"/>
          <w:b/>
          <w:sz w:val="20"/>
        </w:rPr>
        <w:t>Collateral</w:t>
      </w:r>
      <w:r>
        <w:rPr>
          <w:rFonts w:ascii="Times New Roman" w:hAnsi="Times New Roman"/>
          <w:sz w:val="20"/>
        </w:rPr>
        <w:t xml:space="preserve">” means, at any time, all of the assets and property of any Grantor, whether real, personal or mixed, in which the holders of First Lien Obligations under at least one Series of First Lien Obligations and the holders of Second Lien Obligations under at least one Series of Second Lien Obligations (or their respective Collateral Agents or Representatives) hold, purport to hold or are entitled to hold, a security interest at such time (or, in the case of the First Lien Obligations, are deemed pursuant to </w:t>
      </w:r>
      <w:r>
        <w:rPr>
          <w:rFonts w:ascii="Times New Roman" w:hAnsi="Times New Roman"/>
          <w:sz w:val="20"/>
          <w:u w:val="single"/>
        </w:rPr>
        <w:t>Section 2</w:t>
      </w:r>
      <w:r>
        <w:rPr>
          <w:rFonts w:ascii="Times New Roman" w:hAnsi="Times New Roman"/>
          <w:sz w:val="20"/>
        </w:rPr>
        <w:t xml:space="preserve"> to hold a security interest). If, at any time, any portion of the First Lien Collateral under one or more Series of First Lien Obligations does not constitute Second Lien Collateral under one or more Series of Second Lien Obligations, then such portion of such First Lien Collateral shall constitute Second Lien Collateral only with respect to the Second Lien Obligations for which it constitutes Second Lien Collateral and shall not constitute Collateral for any Second Lien Obligations which do not have a security interest in such Collateral at such time. </w:t>
      </w:r>
    </w:p>
    <w:p>
      <w:pPr>
        <w:pStyle w:val="TextBody"/>
        <w:bidi w:val="0"/>
        <w:spacing w:before="240" w:after="0"/>
        <w:jc w:val="left"/>
        <w:rPr/>
      </w:pPr>
      <w:r>
        <w:rPr/>
        <w:t>“</w:t>
      </w:r>
      <w:r>
        <w:rPr>
          <w:rFonts w:ascii="Times New Roman" w:hAnsi="Times New Roman"/>
          <w:b/>
          <w:sz w:val="20"/>
        </w:rPr>
        <w:t>Collateral Agent</w:t>
      </w:r>
      <w:r>
        <w:rPr>
          <w:rFonts w:ascii="Times New Roman" w:hAnsi="Times New Roman"/>
          <w:sz w:val="20"/>
        </w:rPr>
        <w:t xml:space="preserve">” means any First Lien Collateral Agent and/or any Second Lien Collateral Agent, as the context may require.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Collateral Documents</w:t>
      </w:r>
      <w:r>
        <w:rPr>
          <w:rFonts w:ascii="Times New Roman" w:hAnsi="Times New Roman"/>
          <w:sz w:val="20"/>
        </w:rPr>
        <w:t xml:space="preserve">” means the First Lien Collateral Documents and the Second Lien Collateral Documents. </w:t>
      </w:r>
    </w:p>
    <w:p>
      <w:pPr>
        <w:pStyle w:val="TextBody"/>
        <w:bidi w:val="0"/>
        <w:spacing w:before="240" w:after="0"/>
        <w:jc w:val="left"/>
        <w:rPr/>
      </w:pPr>
      <w:r>
        <w:rPr/>
        <w:t>“</w:t>
      </w:r>
      <w:r>
        <w:rPr>
          <w:rFonts w:ascii="Times New Roman" w:hAnsi="Times New Roman"/>
          <w:b/>
          <w:sz w:val="20"/>
        </w:rPr>
        <w:t>Commodity Exchange Act</w:t>
      </w:r>
      <w:r>
        <w:rPr>
          <w:rFonts w:ascii="Times New Roman" w:hAnsi="Times New Roman"/>
          <w:sz w:val="20"/>
        </w:rPr>
        <w:t xml:space="preserve">” means the Commodity Exchange Act (7 U.S.C. § 1 et seq.), as amended from time to time, and any successor statute.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rPr>
        <w:t>Control</w:t>
      </w:r>
      <w:r>
        <w:rPr>
          <w:rFonts w:ascii="Times New Roman" w:hAnsi="Times New Roman"/>
          <w:sz w:val="20"/>
        </w:rPr>
        <w:t xml:space="preserve">” means the possession, directly or indirectly, of the power to direct or cause the direction of the management or policies of a Person, whether through the ownership of voting securities, by contract or otherwise. “Controlling” and “Controlled” have meanings correlative thereto. </w:t>
      </w:r>
    </w:p>
    <w:p>
      <w:pPr>
        <w:pStyle w:val="TextBody"/>
        <w:bidi w:val="0"/>
        <w:spacing w:before="240" w:after="0"/>
        <w:jc w:val="left"/>
        <w:rPr/>
      </w:pPr>
      <w:r>
        <w:rPr/>
        <w:t>“</w:t>
      </w:r>
      <w:r>
        <w:rPr>
          <w:rFonts w:ascii="Times New Roman" w:hAnsi="Times New Roman"/>
          <w:b/>
          <w:sz w:val="20"/>
        </w:rPr>
        <w:t>Control Agent</w:t>
      </w:r>
      <w:r>
        <w:rPr>
          <w:rFonts w:ascii="Times New Roman" w:hAnsi="Times New Roman"/>
          <w:sz w:val="20"/>
        </w:rPr>
        <w:t xml:space="preserve">” has the meaning set forth in </w:t>
      </w:r>
      <w:r>
        <w:rPr>
          <w:rFonts w:ascii="Times New Roman" w:hAnsi="Times New Roman"/>
          <w:sz w:val="20"/>
          <w:u w:val="single"/>
        </w:rPr>
        <w:t>Section 5.5(e)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Corresponding Liabilities</w:t>
      </w:r>
      <w:r>
        <w:rPr>
          <w:rFonts w:ascii="Times New Roman" w:hAnsi="Times New Roman"/>
          <w:sz w:val="20"/>
        </w:rPr>
        <w:t xml:space="preserve">” means all Obligations except for each Parallel Liability. </w:t>
      </w:r>
    </w:p>
    <w:p>
      <w:pPr>
        <w:pStyle w:val="TextBody"/>
        <w:bidi w:val="0"/>
        <w:spacing w:before="240" w:after="0"/>
        <w:jc w:val="left"/>
        <w:rPr/>
      </w:pPr>
      <w:r>
        <w:rPr/>
        <w:t>“</w:t>
      </w:r>
      <w:r>
        <w:rPr>
          <w:rFonts w:ascii="Times New Roman" w:hAnsi="Times New Roman"/>
          <w:b/>
          <w:sz w:val="20"/>
        </w:rPr>
        <w:t>Declined Liens</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Designated First Lien Collateral Agent</w:t>
      </w:r>
      <w:r>
        <w:rPr>
          <w:rFonts w:ascii="Times New Roman" w:hAnsi="Times New Roman"/>
          <w:sz w:val="20"/>
        </w:rPr>
        <w:t xml:space="preserve">” means if at any time there is only one Series of First Lien Obligations with respect to which the Discharge of First Lien Obligations has not occurred, the First Lien Collateral Agent for the First Lien Claimholders in such Series and at any time when clause (i) does not apply, the “Applicable Collateral Agent” (as defined in the First Lien Pari Passu Intercreditor Agreement) at such time. </w:t>
      </w:r>
    </w:p>
    <w:p>
      <w:pPr>
        <w:pStyle w:val="TextBody"/>
        <w:bidi w:val="0"/>
        <w:spacing w:before="240" w:after="0"/>
        <w:jc w:val="left"/>
        <w:rPr/>
      </w:pPr>
      <w:r>
        <w:rPr/>
        <w:t>“</w:t>
      </w:r>
      <w:r>
        <w:rPr>
          <w:rFonts w:ascii="Times New Roman" w:hAnsi="Times New Roman"/>
          <w:b/>
          <w:sz w:val="20"/>
        </w:rPr>
        <w:t>Designated First Lien Representative</w:t>
      </w:r>
      <w:r>
        <w:rPr>
          <w:rFonts w:ascii="Times New Roman" w:hAnsi="Times New Roman"/>
          <w:sz w:val="20"/>
        </w:rPr>
        <w:t xml:space="preserve">” means if at any time there is only one Series of First Lien Obligations with respect to which the Discharge of First Lien Obligations has not occurred, the First Lien Representative for the First Lien Claimholders in such Series and at any time when clause (i) does not apply, the “Applicable Representative” (as defined in the First Lien Pari Passu Intercreditor Agreement) at such time. </w:t>
      </w:r>
    </w:p>
    <w:p>
      <w:pPr>
        <w:pStyle w:val="TextBody"/>
        <w:bidi w:val="0"/>
        <w:spacing w:before="240" w:after="0"/>
        <w:jc w:val="left"/>
        <w:rPr/>
      </w:pPr>
      <w:r>
        <w:rPr/>
        <w:t>“</w:t>
      </w:r>
      <w:r>
        <w:rPr>
          <w:rFonts w:ascii="Times New Roman" w:hAnsi="Times New Roman"/>
          <w:b/>
          <w:sz w:val="20"/>
        </w:rPr>
        <w:t>Designated Second Lien Collateral Agent</w:t>
      </w:r>
      <w:r>
        <w:rPr>
          <w:rFonts w:ascii="Times New Roman" w:hAnsi="Times New Roman"/>
          <w:sz w:val="20"/>
        </w:rPr>
        <w:t xml:space="preserve">” means if at any time there is only one Series of Second Lien Obligations with respect to which the Discharge of Second Lien Obligations has not occurred, the Second Lien Collateral Agent for the Second Lien Claimholders in such Series and at any time when clause (i) does not apply, the “Applicable Collateral Agent” (as defined in the Second Lien Pari Passu Intercreditor Agreement) at such time. </w:t>
      </w:r>
    </w:p>
    <w:p>
      <w:pPr>
        <w:pStyle w:val="TextBody"/>
        <w:bidi w:val="0"/>
        <w:spacing w:before="240" w:after="0"/>
        <w:jc w:val="left"/>
        <w:rPr/>
      </w:pPr>
      <w:r>
        <w:rPr/>
        <w:t>“</w:t>
      </w:r>
      <w:r>
        <w:rPr>
          <w:rFonts w:ascii="Times New Roman" w:hAnsi="Times New Roman"/>
          <w:b/>
          <w:sz w:val="20"/>
        </w:rPr>
        <w:t>Designated Second Lien Representative</w:t>
      </w:r>
      <w:r>
        <w:rPr>
          <w:rFonts w:ascii="Times New Roman" w:hAnsi="Times New Roman"/>
          <w:sz w:val="20"/>
        </w:rPr>
        <w:t xml:space="preserve">” means if at any time there is only one Series of Second Lien Obligations with respect to which the Discharge of Second Lien Obligations has not occurred, the Second Lien Representative for the Second Lien Claimholders in such Series and at any time when clause (i) does not apply, the “Applicable Representative” (as defined in the Second Lien Pari Passu Intercreditor Agreement) at such time. </w:t>
      </w:r>
    </w:p>
    <w:p>
      <w:pPr>
        <w:pStyle w:val="TextBody"/>
        <w:bidi w:val="0"/>
        <w:spacing w:before="240" w:after="0"/>
        <w:jc w:val="left"/>
        <w:rPr/>
      </w:pPr>
      <w:r>
        <w:rPr/>
        <w:t>“</w:t>
      </w:r>
      <w:r>
        <w:rPr>
          <w:rFonts w:ascii="Times New Roman" w:hAnsi="Times New Roman"/>
          <w:b/>
          <w:sz w:val="20"/>
        </w:rPr>
        <w:t>Designation</w:t>
      </w:r>
      <w:r>
        <w:rPr>
          <w:rFonts w:ascii="Times New Roman" w:hAnsi="Times New Roman"/>
          <w:sz w:val="20"/>
        </w:rPr>
        <w:t xml:space="preserve">” means a designation of Additional Second Lien Debt in substantially the form of </w:t>
      </w:r>
      <w:r>
        <w:rPr>
          <w:rFonts w:ascii="Times New Roman" w:hAnsi="Times New Roman"/>
          <w:sz w:val="20"/>
          <w:u w:val="single"/>
        </w:rPr>
        <w:t>Exhibit C</w:t>
      </w:r>
      <w:r>
        <w:rPr>
          <w:rFonts w:ascii="Times New Roman" w:hAnsi="Times New Roman"/>
          <w:sz w:val="20"/>
        </w:rPr>
        <w:t xml:space="preserve"> attached hereto. </w:t>
      </w:r>
    </w:p>
    <w:p>
      <w:pPr>
        <w:pStyle w:val="TextBody"/>
        <w:bidi w:val="0"/>
        <w:spacing w:before="240" w:after="0"/>
        <w:jc w:val="left"/>
        <w:rPr/>
      </w:pPr>
      <w:r>
        <w:rPr/>
        <w:t>“</w:t>
      </w:r>
      <w:r>
        <w:rPr>
          <w:rFonts w:ascii="Times New Roman" w:hAnsi="Times New Roman"/>
          <w:b/>
          <w:sz w:val="20"/>
        </w:rPr>
        <w:t>DIP Financing</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DIP Conditions</w:t>
      </w:r>
      <w:r>
        <w:rPr>
          <w:rFonts w:ascii="Times New Roman" w:hAnsi="Times New Roman"/>
          <w:sz w:val="20"/>
        </w:rPr>
        <w:t xml:space="preserve">” means (a) the maximum aggregate principal amount of the applicable DIP Financing extended by First Lien Claimholders, or consented or not objected to by the requisite First Lien Claimholders, when taken together with the aggregate principal amount of outstanding pre-petition First Lien Obligations that will not be repaid by such DIP Financing (but excluding the amount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carve-out” for professional fees and expenses) does not exceed (i) the First Lien Cap Amount plus (ii) $100,000,000, (b) the Liens securing the First Lien Obligations are subordinated to or pari passu with such DIP Financing, (c) the Second Lien Claimholders retain a Lien on the Collateral (including proceeds thereof arising after the commencement of such Insolvency or Liquidation Proceeding) with the same priority as existed prior to the commencement of such Insolvency or Liquidation Proceeding, except to the extent of any requisite subordination in accordance with </w:t>
      </w:r>
      <w:r>
        <w:rPr>
          <w:rFonts w:ascii="Times New Roman" w:hAnsi="Times New Roman"/>
          <w:sz w:val="20"/>
          <w:u w:val="single"/>
        </w:rPr>
        <w:t>Section 6.1</w:t>
      </w:r>
      <w:r>
        <w:rPr>
          <w:rFonts w:ascii="Times New Roman" w:hAnsi="Times New Roman"/>
          <w:sz w:val="20"/>
        </w:rPr>
        <w:t xml:space="preserve">, (d) such DIP Financing does not compel any Grantor to seek confirmation of a specific plan of reorganization for which all or substantially all of the material terms are set forth in the documentation relating to such DIP Financing, and (e) such DIP Financing is otherwise subject to the terms of this Agreement. </w:t>
      </w:r>
    </w:p>
    <w:p>
      <w:pPr>
        <w:pStyle w:val="TextBody"/>
        <w:bidi w:val="0"/>
        <w:spacing w:before="240" w:after="0"/>
        <w:jc w:val="left"/>
        <w:rPr/>
      </w:pPr>
      <w:r>
        <w:rPr/>
        <w:t>“</w:t>
      </w:r>
      <w:r>
        <w:rPr>
          <w:rFonts w:ascii="Times New Roman" w:hAnsi="Times New Roman"/>
          <w:b/>
          <w:sz w:val="20"/>
        </w:rPr>
        <w:t>Discharge</w:t>
      </w:r>
      <w:r>
        <w:rPr>
          <w:rFonts w:ascii="Times New Roman" w:hAnsi="Times New Roman"/>
          <w:sz w:val="20"/>
        </w:rPr>
        <w:t>” means (a) the payment in full in cash of the principal of and interest (including interest accruing on or after the commencement of any Insolvency or Liquidation Proceeding, whether or not such interest would be allowed in such Insolvency or Liquidation Proceeding), on all Indebtedness outstanding under the First Lien Loan Documents and constituting First Lien Obligations, (b) payment in full in cash of all other First Lien Obligations that are due and payable or otherwise accrued and owing at or prior to the time such principal and interest are paid (other than any indemnification obligations for which no claim or demand for payment, whether oral or written, has been made at such time), (c) termination or expiration of all commitments, if any, to extend credit that would constitute First Lien Obligations and (d) with respect to any Series of First Lien Obligations or Series of Second Lien Obligations, that none of the Collateral secures, and none of the Collateral is required to secure, the First Lien Obligations of such Series or the Second Lien Obligations of such Series, as the case may be, pursuant to the terms of the applicable First Lien Loan Documents or Second Lien Debt Documents. The term “</w:t>
      </w:r>
      <w:r>
        <w:rPr>
          <w:rFonts w:ascii="Times New Roman" w:hAnsi="Times New Roman"/>
          <w:b/>
          <w:sz w:val="20"/>
        </w:rPr>
        <w:t>Discharged</w:t>
      </w:r>
      <w:r>
        <w:rPr>
          <w:rFonts w:ascii="Times New Roman" w:hAnsi="Times New Roman"/>
          <w:sz w:val="20"/>
        </w:rPr>
        <w:t xml:space="preserve">” shall have a corresponding meaning. </w:t>
      </w:r>
    </w:p>
    <w:p>
      <w:pPr>
        <w:pStyle w:val="TextBody"/>
        <w:bidi w:val="0"/>
        <w:spacing w:before="240" w:after="0"/>
        <w:jc w:val="left"/>
        <w:rPr/>
      </w:pPr>
      <w:r>
        <w:rPr/>
        <w:t>“</w:t>
      </w:r>
      <w:r>
        <w:rPr>
          <w:rFonts w:ascii="Times New Roman" w:hAnsi="Times New Roman"/>
          <w:b/>
          <w:sz w:val="20"/>
        </w:rPr>
        <w:t>Discharge of First Lien Obligations</w:t>
      </w:r>
      <w:r>
        <w:rPr>
          <w:rFonts w:ascii="Times New Roman" w:hAnsi="Times New Roman"/>
          <w:sz w:val="20"/>
        </w:rPr>
        <w:t xml:space="preserve">” means the Discharge of First Lien Obligations and the Discharge of each additional Series of First Lien Obligations has occurred; </w:t>
      </w:r>
      <w:r>
        <w:rPr>
          <w:rFonts w:ascii="Times New Roman" w:hAnsi="Times New Roman"/>
          <w:sz w:val="20"/>
          <w:u w:val="single"/>
        </w:rPr>
        <w:t>provided</w:t>
      </w:r>
      <w:r>
        <w:rPr>
          <w:rFonts w:ascii="Times New Roman" w:hAnsi="Times New Roman"/>
          <w:sz w:val="20"/>
        </w:rPr>
        <w:t xml:space="preserve">, that the Discharge of First Lien Obligations shall be deemed not to have occurred if any First Lien Loan Document is Refinanced in accordance with </w:t>
      </w:r>
      <w:r>
        <w:rPr>
          <w:rFonts w:ascii="Times New Roman" w:hAnsi="Times New Roman"/>
          <w:sz w:val="20"/>
          <w:u w:val="single"/>
        </w:rPr>
        <w:t>Section 5.3</w:t>
      </w:r>
      <w:r>
        <w:rPr>
          <w:rFonts w:ascii="Times New Roman" w:hAnsi="Times New Roman"/>
          <w:sz w:val="20"/>
        </w:rPr>
        <w:t xml:space="preserve"> and such Refinanced Indebtedness is then in eﬀect and has not itself been Discharged or Refinanced in accordance with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Discharge of Initial Second Lien Obligations</w:t>
      </w:r>
      <w:r>
        <w:rPr>
          <w:rFonts w:ascii="Times New Roman" w:hAnsi="Times New Roman"/>
          <w:sz w:val="20"/>
        </w:rPr>
        <w:t xml:space="preserve">” means the Discharge of all Initial Second Lien Obligations has occurred; provided, that the Discharge of Initial Second Lien Obligations shall be deemed not to have occurred if the Initial Second Lien Indenture is Refinanced in accordance with </w:t>
      </w:r>
      <w:r>
        <w:rPr>
          <w:rFonts w:ascii="Times New Roman" w:hAnsi="Times New Roman"/>
          <w:sz w:val="20"/>
          <w:u w:val="single"/>
        </w:rPr>
        <w:t>Section 5.3</w:t>
      </w:r>
      <w:r>
        <w:rPr>
          <w:rFonts w:ascii="Times New Roman" w:hAnsi="Times New Roman"/>
          <w:sz w:val="20"/>
        </w:rPr>
        <w:t xml:space="preserve"> and such Refinanced Indebtedness is then in effect and has not itself been Discharged or Refinanced in accordance with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Discharge of Second Lien Obligations</w:t>
      </w:r>
      <w:r>
        <w:rPr>
          <w:rFonts w:ascii="Times New Roman" w:hAnsi="Times New Roman"/>
          <w:sz w:val="20"/>
        </w:rPr>
        <w:t xml:space="preserve">” means the Discharge of Initial Second Lien Obligations and the Discharge of each additional Series of Second Lien Obligations has occurred; </w:t>
      </w:r>
      <w:r>
        <w:rPr>
          <w:rFonts w:ascii="Times New Roman" w:hAnsi="Times New Roman"/>
          <w:sz w:val="20"/>
          <w:u w:val="single"/>
        </w:rPr>
        <w:t>provided</w:t>
      </w:r>
      <w:r>
        <w:rPr>
          <w:rFonts w:ascii="Times New Roman" w:hAnsi="Times New Roman"/>
          <w:sz w:val="20"/>
        </w:rPr>
        <w:t xml:space="preserve">, that the Discharge of Second Lien Obligations shall be deemed not to have occurred if any Second Lien Debt Document is Refinanced in accordance with </w:t>
      </w:r>
      <w:r>
        <w:rPr>
          <w:rFonts w:ascii="Times New Roman" w:hAnsi="Times New Roman"/>
          <w:sz w:val="20"/>
          <w:u w:val="single"/>
        </w:rPr>
        <w:t>Section 5.3</w:t>
      </w:r>
      <w:r>
        <w:rPr>
          <w:rFonts w:ascii="Times New Roman" w:hAnsi="Times New Roman"/>
          <w:sz w:val="20"/>
        </w:rPr>
        <w:t xml:space="preserve"> and such Refinanced Indebtedness is then in effect and has not itself been Discharged or Refinanced in accordance with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Disposition</w:t>
      </w:r>
      <w:r>
        <w:rPr>
          <w:rFonts w:ascii="Times New Roman" w:hAnsi="Times New Roman"/>
          <w:sz w:val="20"/>
        </w:rPr>
        <w:t xml:space="preserve">” has the meaning set forth in </w:t>
      </w:r>
      <w:r>
        <w:rPr>
          <w:rFonts w:ascii="Times New Roman" w:hAnsi="Times New Roman"/>
          <w:sz w:val="20"/>
          <w:u w:val="single"/>
        </w:rPr>
        <w:t>Section 5.1(b)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Enforcement Action</w:t>
      </w:r>
      <w:r>
        <w:rPr>
          <w:rFonts w:ascii="Times New Roman" w:hAnsi="Times New Roman"/>
          <w:sz w:val="20"/>
        </w:rPr>
        <w:t xml:space="preserve">” means any action to: </w:t>
      </w:r>
    </w:p>
    <w:p>
      <w:pPr>
        <w:pStyle w:val="TextBody"/>
        <w:bidi w:val="0"/>
        <w:spacing w:before="120" w:after="0"/>
        <w:jc w:val="left"/>
        <w:rPr>
          <w:rFonts w:ascii="Times New Roman" w:hAnsi="Times New Roman"/>
          <w:sz w:val="20"/>
        </w:rPr>
      </w:pPr>
      <w:r>
        <w:rPr>
          <w:rFonts w:ascii="Times New Roman" w:hAnsi="Times New Roman"/>
          <w:sz w:val="20"/>
        </w:rPr>
        <w:t xml:space="preserve">(a) foreclose, execute, levy, or collect on, take possession or control of (other than for purposes of perfection), sell or otherwise realize upon (judicially or non-judicially), or lease, license, or otherwise dispose of (whether publicly or privately), Collateral, or otherwise exercise or enforce remedial rights with respect to Collateral under the First Lien Loan Documents or the Second Lien Debt Documents (including by way of setoﬀ, recoupment, notification of a public or private sale or other disposition pursuant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UCC or other applicable law, notification to account debtors, notification to depositary banks under deposit account control agreements, notification to securities intermediaries under securities account control agreements, notifications to commodity intermediaries under commodity account control agreements, or exercise of rights under landlord consents, if applicable); </w:t>
      </w:r>
    </w:p>
    <w:p>
      <w:pPr>
        <w:pStyle w:val="TextBody"/>
        <w:bidi w:val="0"/>
        <w:spacing w:before="240" w:after="0"/>
        <w:jc w:val="left"/>
        <w:rPr>
          <w:rFonts w:ascii="Times New Roman" w:hAnsi="Times New Roman"/>
          <w:sz w:val="20"/>
        </w:rPr>
      </w:pPr>
      <w:r>
        <w:rPr>
          <w:rFonts w:ascii="Times New Roman" w:hAnsi="Times New Roman"/>
          <w:sz w:val="20"/>
        </w:rPr>
        <w:t xml:space="preserve">(b) solicit bids from third Persons, approve bid procedures for any proposed disposition of Collateral, conduct the liquidation or disposition of Collateral or engage or retain sales brokers, marketing agents, investment bankers, accountants, appraisers, auctioneers, or other third Persons for the purposes of valuing, marketing, promoting, and selling Collateral; </w:t>
      </w:r>
    </w:p>
    <w:p>
      <w:pPr>
        <w:pStyle w:val="TextBody"/>
        <w:bidi w:val="0"/>
        <w:spacing w:before="240" w:after="0"/>
        <w:jc w:val="left"/>
        <w:rPr>
          <w:rFonts w:ascii="Times New Roman" w:hAnsi="Times New Roman"/>
          <w:sz w:val="20"/>
        </w:rPr>
      </w:pPr>
      <w:r>
        <w:rPr>
          <w:rFonts w:ascii="Times New Roman" w:hAnsi="Times New Roman"/>
          <w:sz w:val="20"/>
        </w:rPr>
        <w:t xml:space="preserve">(c) receive a transfer of Collateral in satisfaction of Indebtedness or any other Obligation secured thereby; </w:t>
      </w:r>
    </w:p>
    <w:p>
      <w:pPr>
        <w:pStyle w:val="TextBody"/>
        <w:bidi w:val="0"/>
        <w:spacing w:before="240" w:after="0"/>
        <w:jc w:val="left"/>
        <w:rPr>
          <w:rFonts w:ascii="Times New Roman" w:hAnsi="Times New Roman"/>
          <w:sz w:val="20"/>
        </w:rPr>
      </w:pPr>
      <w:r>
        <w:rPr>
          <w:rFonts w:ascii="Times New Roman" w:hAnsi="Times New Roman"/>
          <w:sz w:val="20"/>
        </w:rPr>
        <w:t xml:space="preserve">(d) otherwise enforce a security interest or exercise another right or remedy, as a secured creditor or otherwise, pertaining to the Collateral at law, in equity, or pursuant to the First Lien Loan Documents or Second Lien Debt Documents (including the commencement of applicable legal proceedings or other actions with respect to all or any portion of the Collateral to facilitate the actions described in the preceding clauses, and exercising voting rights in respect of equity interests comprising Collateral); or </w:t>
      </w:r>
    </w:p>
    <w:p>
      <w:pPr>
        <w:pStyle w:val="TextBody"/>
        <w:bidi w:val="0"/>
        <w:spacing w:before="240" w:after="0"/>
        <w:jc w:val="left"/>
        <w:rPr>
          <w:rFonts w:ascii="Times New Roman" w:hAnsi="Times New Roman"/>
          <w:sz w:val="20"/>
        </w:rPr>
      </w:pPr>
      <w:r>
        <w:rPr>
          <w:rFonts w:ascii="Times New Roman" w:hAnsi="Times New Roman"/>
          <w:sz w:val="20"/>
        </w:rPr>
        <w:t xml:space="preserve">(e) require or cause the Disposition of Collateral by any Grantor after the occurrence and during the continuation of an event of default under any of the First Lien Loan Documents or the Second Lien Debt Documents with the consent of the applicable First Lien Collateral Agent (or First Lien Claimholders) or Second Lien Collateral Agent (or Second Lien Claimholders). </w:t>
      </w:r>
    </w:p>
    <w:p>
      <w:pPr>
        <w:pStyle w:val="TextBody"/>
        <w:bidi w:val="0"/>
        <w:spacing w:before="240" w:after="0"/>
        <w:jc w:val="left"/>
        <w:rPr/>
      </w:pPr>
      <w:r>
        <w:rPr/>
        <w:t>“</w:t>
      </w:r>
      <w:r>
        <w:rPr>
          <w:rFonts w:ascii="Times New Roman" w:hAnsi="Times New Roman"/>
          <w:b/>
          <w:sz w:val="20"/>
        </w:rPr>
        <w:t>First Lien Cap Amount</w:t>
      </w:r>
      <w:r>
        <w:rPr>
          <w:rFonts w:ascii="Times New Roman" w:hAnsi="Times New Roman"/>
          <w:sz w:val="20"/>
        </w:rPr>
        <w:t xml:space="preserve">” means the sum of (a) $150,000,000, plus (b) the aggregate amount of accrued interest, fees, premiums (including the MOIC Amount), costs, expenses, indemnities and any other amounts in respect of any First Lien Obligations outstanding at any time (including all capitalized or paid “in kind” amounts, and including all amounts that would accrue but for the operation of the automatic stay under Section 362(a) of the Bankruptcy Code or any other provision thereof or any similar provisions of any Debtor Relief Laws). </w:t>
      </w:r>
    </w:p>
    <w:p>
      <w:pPr>
        <w:pStyle w:val="TextBody"/>
        <w:bidi w:val="0"/>
        <w:spacing w:before="240" w:after="0"/>
        <w:jc w:val="left"/>
        <w:rPr/>
      </w:pPr>
      <w:r>
        <w:rPr/>
        <w:t>“</w:t>
      </w:r>
      <w:r>
        <w:rPr>
          <w:rFonts w:ascii="Times New Roman" w:hAnsi="Times New Roman"/>
          <w:b/>
          <w:sz w:val="20"/>
        </w:rPr>
        <w:t>First Lien Claimholders</w:t>
      </w:r>
      <w:r>
        <w:rPr>
          <w:rFonts w:ascii="Times New Roman" w:hAnsi="Times New Roman"/>
          <w:sz w:val="20"/>
        </w:rPr>
        <w:t xml:space="preserve">” means the “Lenders” as defined in the First Lien Loan Agreement. </w:t>
      </w:r>
    </w:p>
    <w:p>
      <w:pPr>
        <w:pStyle w:val="TextBody"/>
        <w:bidi w:val="0"/>
        <w:spacing w:before="240" w:after="0"/>
        <w:jc w:val="left"/>
        <w:rPr/>
      </w:pPr>
      <w:r>
        <w:rPr/>
        <w:t>“</w:t>
      </w:r>
      <w:r>
        <w:rPr>
          <w:rFonts w:ascii="Times New Roman" w:hAnsi="Times New Roman"/>
          <w:b/>
          <w:sz w:val="20"/>
        </w:rPr>
        <w:t>First Lien Collateral</w:t>
      </w:r>
      <w:r>
        <w:rPr>
          <w:rFonts w:ascii="Times New Roman" w:hAnsi="Times New Roman"/>
          <w:sz w:val="20"/>
        </w:rPr>
        <w:t xml:space="preserve">” means any “Collateral” or similar term, in each case, as defined in any First Lien Loan Document or any other assets of the Company or any other Grantor with respect to which a Lien is granted or purported to be granted or required to be granted pursuant to a First Lien Loan Document as security for any First Lien Obligations and shall include any property or assets subject to replacement Liens or adequate protection Liens in favor of any First Lien Claimholder. </w:t>
      </w:r>
    </w:p>
    <w:p>
      <w:pPr>
        <w:pStyle w:val="TextBody"/>
        <w:bidi w:val="0"/>
        <w:spacing w:before="240" w:after="0"/>
        <w:jc w:val="left"/>
        <w:rPr/>
      </w:pPr>
      <w:r>
        <w:rPr/>
        <w:t>“</w:t>
      </w:r>
      <w:r>
        <w:rPr>
          <w:rFonts w:ascii="Times New Roman" w:hAnsi="Times New Roman"/>
          <w:b/>
          <w:sz w:val="20"/>
        </w:rPr>
        <w:t>First Lien Collateral Agent</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rPr>
        <w:t>First Lien Collateral Documents</w:t>
      </w:r>
      <w:r>
        <w:rPr>
          <w:rFonts w:ascii="Times New Roman" w:hAnsi="Times New Roman"/>
          <w:sz w:val="20"/>
        </w:rPr>
        <w:t xml:space="preserve">” means any agreement, document or instrument pursuant to which a Lien is granted securing any First Lien Obligations or pursuant to which any such Lien is perfected. </w:t>
      </w:r>
    </w:p>
    <w:p>
      <w:pPr>
        <w:pStyle w:val="TextBody"/>
        <w:bidi w:val="0"/>
        <w:spacing w:before="240" w:after="0"/>
        <w:jc w:val="left"/>
        <w:rPr/>
      </w:pPr>
      <w:r>
        <w:rPr/>
        <w:t>“</w:t>
      </w:r>
      <w:r>
        <w:rPr>
          <w:rFonts w:ascii="Times New Roman" w:hAnsi="Times New Roman"/>
          <w:b/>
          <w:sz w:val="20"/>
        </w:rPr>
        <w:t>First Lien Debt</w:t>
      </w:r>
      <w:r>
        <w:rPr>
          <w:rFonts w:ascii="Times New Roman" w:hAnsi="Times New Roman"/>
          <w:sz w:val="20"/>
        </w:rPr>
        <w:t xml:space="preserve">” means the Indebtedness and guarantees thereof now or hereafter incurred pursuant to the First Lien Loan Documents. </w:t>
      </w:r>
    </w:p>
    <w:p>
      <w:pPr>
        <w:pStyle w:val="TextBody"/>
        <w:bidi w:val="0"/>
        <w:spacing w:before="240" w:after="0"/>
        <w:jc w:val="left"/>
        <w:rPr/>
      </w:pPr>
      <w:r>
        <w:rPr/>
        <w:t>“</w:t>
      </w:r>
      <w:r>
        <w:rPr>
          <w:rFonts w:ascii="Times New Roman" w:hAnsi="Times New Roman"/>
          <w:b/>
          <w:sz w:val="20"/>
        </w:rPr>
        <w:t>First Lien Declined Lien</w:t>
      </w:r>
      <w:r>
        <w:rPr>
          <w:rFonts w:ascii="Times New Roman" w:hAnsi="Times New Roman"/>
          <w:sz w:val="20"/>
        </w:rPr>
        <w:t xml:space="preserve">” has the meaning set forth in </w:t>
      </w:r>
      <w:r>
        <w:rPr>
          <w:rFonts w:ascii="Times New Roman" w:hAnsi="Times New Roman"/>
          <w:sz w:val="20"/>
          <w:u w:val="single"/>
        </w:rPr>
        <w:t>Section 2.3(a)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First Lien Loan Agreement</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rPr>
        <w:t>First Lien Loan Documents</w:t>
      </w:r>
      <w:r>
        <w:rPr>
          <w:rFonts w:ascii="Times New Roman" w:hAnsi="Times New Roman"/>
          <w:sz w:val="20"/>
        </w:rPr>
        <w:t xml:space="preserve">” means the First Lien Loan Agreement and the other “Loan Documents” as defined in the First Lien Loan Agreement and any other document or agreement entered into for the purpose of evidencing, governing, securing or perfecting the First Lien Obligations. </w:t>
      </w:r>
    </w:p>
    <w:p>
      <w:pPr>
        <w:pStyle w:val="TextBody"/>
        <w:bidi w:val="0"/>
        <w:spacing w:before="240" w:after="0"/>
        <w:jc w:val="left"/>
        <w:rPr/>
      </w:pPr>
      <w:r>
        <w:rPr/>
        <w:t>“</w:t>
      </w:r>
      <w:r>
        <w:rPr>
          <w:rFonts w:ascii="Times New Roman" w:hAnsi="Times New Roman"/>
          <w:b/>
          <w:sz w:val="20"/>
        </w:rPr>
        <w:t>First Lien Obligations</w:t>
      </w:r>
      <w:r>
        <w:rPr>
          <w:rFonts w:ascii="Times New Roman" w:hAnsi="Times New Roman"/>
          <w:sz w:val="20"/>
        </w:rPr>
        <w:t xml:space="preserve">” means the “Obligations” as defined in the First Lien Loan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if Indebtedness constituting principal outstanding under the First Lien Loan Documents exceeds the First Lien Cap Amount (plus any DIP Financing, subject to the DIP Conditions), then only that portion of such Indebtedness (on a pro rata basis based on the aggregate outstanding principal amount of such Indebtedness) equal to the First Lien Cap Amount (plus any DIP Financing, subject to the DIP Conditions) shall be included in First Lien Obligations and interest with respect to such Indebtedness shall only constitute First Lien Obligations to the extent related to the Indebtedness included in the First Lien Obligations. </w:t>
      </w:r>
    </w:p>
    <w:p>
      <w:pPr>
        <w:pStyle w:val="TextBody"/>
        <w:bidi w:val="0"/>
        <w:spacing w:before="240" w:after="0"/>
        <w:jc w:val="left"/>
        <w:rPr/>
      </w:pPr>
      <w:r>
        <w:rPr/>
        <w:t>“</w:t>
      </w:r>
      <w:r>
        <w:rPr>
          <w:rFonts w:ascii="Times New Roman" w:hAnsi="Times New Roman"/>
          <w:b/>
          <w:sz w:val="20"/>
        </w:rPr>
        <w:t>First Lien Representative</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rPr>
        <w:t>First Lien Pari Passu Intercreditor Agreement</w:t>
      </w:r>
      <w:r>
        <w:rPr>
          <w:rFonts w:ascii="Times New Roman" w:hAnsi="Times New Roman"/>
          <w:sz w:val="20"/>
        </w:rPr>
        <w:t xml:space="preserve">” means an agreement among each First Lien Representative and each First Lien Collateral Agent allocating rights among the various Series of First Lien Obligations.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any federal, state, provincial, territorial, municipal, foreign or other governmental department, agency, commission, board, bureau, court, tribunal, instrumentality, political subdivision, authority, corporation or body, regulatory or self-regulatory organization or other entity or oﬃcer exercising executive, legislative, judicial, statutory, regulatory or administrative functions for or pertaining to any government or court (including any supranational bodies such as the European Union), in each case whether it is or is not associated with Canada, the United States or any state, province, district or territory thereof, or any other foreign entity or government. </w:t>
      </w:r>
    </w:p>
    <w:p>
      <w:pPr>
        <w:pStyle w:val="TextBody"/>
        <w:bidi w:val="0"/>
        <w:spacing w:before="240" w:after="0"/>
        <w:jc w:val="left"/>
        <w:rPr/>
      </w:pPr>
      <w:r>
        <w:rPr/>
        <w:t>“</w:t>
      </w:r>
      <w:r>
        <w:rPr>
          <w:rFonts w:ascii="Times New Roman" w:hAnsi="Times New Roman"/>
          <w:b/>
          <w:sz w:val="20"/>
        </w:rPr>
        <w:t>Grantors</w:t>
      </w:r>
      <w:r>
        <w:rPr>
          <w:rFonts w:ascii="Times New Roman" w:hAnsi="Times New Roman"/>
          <w:sz w:val="20"/>
        </w:rPr>
        <w:t xml:space="preserve">” means the Company, each Subsidiary of the Company that has guaranteed the First Lien Obligations and/or the Second Lien Obligations and each other Subsidiary of the Company that has or may from time to time hereafter execute and deliver any First Lien Collateral Document and/or Second Lien Collateral Document as a “grantor” or “pledgor” (or the equivalent thereof) to secure any First Lien Obligations and/or Second Lien Obligations, as the context may require.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means and includes all indebtedness for borrowed money. </w:t>
      </w:r>
    </w:p>
    <w:p>
      <w:pPr>
        <w:pStyle w:val="TextBody"/>
        <w:bidi w:val="0"/>
        <w:spacing w:before="240" w:after="0"/>
        <w:jc w:val="left"/>
        <w:rPr/>
      </w:pPr>
      <w:r>
        <w:rPr/>
        <w:t>“</w:t>
      </w:r>
      <w:r>
        <w:rPr>
          <w:rFonts w:ascii="Times New Roman" w:hAnsi="Times New Roman"/>
          <w:b/>
          <w:sz w:val="20"/>
        </w:rPr>
        <w:t>Initial Second Lien Claimholders</w:t>
      </w:r>
      <w:r>
        <w:rPr>
          <w:rFonts w:ascii="Times New Roman" w:hAnsi="Times New Roman"/>
          <w:sz w:val="20"/>
        </w:rPr>
        <w:t xml:space="preserve">” means the Initial Second Lien Representative, the Initial Second Lien Collateral Agent and any holder of Initial Second Lien Obligations. </w:t>
      </w:r>
    </w:p>
    <w:p>
      <w:pPr>
        <w:pStyle w:val="TextBody"/>
        <w:bidi w:val="0"/>
        <w:spacing w:before="240" w:after="0"/>
        <w:jc w:val="left"/>
        <w:rPr/>
      </w:pPr>
      <w:r>
        <w:rPr/>
        <w:t>“</w:t>
      </w:r>
      <w:r>
        <w:rPr>
          <w:rFonts w:ascii="Times New Roman" w:hAnsi="Times New Roman"/>
          <w:b/>
          <w:sz w:val="20"/>
        </w:rPr>
        <w:t>Initial Second Lien Collateral Agent</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rPr>
        <w:t>Initial Second Lien Debt</w:t>
      </w:r>
      <w:r>
        <w:rPr>
          <w:rFonts w:ascii="Times New Roman" w:hAnsi="Times New Roman"/>
          <w:sz w:val="20"/>
        </w:rPr>
        <w:t xml:space="preserve">” means the Indebtedness and guarantees thereof now or hereafter incurred pursuant to the Initial Second Lien Debt Documents. </w:t>
      </w:r>
    </w:p>
    <w:p>
      <w:pPr>
        <w:pStyle w:val="TextBody"/>
        <w:bidi w:val="0"/>
        <w:spacing w:before="240" w:after="0"/>
        <w:jc w:val="left"/>
        <w:rPr/>
      </w:pPr>
      <w:r>
        <w:rPr/>
        <w:t>“</w:t>
      </w:r>
      <w:r>
        <w:rPr>
          <w:rFonts w:ascii="Times New Roman" w:hAnsi="Times New Roman"/>
          <w:b/>
          <w:sz w:val="20"/>
        </w:rPr>
        <w:t>Initial Second Lien Debt Documents</w:t>
      </w:r>
      <w:r>
        <w:rPr>
          <w:rFonts w:ascii="Times New Roman" w:hAnsi="Times New Roman"/>
          <w:sz w:val="20"/>
        </w:rPr>
        <w:t xml:space="preserve">” means that certain Initial Second Lien Indenture and the other “Note Documents” as defined in the Initial Second Lien Indenture and any other document or agreement entered into for the purpose of evidencing, governing, securing or perfecting the Initial Second Lien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Initial Second Lien Indenture</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rPr>
        <w:t>Initial Second Lien Obligations</w:t>
      </w:r>
      <w:r>
        <w:rPr>
          <w:rFonts w:ascii="Times New Roman" w:hAnsi="Times New Roman"/>
          <w:sz w:val="20"/>
        </w:rPr>
        <w:t xml:space="preserve">” means the Initial Second Lien Debt and all other “Obligations” (as defined in the Initial Second Lien Debt Documents) in respect thereof. </w:t>
      </w:r>
    </w:p>
    <w:p>
      <w:pPr>
        <w:pStyle w:val="TextBody"/>
        <w:bidi w:val="0"/>
        <w:spacing w:before="240" w:after="0"/>
        <w:jc w:val="left"/>
        <w:rPr/>
      </w:pPr>
      <w:r>
        <w:rPr/>
        <w:t>“</w:t>
      </w:r>
      <w:r>
        <w:rPr>
          <w:rFonts w:ascii="Times New Roman" w:hAnsi="Times New Roman"/>
          <w:b/>
          <w:sz w:val="20"/>
        </w:rPr>
        <w:t>Initial Second Lien Representative</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rPr>
        <w:t>Insolvency or Liquidation Proceeding</w:t>
      </w:r>
      <w:r>
        <w:rPr>
          <w:rFonts w:ascii="Times New Roman" w:hAnsi="Times New Roman"/>
          <w:sz w:val="20"/>
        </w:rPr>
        <w:t xml:space="preserve">” means any proceeding by or against any Person under the Bankruptcy Code, or any other bankruptcy or insolvency law, dissolution or liquidation law or statute of any jurisdiction now or hereafter in effect, including assignments for the benefit of creditors, compositions, extensions generally with its creditors, or proceedings seeking reorganization, arrangement, receivership, readjustment of debt or other relief. </w:t>
      </w:r>
    </w:p>
    <w:p>
      <w:pPr>
        <w:pStyle w:val="TextBody"/>
        <w:bidi w:val="0"/>
        <w:spacing w:before="240" w:after="0"/>
        <w:jc w:val="left"/>
        <w:rPr/>
      </w:pPr>
      <w:r>
        <w:rPr/>
        <w:t>“</w:t>
      </w:r>
      <w:r>
        <w:rPr>
          <w:rFonts w:ascii="Times New Roman" w:hAnsi="Times New Roman"/>
          <w:b/>
          <w:sz w:val="20"/>
        </w:rPr>
        <w:t>Joinder Agreement</w:t>
      </w:r>
      <w:r>
        <w:rPr>
          <w:rFonts w:ascii="Times New Roman" w:hAnsi="Times New Roman"/>
          <w:sz w:val="20"/>
        </w:rPr>
        <w:t xml:space="preserve">” means a supplement to this Agreement in the form of: </w:t>
      </w:r>
      <w:r>
        <w:rPr>
          <w:rFonts w:ascii="Times New Roman" w:hAnsi="Times New Roman"/>
          <w:sz w:val="20"/>
          <w:u w:val="single"/>
        </w:rPr>
        <w:t>Exhibit A</w:t>
      </w:r>
      <w:r>
        <w:rPr>
          <w:rFonts w:ascii="Times New Roman" w:hAnsi="Times New Roman"/>
          <w:sz w:val="20"/>
        </w:rPr>
        <w:t xml:space="preserve"> required to be delivered by a Representative and a Collateral Agent to each other then-existing Representative and Collateral Agent pursuant to </w:t>
      </w:r>
      <w:r>
        <w:rPr>
          <w:rFonts w:ascii="Times New Roman" w:hAnsi="Times New Roman"/>
          <w:sz w:val="20"/>
          <w:u w:val="single"/>
        </w:rPr>
        <w:t>Section 8.7</w:t>
      </w:r>
      <w:r>
        <w:rPr>
          <w:rFonts w:ascii="Times New Roman" w:hAnsi="Times New Roman"/>
          <w:sz w:val="20"/>
        </w:rPr>
        <w:t xml:space="preserve"> in order to include Additional Second Lien Debt hereunder and to become the Representative or Collateral Agent, as the case may be, hereunder in respect thereof for the applicable Additional Second Lien Claimholders under such Additional Second Lien Debt or </w:t>
      </w:r>
      <w:r>
        <w:rPr>
          <w:rFonts w:ascii="Times New Roman" w:hAnsi="Times New Roman"/>
          <w:sz w:val="20"/>
          <w:u w:val="single"/>
        </w:rPr>
        <w:t>Exhibit D</w:t>
      </w:r>
      <w:r>
        <w:rPr>
          <w:rFonts w:ascii="Times New Roman" w:hAnsi="Times New Roman"/>
          <w:sz w:val="20"/>
        </w:rPr>
        <w:t xml:space="preserve"> hereto required to be delivered by any Grantor pursuant to </w:t>
      </w:r>
      <w:r>
        <w:rPr>
          <w:rFonts w:ascii="Times New Roman" w:hAnsi="Times New Roman"/>
          <w:sz w:val="20"/>
          <w:u w:val="single"/>
        </w:rPr>
        <w:t>Section 8.20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means a claim, mortgage, deed of trust, lien, pledge, hypothecation, charge, security interest or other encumbrance of any kind, whether voluntarily incurred or arising by operation of law or otherwise against any property. </w:t>
      </w:r>
    </w:p>
    <w:p>
      <w:pPr>
        <w:pStyle w:val="TextBody"/>
        <w:bidi w:val="0"/>
        <w:spacing w:before="240" w:after="0"/>
        <w:jc w:val="left"/>
        <w:rPr/>
      </w:pPr>
      <w:r>
        <w:rPr/>
        <w:t>“</w:t>
      </w:r>
      <w:r>
        <w:rPr>
          <w:rFonts w:ascii="Times New Roman" w:hAnsi="Times New Roman"/>
          <w:b/>
          <w:sz w:val="20"/>
        </w:rPr>
        <w:t>Obligations</w:t>
      </w:r>
      <w:r>
        <w:rPr>
          <w:rFonts w:ascii="Times New Roman" w:hAnsi="Times New Roman"/>
          <w:sz w:val="20"/>
        </w:rPr>
        <w:t xml:space="preserve">” means all obligations of every nature of the Company and each other Grantor from time to time owed to any agent or trustee, the First Lien Claimholders, the Second Lien Claimholders or any of them or their respective Aﬃliates, in each case, under the First Lien Loan Documents, or the Second Lien Debt Documents, whether for principal, interest, fees, expenses, indemnification or otherwise and all guarantees of any of the foregoing and including any interest and fees that accrue after the commencement by or against any Person of any proceeding under any Bankruptcy Law naming such Person as the debtor in such proceeding, regardless of whether such interest and fees are allowed claims in such proceeding. </w:t>
      </w:r>
    </w:p>
    <w:p>
      <w:pPr>
        <w:pStyle w:val="TextBody"/>
        <w:bidi w:val="0"/>
        <w:spacing w:before="240" w:after="0"/>
        <w:jc w:val="left"/>
        <w:rPr/>
      </w:pPr>
      <w:r>
        <w:rPr/>
        <w:t>“</w:t>
      </w:r>
      <w:r>
        <w:rPr>
          <w:rFonts w:ascii="Times New Roman" w:hAnsi="Times New Roman"/>
          <w:b/>
          <w:sz w:val="20"/>
        </w:rPr>
        <w:t>Parallel Liability</w:t>
      </w:r>
      <w:r>
        <w:rPr>
          <w:rFonts w:ascii="Times New Roman" w:hAnsi="Times New Roman"/>
          <w:sz w:val="20"/>
        </w:rPr>
        <w:t xml:space="preserve">” means the Company’s and each Grantor’s undertaking pursuant to </w:t>
      </w:r>
      <w:r>
        <w:rPr>
          <w:rFonts w:ascii="Times New Roman" w:hAnsi="Times New Roman"/>
          <w:sz w:val="20"/>
          <w:u w:val="single"/>
        </w:rPr>
        <w:t>Section 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 xml:space="preserve">Pay-Over Amount” </w:t>
      </w:r>
      <w:r>
        <w:rPr>
          <w:rFonts w:ascii="Times New Roman" w:hAnsi="Times New Roman"/>
          <w:sz w:val="20"/>
        </w:rPr>
        <w:t xml:space="preserve">has the meaning set forth in </w:t>
      </w:r>
      <w:r>
        <w:rPr>
          <w:rFonts w:ascii="Times New Roman" w:hAnsi="Times New Roman"/>
          <w:sz w:val="20"/>
          <w:u w:val="single"/>
        </w:rPr>
        <w:t xml:space="preserve">Section 6.3(b).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sole proprietorship, partnership, limited liability company, joint venture, company, trust, unincorporated organization, association, corporation, institution, public benefit corporation, firm, joint stock company, estate, government agency or other entity. </w:t>
      </w:r>
    </w:p>
    <w:p>
      <w:pPr>
        <w:pStyle w:val="TextBody"/>
        <w:bidi w:val="0"/>
        <w:spacing w:before="240" w:after="0"/>
        <w:jc w:val="left"/>
        <w:rPr/>
      </w:pPr>
      <w:r>
        <w:rPr/>
        <w:t>“</w:t>
      </w:r>
      <w:r>
        <w:rPr>
          <w:rFonts w:ascii="Times New Roman" w:hAnsi="Times New Roman"/>
          <w:b/>
          <w:sz w:val="20"/>
        </w:rPr>
        <w:t>Permitted Subordinated Indebtedness Interest Payments</w:t>
      </w:r>
      <w:r>
        <w:rPr>
          <w:rFonts w:ascii="Times New Roman" w:hAnsi="Times New Roman"/>
          <w:sz w:val="20"/>
        </w:rPr>
        <w:t xml:space="preserve">” means all regularly scheduled cash payments of interest on the Second Lien Obligations by the Borrower pursuant to the terms of the Second Lien Debt Documents as in effect on the date hereof or as modified in accordance with the terms of this Agreement. </w:t>
      </w:r>
    </w:p>
    <w:p>
      <w:pPr>
        <w:pStyle w:val="TextBody"/>
        <w:bidi w:val="0"/>
        <w:spacing w:before="240" w:after="0"/>
        <w:jc w:val="left"/>
        <w:rPr/>
      </w:pPr>
      <w:r>
        <w:rPr/>
        <w:t>“</w:t>
      </w:r>
      <w:r>
        <w:rPr>
          <w:rFonts w:ascii="Times New Roman" w:hAnsi="Times New Roman"/>
          <w:b/>
          <w:sz w:val="20"/>
        </w:rPr>
        <w:t>Permitted Subordinated Indebtedness Payments</w:t>
      </w:r>
      <w:r>
        <w:rPr>
          <w:rFonts w:ascii="Times New Roman" w:hAnsi="Times New Roman"/>
          <w:sz w:val="20"/>
        </w:rPr>
        <w:t xml:space="preserve">” means (i) Permitted Subordinated Indebtedness Interest Payments in an aggregate amount not to exceed $20,000,000 in any fiscal year, (ii)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reimbursement or payment of reasonable and documented costs, expenses (including legal fees) and indemnities, due and payable in accordance with the terms of the Second Lien Debt Documents as in effect on the date hereof or as modified in accordance with the terms of this Agreement, (iii) accrual (and not payment in cash) of default interest in accordance with the terms of the Second Lien Debt Documents as in effect on the date hereof or as modified in accordance with the terms of this Agreement, (iv) any payment of paid-in-kind interest pursuant to the terms of the Second Lien Debt Documents and the accrual or capitalization of interest, fees or other amounts, whether pursuant to the terms of the Second Lien Debt Documents or in lieu of cash payments that otherwise were prohibited under the terms of this Agreement (for the avoidance of doubt, excluding any cash payment made in respect of any such accrued or capitalized interest or any other cash payment), (v) any mandatory prepayments or mandatory offers to purchase under the Second Lien Debt Documents (but only after such proceeds have first been offered to make either a mandatory or voluntary prepayment under the First Lien Loan Documents and such proceeds have otherwise been declined by such First Lien Claimholders), and (vi) Reorganization Subordinated Securities. </w:t>
      </w:r>
    </w:p>
    <w:p>
      <w:pPr>
        <w:pStyle w:val="TextBody"/>
        <w:bidi w:val="0"/>
        <w:spacing w:before="240" w:after="0"/>
        <w:jc w:val="left"/>
        <w:rPr/>
      </w:pPr>
      <w:r>
        <w:rPr/>
        <w:t>“</w:t>
      </w:r>
      <w:r>
        <w:rPr>
          <w:rFonts w:ascii="Times New Roman" w:hAnsi="Times New Roman"/>
          <w:b/>
          <w:sz w:val="20"/>
        </w:rPr>
        <w:t>Pledged Collateral</w:t>
      </w:r>
      <w:r>
        <w:rPr>
          <w:rFonts w:ascii="Times New Roman" w:hAnsi="Times New Roman"/>
          <w:sz w:val="20"/>
        </w:rPr>
        <w:t xml:space="preserve">” has the meaning set forth in </w:t>
      </w:r>
      <w:r>
        <w:rPr>
          <w:rFonts w:ascii="Times New Roman" w:hAnsi="Times New Roman"/>
          <w:sz w:val="20"/>
          <w:u w:val="single"/>
        </w:rPr>
        <w:t>Section 5.5(a)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Post-Petition Interest</w:t>
      </w:r>
      <w:r>
        <w:rPr>
          <w:rFonts w:ascii="Times New Roman" w:hAnsi="Times New Roman"/>
          <w:sz w:val="20"/>
        </w:rPr>
        <w:t xml:space="preserve">” means interest, fees, expenses and other charges that, pursuant to the First Lien Loan Documents or the Second Lien Debt Documents, as applicable, continue to accrue after the commencement of any Insolvency or Liquidation Proceeding, whether or not such interest, fees, expenses and other charges are allowed or allowable under the Bankruptcy Law or in any such Insolvency or Liquidation Proceeding. </w:t>
      </w:r>
    </w:p>
    <w:p>
      <w:pPr>
        <w:pStyle w:val="TextBody"/>
        <w:bidi w:val="0"/>
        <w:spacing w:before="240" w:after="0"/>
        <w:jc w:val="left"/>
        <w:rPr/>
      </w:pPr>
      <w:r>
        <w:rPr/>
        <w:t>“</w:t>
      </w:r>
      <w:r>
        <w:rPr>
          <w:rFonts w:ascii="Times New Roman" w:hAnsi="Times New Roman"/>
          <w:b/>
          <w:sz w:val="20"/>
        </w:rPr>
        <w:t>Purchase Event</w:t>
      </w:r>
      <w:r>
        <w:rPr>
          <w:rFonts w:ascii="Times New Roman" w:hAnsi="Times New Roman"/>
          <w:sz w:val="20"/>
        </w:rPr>
        <w:t xml:space="preserve">” has the meaning set forth in </w:t>
      </w:r>
      <w:r>
        <w:rPr>
          <w:rFonts w:ascii="Times New Roman" w:hAnsi="Times New Roman"/>
          <w:sz w:val="20"/>
          <w:u w:val="single"/>
        </w:rPr>
        <w:t>Section 5.7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Refinance</w:t>
      </w:r>
      <w:r>
        <w:rPr>
          <w:rFonts w:ascii="Times New Roman" w:hAnsi="Times New Roman"/>
          <w:sz w:val="20"/>
        </w:rPr>
        <w:t>” means, in respect of any Indebtedness, to refinance, extend, renew, defease, amend, modify, supplement, restructure, replace, refund or repay, or to issue other Indebtedness in exchange or replacement for, such Indebtedness in whole or in part and regardless of whether the principal amount of such Refinancing Indebtedness is the same, greater than, or less than the principal amount of the Refinanced Indebtedness. “</w:t>
      </w:r>
      <w:r>
        <w:rPr>
          <w:rFonts w:ascii="Times New Roman" w:hAnsi="Times New Roman"/>
          <w:b/>
          <w:sz w:val="20"/>
        </w:rPr>
        <w:t>Refinanced</w:t>
      </w:r>
      <w:r>
        <w:rPr>
          <w:rFonts w:ascii="Times New Roman" w:hAnsi="Times New Roman"/>
          <w:sz w:val="20"/>
        </w:rPr>
        <w:t>” and “</w:t>
      </w:r>
      <w:r>
        <w:rPr>
          <w:rFonts w:ascii="Times New Roman" w:hAnsi="Times New Roman"/>
          <w:b/>
          <w:sz w:val="20"/>
        </w:rPr>
        <w:t>Refinancing</w:t>
      </w:r>
      <w:r>
        <w:rPr>
          <w:rFonts w:ascii="Times New Roman" w:hAnsi="Times New Roman"/>
          <w:sz w:val="20"/>
        </w:rPr>
        <w:t xml:space="preserve">” shall have correlative meanings. </w:t>
      </w:r>
    </w:p>
    <w:p>
      <w:pPr>
        <w:pStyle w:val="TextBody"/>
        <w:bidi w:val="0"/>
        <w:spacing w:before="240" w:after="0"/>
        <w:jc w:val="left"/>
        <w:rPr/>
      </w:pPr>
      <w:r>
        <w:rPr/>
        <w:t>“</w:t>
      </w:r>
      <w:r>
        <w:rPr>
          <w:rFonts w:ascii="Times New Roman" w:hAnsi="Times New Roman"/>
          <w:b/>
          <w:sz w:val="20"/>
        </w:rPr>
        <w:t>Reorganization Subordinated Securities</w:t>
      </w:r>
      <w:r>
        <w:rPr>
          <w:rFonts w:ascii="Times New Roman" w:hAnsi="Times New Roman"/>
          <w:sz w:val="20"/>
        </w:rPr>
        <w:t xml:space="preserve">” means any notes or other debt or equity securities issued in an Insolvency or Liquidation Proceeding in respect of all or any portion of the Second Lien Obligations pursuant to a confirmed plan of reorganization and that are (a) subordinated in right of payment and in all other respects to all First Lien Obligations at least to the same extent that the Second Lien Obligations are subordinated to First Lien Obligations pursuant to the terms of this Agreement, (b) do not have the benefit of any obligation of any Person (whether as issuer, guarantor or otherwise) unless all First Lien Obligations have at least the same benefit of the obligation of such Person, and (c) do not have any terms, and are not subject to or entitled to the benefit of any agreement or instrument that has terms, that are more burdensome to the issuer or other obligor thereunder than the terms contained in the First Lien Loan Documents. </w:t>
      </w:r>
    </w:p>
    <w:p>
      <w:pPr>
        <w:pStyle w:val="TextBody"/>
        <w:bidi w:val="0"/>
        <w:spacing w:before="240" w:after="0"/>
        <w:jc w:val="left"/>
        <w:rPr/>
      </w:pPr>
      <w:r>
        <w:rPr/>
        <w:t>“</w:t>
      </w:r>
      <w:r>
        <w:rPr>
          <w:rFonts w:ascii="Times New Roman" w:hAnsi="Times New Roman"/>
          <w:b/>
          <w:sz w:val="20"/>
        </w:rPr>
        <w:t>Representative</w:t>
      </w:r>
      <w:r>
        <w:rPr>
          <w:rFonts w:ascii="Times New Roman" w:hAnsi="Times New Roman"/>
          <w:sz w:val="20"/>
        </w:rPr>
        <w:t xml:space="preserve">” means any First Lien Representative and/or any Second Lien Representative, as the context may require.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Securities and Exchange Commission or any successor Governmental Authority. </w:t>
      </w:r>
    </w:p>
    <w:p>
      <w:pPr>
        <w:pStyle w:val="TextBody"/>
        <w:bidi w:val="0"/>
        <w:spacing w:before="240" w:after="0"/>
        <w:jc w:val="left"/>
        <w:rPr/>
      </w:pPr>
      <w:r>
        <w:rPr/>
        <w:t>“</w:t>
      </w:r>
      <w:r>
        <w:rPr>
          <w:rFonts w:ascii="Times New Roman" w:hAnsi="Times New Roman"/>
          <w:b/>
          <w:sz w:val="20"/>
        </w:rPr>
        <w:t xml:space="preserve">Second Lien Adequate Protection Payments” </w:t>
      </w:r>
      <w:r>
        <w:rPr>
          <w:rFonts w:ascii="Times New Roman" w:hAnsi="Times New Roman"/>
          <w:sz w:val="20"/>
        </w:rPr>
        <w:t xml:space="preserve">has the meaning set forth in </w:t>
      </w:r>
      <w:r>
        <w:rPr>
          <w:rFonts w:ascii="Times New Roman" w:hAnsi="Times New Roman"/>
          <w:sz w:val="20"/>
          <w:u w:val="single"/>
        </w:rPr>
        <w:t xml:space="preserve">Section 6.3(b).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Second Lien Cap Amount</w:t>
      </w:r>
      <w:r>
        <w:rPr>
          <w:rFonts w:ascii="Times New Roman" w:hAnsi="Times New Roman"/>
          <w:sz w:val="20"/>
        </w:rPr>
        <w:t xml:space="preserve">” means the sum of (a) $400,000,000, plus (b) the aggregate amount of accrued interest, fees, premiums, costs, expenses, indemnities and any other amounts in respect of any Second Lien Obligations outstanding at any time (including all capitalized or paid “in kind” amounts, and including all amounts that would accrue but for the operation of the automatic stay under Section 362(a) of the Bankruptcy Code or any other provision thereof or any similar provisions of any Debtor Relief Laws). </w:t>
      </w:r>
    </w:p>
    <w:p>
      <w:pPr>
        <w:pStyle w:val="TextBody"/>
        <w:bidi w:val="0"/>
        <w:spacing w:before="240" w:after="0"/>
        <w:jc w:val="left"/>
        <w:rPr/>
      </w:pPr>
      <w:r>
        <w:rPr/>
        <w:t>“</w:t>
      </w:r>
      <w:r>
        <w:rPr>
          <w:rFonts w:ascii="Times New Roman" w:hAnsi="Times New Roman"/>
          <w:b/>
          <w:sz w:val="20"/>
        </w:rPr>
        <w:t>Second Lien Claimholders</w:t>
      </w:r>
      <w:r>
        <w:rPr>
          <w:rFonts w:ascii="Times New Roman" w:hAnsi="Times New Roman"/>
          <w:sz w:val="20"/>
        </w:rPr>
        <w:t xml:space="preserve">” means the Initial Second Lien Claimholders and any Additional Second Lien Claimholders. </w:t>
      </w:r>
    </w:p>
    <w:p>
      <w:pPr>
        <w:pStyle w:val="TextBody"/>
        <w:bidi w:val="0"/>
        <w:spacing w:before="240" w:after="0"/>
        <w:jc w:val="left"/>
        <w:rPr/>
      </w:pPr>
      <w:r>
        <w:rPr/>
        <w:t>“</w:t>
      </w:r>
      <w:r>
        <w:rPr>
          <w:rFonts w:ascii="Times New Roman" w:hAnsi="Times New Roman"/>
          <w:b/>
          <w:sz w:val="20"/>
        </w:rPr>
        <w:t>Second Lien Collateral</w:t>
      </w:r>
      <w:r>
        <w:rPr>
          <w:rFonts w:ascii="Times New Roman" w:hAnsi="Times New Roman"/>
          <w:sz w:val="20"/>
        </w:rPr>
        <w:t xml:space="preserve">” means any “Collateral” (or similar term) as defined in any Second Lien Debt Document or any other assets of the Company or any other Grantor with respect to which a Lien is granted, purported to be granted or required to be granted pursuant to a Second Lien Debt Document as security for any Second Lien Obligations and shall include any property or assets subject to replacement Liens or adequate protection Liens in favor of any Second Lien Claimholder. </w:t>
      </w:r>
    </w:p>
    <w:p>
      <w:pPr>
        <w:pStyle w:val="TextBody"/>
        <w:bidi w:val="0"/>
        <w:spacing w:before="240" w:after="0"/>
        <w:jc w:val="left"/>
        <w:rPr/>
      </w:pPr>
      <w:r>
        <w:rPr/>
        <w:t>“</w:t>
      </w:r>
      <w:r>
        <w:rPr>
          <w:rFonts w:ascii="Times New Roman" w:hAnsi="Times New Roman"/>
          <w:b/>
          <w:sz w:val="20"/>
        </w:rPr>
        <w:t>Second Lien Collateral Agent</w:t>
      </w:r>
      <w:r>
        <w:rPr>
          <w:rFonts w:ascii="Times New Roman" w:hAnsi="Times New Roman"/>
          <w:sz w:val="20"/>
        </w:rPr>
        <w:t>” means in the case of any Initial Second Lien Obligations or the Initial Second Lien Claimholders, the Initial Second Lien Collateral Agent and in the case of any Additional Second Lien Obligations and the Additional Second Lien Claimholders in respect thereof, the Person serving as collateral agent (or the equivalent) for such Additional Second Lien Obligations and that is named as the Second Lien Collateral Agent in respect of such Additional Second Lien Obligations in the applicable Joinder Agreement (each, in the case of this clause (ii), together with its successors and assigns in such capacity, an “</w:t>
      </w:r>
      <w:r>
        <w:rPr>
          <w:rFonts w:ascii="Times New Roman" w:hAnsi="Times New Roman"/>
          <w:b/>
          <w:sz w:val="20"/>
        </w:rPr>
        <w:t>Additional Second Lien Collateral Agent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Second Lien Collateral Documents</w:t>
      </w:r>
      <w:r>
        <w:rPr>
          <w:rFonts w:ascii="Times New Roman" w:hAnsi="Times New Roman"/>
          <w:sz w:val="20"/>
        </w:rPr>
        <w:t xml:space="preserve">” means the “Security Documents” or the “Collateral Documents” (or similar term) as defined in the applicable Second Lien Debt Documents and any other agreement, document or instrument pursuant to which a Lien is granted securing any Second Lien Obligations or pursuant to which any such Lien is perfected. </w:t>
      </w:r>
    </w:p>
    <w:p>
      <w:pPr>
        <w:pStyle w:val="TextBody"/>
        <w:bidi w:val="0"/>
        <w:spacing w:before="240" w:after="0"/>
        <w:jc w:val="left"/>
        <w:rPr/>
      </w:pPr>
      <w:r>
        <w:rPr/>
        <w:t>“</w:t>
      </w:r>
      <w:r>
        <w:rPr>
          <w:rFonts w:ascii="Times New Roman" w:hAnsi="Times New Roman"/>
          <w:b/>
          <w:sz w:val="20"/>
        </w:rPr>
        <w:t>Second Lien Debt</w:t>
      </w:r>
      <w:r>
        <w:rPr>
          <w:rFonts w:ascii="Times New Roman" w:hAnsi="Times New Roman"/>
          <w:sz w:val="20"/>
        </w:rPr>
        <w:t xml:space="preserve">” means the Initial Second Lien Debt and any Additional Second Lien Debt. </w:t>
      </w:r>
    </w:p>
    <w:p>
      <w:pPr>
        <w:pStyle w:val="TextBody"/>
        <w:bidi w:val="0"/>
        <w:spacing w:before="240" w:after="0"/>
        <w:jc w:val="left"/>
        <w:rPr/>
      </w:pPr>
      <w:r>
        <w:rPr/>
        <w:t>“</w:t>
      </w:r>
      <w:r>
        <w:rPr>
          <w:rFonts w:ascii="Times New Roman" w:hAnsi="Times New Roman"/>
          <w:b/>
          <w:sz w:val="20"/>
        </w:rPr>
        <w:t>Second Lien Debt Documents</w:t>
      </w:r>
      <w:r>
        <w:rPr>
          <w:rFonts w:ascii="Times New Roman" w:hAnsi="Times New Roman"/>
          <w:sz w:val="20"/>
        </w:rPr>
        <w:t xml:space="preserve">” means the Initial Second Lien Debt Documents and any Additional Second Lien Debt Documents. </w:t>
      </w:r>
    </w:p>
    <w:p>
      <w:pPr>
        <w:pStyle w:val="TextBody"/>
        <w:bidi w:val="0"/>
        <w:spacing w:before="240" w:after="0"/>
        <w:jc w:val="left"/>
        <w:rPr/>
      </w:pPr>
      <w:r>
        <w:rPr/>
        <w:t>“</w:t>
      </w:r>
      <w:r>
        <w:rPr>
          <w:rFonts w:ascii="Times New Roman" w:hAnsi="Times New Roman"/>
          <w:b/>
          <w:sz w:val="20"/>
        </w:rPr>
        <w:t>Second Lien Declined Lien</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Second Lien Default</w:t>
      </w:r>
      <w:r>
        <w:rPr>
          <w:rFonts w:ascii="Times New Roman" w:hAnsi="Times New Roman"/>
          <w:sz w:val="20"/>
        </w:rPr>
        <w:t xml:space="preserve">” has the meaning set forth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Second Lien Mortgages</w:t>
      </w:r>
      <w:r>
        <w:rPr>
          <w:rFonts w:ascii="Times New Roman" w:hAnsi="Times New Roman"/>
          <w:sz w:val="20"/>
        </w:rPr>
        <w:t xml:space="preserve">” means a collective reference to each mortgage, deed of trust and any other document or instrument under which any Lien on real property owned or leased by any Grantor is granted to secure any Second Lien Obligations or under which rights or remedies with respect to any such Liens are governed. </w:t>
      </w:r>
    </w:p>
    <w:p>
      <w:pPr>
        <w:pStyle w:val="TextBody"/>
        <w:bidi w:val="0"/>
        <w:spacing w:before="240" w:after="0"/>
        <w:jc w:val="left"/>
        <w:rPr/>
      </w:pPr>
      <w:r>
        <w:rPr/>
        <w:t>“</w:t>
      </w:r>
      <w:r>
        <w:rPr>
          <w:rFonts w:ascii="Times New Roman" w:hAnsi="Times New Roman"/>
          <w:b/>
          <w:sz w:val="20"/>
        </w:rPr>
        <w:t>Second Lien Obligations</w:t>
      </w:r>
      <w:r>
        <w:rPr>
          <w:rFonts w:ascii="Times New Roman" w:hAnsi="Times New Roman"/>
          <w:sz w:val="20"/>
        </w:rPr>
        <w:t xml:space="preserve">” means the Initial Second Lien Obligations and any Additional Second Lien Obligations. </w:t>
      </w:r>
    </w:p>
    <w:p>
      <w:pPr>
        <w:pStyle w:val="TextBody"/>
        <w:bidi w:val="0"/>
        <w:spacing w:before="240" w:after="0"/>
        <w:jc w:val="left"/>
        <w:rPr/>
      </w:pPr>
      <w:r>
        <w:rPr/>
        <w:t>“</w:t>
      </w:r>
      <w:r>
        <w:rPr>
          <w:rFonts w:ascii="Times New Roman" w:hAnsi="Times New Roman"/>
          <w:b/>
          <w:sz w:val="20"/>
        </w:rPr>
        <w:t>Second Lien Pari Passu Intercreditor Agreement</w:t>
      </w:r>
      <w:r>
        <w:rPr>
          <w:rFonts w:ascii="Times New Roman" w:hAnsi="Times New Roman"/>
          <w:sz w:val="20"/>
        </w:rPr>
        <w:t xml:space="preserve">” means an agreement among each Second Lien Representative and each Second Lien Collateral Agent allocating rights among the various Series of Second Lien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Second Lien Representative</w:t>
      </w:r>
      <w:r>
        <w:rPr>
          <w:rFonts w:ascii="Times New Roman" w:hAnsi="Times New Roman"/>
          <w:sz w:val="20"/>
        </w:rPr>
        <w:t>” means in the case of the Initial Second Lien Obligations or the Initial Second Lien Claimholders, the Initial Second Lien Representative and in the case of any Additional Second Lien Obligations and the Additional Second Lien Claimholders in respect thereof, each trustee, administrative agent, collateral agent, security agent and similar agent that is named as the Second Lien Representative in respect of such Additional Second Lien Obligations in the applicable Joinder Agreement (each, in the case of this clause (ii), together with its successors and assigns in such capacity, an “</w:t>
      </w:r>
      <w:r>
        <w:rPr>
          <w:rFonts w:ascii="Times New Roman" w:hAnsi="Times New Roman"/>
          <w:b/>
          <w:sz w:val="20"/>
        </w:rPr>
        <w:t>Additional Second Lien Representative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Senior Officer</w:t>
      </w:r>
      <w:r>
        <w:rPr>
          <w:rFonts w:ascii="Times New Roman" w:hAnsi="Times New Roman"/>
          <w:sz w:val="20"/>
        </w:rPr>
        <w:t xml:space="preserve">” means the chief executive oﬃcer, president, chairman of the board, the chief financial oﬃcer, principal accounting oﬃcer, treasurer, assistant treasurer or controller of (i) the Company or (ii) the “General Partner” as defined in the First Lien Loan Agreement. </w:t>
      </w:r>
    </w:p>
    <w:p>
      <w:pPr>
        <w:pStyle w:val="TextBody"/>
        <w:bidi w:val="0"/>
        <w:spacing w:before="240" w:after="0"/>
        <w:jc w:val="left"/>
        <w:rPr/>
      </w:pPr>
      <w:r>
        <w:rPr/>
        <w:t>“</w:t>
      </w:r>
      <w:r>
        <w:rPr>
          <w:rFonts w:ascii="Times New Roman" w:hAnsi="Times New Roman"/>
          <w:b/>
          <w:sz w:val="20"/>
        </w:rPr>
        <w:t>Series</w:t>
      </w:r>
      <w:r>
        <w:rPr>
          <w:rFonts w:ascii="Times New Roman" w:hAnsi="Times New Roman"/>
          <w:sz w:val="20"/>
        </w:rPr>
        <w:t xml:space="preserve">” means, (i) with respect to First Lien Debt or Second Lien Debt, all First Lien Debt or Second Lien Debt, as applicable, represented by the same Representative acting in the same capacity and (ii) with respect to First Lien Obligations or Second Lien Obligations, all such obligations secured by same First Lien Collateral Documents or same Second Lien Collateral Documents, as the case may be. </w:t>
      </w:r>
    </w:p>
    <w:p>
      <w:pPr>
        <w:pStyle w:val="TextBody"/>
        <w:bidi w:val="0"/>
        <w:spacing w:before="240" w:after="0"/>
        <w:jc w:val="left"/>
        <w:rPr/>
      </w:pPr>
      <w:r>
        <w:rPr/>
        <w:t>“</w:t>
      </w:r>
      <w:r>
        <w:rPr>
          <w:rFonts w:ascii="Times New Roman" w:hAnsi="Times New Roman"/>
          <w:b/>
          <w:sz w:val="20"/>
        </w:rPr>
        <w:t xml:space="preserve">Short Fall” </w:t>
      </w:r>
      <w:r>
        <w:rPr>
          <w:rFonts w:ascii="Times New Roman" w:hAnsi="Times New Roman"/>
          <w:sz w:val="20"/>
        </w:rPr>
        <w:t xml:space="preserve">has the meaning set forth in </w:t>
      </w:r>
      <w:r>
        <w:rPr>
          <w:rFonts w:ascii="Times New Roman" w:hAnsi="Times New Roman"/>
          <w:sz w:val="20"/>
          <w:u w:val="single"/>
        </w:rPr>
        <w:t xml:space="preserve">Section 6.3(b). </w:t>
      </w:r>
    </w:p>
    <w:p>
      <w:pPr>
        <w:pStyle w:val="TextBody"/>
        <w:bidi w:val="0"/>
        <w:spacing w:before="240" w:after="0"/>
        <w:jc w:val="left"/>
        <w:rPr/>
      </w:pPr>
      <w:r>
        <w:rPr/>
        <w:t>“</w:t>
      </w:r>
      <w:r>
        <w:rPr>
          <w:rFonts w:ascii="Times New Roman" w:hAnsi="Times New Roman"/>
          <w:b/>
          <w:sz w:val="20"/>
        </w:rPr>
        <w:t>Standstill Notice</w:t>
      </w:r>
      <w:r>
        <w:rPr>
          <w:rFonts w:ascii="Times New Roman" w:hAnsi="Times New Roman"/>
          <w:sz w:val="20"/>
        </w:rPr>
        <w:t xml:space="preserve">” means a written notice from Second Lien Collateral Agent to First Lien Collateral Agent identified by its terms as a “Standstill Notice” for purposes of this Agreement and stating that a Second Lien Default has occurred and is continuing and that, as a consequence thereof, Second Lien Collateral Agent has declared all of the Second Lien Obligations to be immediately due and payable. </w:t>
      </w:r>
    </w:p>
    <w:p>
      <w:pPr>
        <w:pStyle w:val="TextBody"/>
        <w:bidi w:val="0"/>
        <w:spacing w:before="240" w:after="0"/>
        <w:jc w:val="left"/>
        <w:rPr/>
      </w:pPr>
      <w:r>
        <w:rPr/>
        <w:t>“</w:t>
      </w:r>
      <w:r>
        <w:rPr>
          <w:rFonts w:ascii="Times New Roman" w:hAnsi="Times New Roman"/>
          <w:b/>
          <w:sz w:val="20"/>
        </w:rPr>
        <w:t>Standstill Period</w:t>
      </w:r>
      <w:r>
        <w:rPr>
          <w:rFonts w:ascii="Times New Roman" w:hAnsi="Times New Roman"/>
          <w:sz w:val="20"/>
        </w:rPr>
        <w:t xml:space="preserve">” means the period of 180 days commencing on the date on which is the later of: (i) the date on which the Second Lien Collateral Agent declared the existence of any Event of Default (and as defined in) under any Second Lien Debt Document and demanded the repayment of all the principal amount of any Second Lien Obligations; and (ii) the date on which First Lien Collateral Agent receives the applicable Standstill Notice.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as to any Person, a corporation, partnership, limited liability company or other entity of which shares of stock, partnership interest, membership interest, or other ownership interest or other equity securities having ordinary voting power (other than stock, partnership interest, membership interest or other ownership interest or other equity securities having such power only by reason of the happening of a contingency) to elect a majority of the board of directors or other managers of such corporation, partnership, limited liability company or other entity are at the time owned, or the management of which is otherwise controlled, directly or indirectly through one or more intermediaries, or both, by such Person. </w:t>
      </w:r>
    </w:p>
    <w:p>
      <w:pPr>
        <w:pStyle w:val="TextBody"/>
        <w:bidi w:val="0"/>
        <w:spacing w:before="240" w:after="0"/>
        <w:jc w:val="left"/>
        <w:rPr/>
      </w:pPr>
      <w:r>
        <w:rPr/>
        <w:t>“</w:t>
      </w:r>
      <w:r>
        <w:rPr>
          <w:rFonts w:ascii="Times New Roman" w:hAnsi="Times New Roman"/>
          <w:b/>
          <w:sz w:val="20"/>
        </w:rPr>
        <w:t>Titled Collateral</w:t>
      </w:r>
      <w:r>
        <w:rPr>
          <w:rFonts w:ascii="Times New Roman" w:hAnsi="Times New Roman"/>
          <w:sz w:val="20"/>
        </w:rPr>
        <w:t xml:space="preserve">” means any modular units, motor vehicles and other goods covered by certificate of title where perfection is governed by a certificate of title statute which provides for a security interest to be indicated on the certificate as a condition or result of the security interest’s obtaining priority over the rights of a lien creditor with respect to the property. </w:t>
      </w:r>
    </w:p>
    <w:p>
      <w:pPr>
        <w:pStyle w:val="TextBody"/>
        <w:bidi w:val="0"/>
        <w:spacing w:before="240" w:after="0"/>
        <w:jc w:val="left"/>
        <w:rPr/>
      </w:pPr>
      <w:r>
        <w:rPr/>
        <w:t>“</w:t>
      </w:r>
      <w:r>
        <w:rPr>
          <w:rFonts w:ascii="Times New Roman" w:hAnsi="Times New Roman"/>
          <w:b/>
          <w:sz w:val="20"/>
        </w:rPr>
        <w:t>UCC</w:t>
      </w:r>
      <w:r>
        <w:rPr>
          <w:rFonts w:ascii="Times New Roman" w:hAnsi="Times New Roman"/>
          <w:sz w:val="20"/>
        </w:rPr>
        <w:t xml:space="preserve">” means the Uniform Commercial Code (or any similar or equivalent legislation) as in effect in the State of New York;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by reason of mandatory provisions of law, any or all of the perfection or priority of, or remedies with respect to, any Collateral is governed by the Uniform Commercial Code as enacted and in effect in a jurisdiction other than the State of New York, the term “UCC” shall mean the Uniform Commercial Code as enacted and in effect in such other jurisdiction solely for purposes of the provisions hereof relating to such perfection, priority or remedies.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Unprocessed Foods</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rPr>
        <w:t>Wilmington Trust, National Association</w:t>
      </w:r>
      <w:r>
        <w:rPr>
          <w:rFonts w:ascii="Times New Roman" w:hAnsi="Times New Roman"/>
          <w:sz w:val="20"/>
        </w:rPr>
        <w:t xml:space="preserve">” has the meaning set forth in the Preamble to this Agreement. </w:t>
      </w:r>
    </w:p>
    <w:p>
      <w:pPr>
        <w:pStyle w:val="TextBody"/>
        <w:bidi w:val="0"/>
        <w:spacing w:before="240" w:after="0"/>
        <w:jc w:val="left"/>
        <w:rPr>
          <w:rFonts w:ascii="Times New Roman" w:hAnsi="Times New Roman"/>
          <w:sz w:val="20"/>
        </w:rPr>
      </w:pPr>
      <w:bookmarkStart w:id="9" w:name="ex10_3toc60690_3"/>
      <w:bookmarkEnd w:id="9"/>
      <w:r>
        <w:rPr>
          <w:rFonts w:ascii="Times New Roman" w:hAnsi="Times New Roman"/>
          <w:sz w:val="20"/>
        </w:rPr>
        <w:t>1.2 </w:t>
      </w:r>
      <w:r>
        <w:rPr>
          <w:rFonts w:ascii="Times New Roman" w:hAnsi="Times New Roman"/>
          <w:sz w:val="20"/>
          <w:u w:val="single"/>
        </w:rPr>
        <w:t>Terms Generally</w:t>
      </w:r>
      <w:r>
        <w:rPr>
          <w:rFonts w:ascii="Times New Roman" w:hAnsi="Times New Roman"/>
          <w:sz w:val="20"/>
        </w:rPr>
        <w:t xml:space="preserve">. The definitions of terms in this Agreement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eﬀect as the word “shall.” Unless the context requires otherwise: </w:t>
      </w:r>
    </w:p>
    <w:p>
      <w:pPr>
        <w:pStyle w:val="TextBody"/>
        <w:bidi w:val="0"/>
        <w:spacing w:before="120" w:after="0"/>
        <w:jc w:val="left"/>
        <w:rPr>
          <w:rFonts w:ascii="Times New Roman" w:hAnsi="Times New Roman"/>
          <w:sz w:val="20"/>
        </w:rPr>
      </w:pPr>
      <w:r>
        <w:rPr>
          <w:rFonts w:ascii="Times New Roman" w:hAnsi="Times New Roman"/>
          <w:sz w:val="20"/>
        </w:rPr>
        <w:t xml:space="preserve">(a) any definition of or reference herein to any agreement, instrument or other document shall be construed as referring to such agreement, instrument or other document as amended, restated, amended and restated, supplemented or otherwise modified from time to time and any reference herein to any statute or regulations shall include any amendment, renewal, extension or replacement thereof; </w:t>
      </w:r>
    </w:p>
    <w:p>
      <w:pPr>
        <w:pStyle w:val="TextBody"/>
        <w:bidi w:val="0"/>
        <w:spacing w:before="120" w:after="0"/>
        <w:jc w:val="left"/>
        <w:rPr>
          <w:rFonts w:ascii="Times New Roman" w:hAnsi="Times New Roman"/>
          <w:sz w:val="20"/>
        </w:rPr>
      </w:pPr>
      <w:r>
        <w:rPr>
          <w:rFonts w:ascii="Times New Roman" w:hAnsi="Times New Roman"/>
          <w:sz w:val="20"/>
        </w:rPr>
        <w:t xml:space="preserve">(b) any reference herein to any Person shall be construed to include such Person’s successors and assigns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(c) the words “herein,” “hereof” and “hereunder,” and words of similar import, shall be construed to refer to this Agreement in its entirety and not to any particular provision hereof; </w:t>
      </w:r>
    </w:p>
    <w:p>
      <w:pPr>
        <w:pStyle w:val="TextBody"/>
        <w:bidi w:val="0"/>
        <w:spacing w:before="120" w:after="0"/>
        <w:jc w:val="left"/>
        <w:rPr>
          <w:rFonts w:ascii="Times New Roman" w:hAnsi="Times New Roman"/>
          <w:sz w:val="20"/>
        </w:rPr>
      </w:pPr>
      <w:r>
        <w:rPr>
          <w:rFonts w:ascii="Times New Roman" w:hAnsi="Times New Roman"/>
          <w:sz w:val="20"/>
        </w:rPr>
        <w:t xml:space="preserve">(d) all references herein to Sections and Exhibits shall be construed to refer to Sections and Exhibits of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(e) the words “asset” and “property” shall be construed to have the same meaning and eﬀect and to refer to any and all tangible and intangible assets and properties, including cash, securities, accounts and contract rights. </w:t>
      </w:r>
    </w:p>
    <w:p>
      <w:pPr>
        <w:pStyle w:val="TextBody"/>
        <w:bidi w:val="0"/>
        <w:spacing w:before="360" w:after="0"/>
        <w:jc w:val="left"/>
        <w:rPr>
          <w:rFonts w:ascii="Times New Roman" w:hAnsi="Times New Roman"/>
          <w:b/>
          <w:sz w:val="20"/>
        </w:rPr>
      </w:pPr>
      <w:bookmarkStart w:id="10" w:name="ex10_3toc60690_4"/>
      <w:bookmarkEnd w:id="10"/>
      <w:r>
        <w:rPr>
          <w:rFonts w:ascii="Times New Roman" w:hAnsi="Times New Roman"/>
          <w:b/>
          <w:sz w:val="20"/>
        </w:rPr>
        <w:t>Section 2. </w:t>
      </w:r>
      <w:r>
        <w:rPr>
          <w:rFonts w:ascii="Times New Roman" w:hAnsi="Times New Roman"/>
          <w:b/>
          <w:sz w:val="20"/>
          <w:u w:val="single"/>
        </w:rPr>
        <w:t>Priorities.</w:t>
      </w:r>
      <w:r>
        <w:rPr>
          <w:rFonts w:ascii="Times New Roman" w:hAnsi="Times New Roman"/>
          <w:b/>
          <w:sz w:val="20"/>
        </w:rPr>
        <w:t xml:space="preserve"> </w:t>
      </w:r>
    </w:p>
    <w:p>
      <w:pPr>
        <w:pStyle w:val="TextBody"/>
        <w:bidi w:val="0"/>
        <w:spacing w:before="120" w:after="0"/>
        <w:jc w:val="left"/>
        <w:rPr>
          <w:rFonts w:ascii="Times New Roman" w:hAnsi="Times New Roman"/>
          <w:sz w:val="20"/>
        </w:rPr>
      </w:pPr>
      <w:bookmarkStart w:id="11" w:name="ex10_3toc60690_5"/>
      <w:bookmarkEnd w:id="11"/>
      <w:r>
        <w:rPr>
          <w:rFonts w:ascii="Times New Roman" w:hAnsi="Times New Roman"/>
          <w:sz w:val="20"/>
        </w:rPr>
        <w:t>2.1 </w:t>
      </w:r>
      <w:r>
        <w:rPr>
          <w:rFonts w:ascii="Times New Roman" w:hAnsi="Times New Roman"/>
          <w:sz w:val="20"/>
          <w:u w:val="single"/>
        </w:rPr>
        <w:t>Relative Priorities</w:t>
      </w:r>
      <w:r>
        <w:rPr>
          <w:rFonts w:ascii="Times New Roman" w:hAnsi="Times New Roman"/>
          <w:sz w:val="20"/>
        </w:rPr>
        <w:t xml:space="preserve">. Notwithstanding the date, time, method, manner or order of grant, attachment or perfection of any Liens securing the Second Lien Obligations granted on the Collateral or of any Liens securing the First Lien Obligations granted on the Collateral and notwithstanding any provision of the UCC or any other applicable law or the Second Lien Debt Documents or any defect or deficiencies in, or failure to perfect or lapse in perfection of, or avoidance as a fraudulent conveyance or otherwise of, the Liens securing the First Lien Obligations, the subordination of such Liens to any other Liens, or any other circumstance whatsoever, whether or not any Insolvency or Liquidation Proceeding has been commenced by or against the Company or any other Grantor, each Second Lien Representative and each Second Lien Collateral Agent, for itself and on behalf of each other Second Lien Claimholder represented by it, hereby agrees that: </w:t>
      </w:r>
    </w:p>
    <w:p>
      <w:pPr>
        <w:pStyle w:val="TextBody"/>
        <w:bidi w:val="0"/>
        <w:spacing w:before="120" w:after="0"/>
        <w:jc w:val="left"/>
        <w:rPr>
          <w:rFonts w:ascii="Times New Roman" w:hAnsi="Times New Roman"/>
          <w:sz w:val="20"/>
        </w:rPr>
      </w:pPr>
      <w:r>
        <w:rPr>
          <w:rFonts w:ascii="Times New Roman" w:hAnsi="Times New Roman"/>
          <w:sz w:val="20"/>
        </w:rPr>
        <w:t xml:space="preserve">(a) any Lien on the Collateral securing any First Lien Obligations now or hereafter held by or on behalf of any First Lien Representative, any First Lien Collateral Agent or any First Lien Claimholders or any agent or trustee therefor, regardless of how acquired, whether by grant, possession, statute, operation of law, subrogation or otherwise, shall be senior in all respects and prior to any Lien on the Collateral securing any Second Lien Obligations; and </w:t>
      </w:r>
    </w:p>
    <w:p>
      <w:pPr>
        <w:pStyle w:val="TextBody"/>
        <w:bidi w:val="0"/>
        <w:spacing w:before="120" w:after="0"/>
        <w:jc w:val="left"/>
        <w:rPr>
          <w:rFonts w:ascii="Times New Roman" w:hAnsi="Times New Roman"/>
          <w:sz w:val="20"/>
        </w:rPr>
      </w:pPr>
      <w:r>
        <w:rPr>
          <w:rFonts w:ascii="Times New Roman" w:hAnsi="Times New Roman"/>
          <w:sz w:val="20"/>
        </w:rPr>
        <w:t xml:space="preserve">(b) any Lien on the Collateral securing any Second Lien Obligations now or hereafter held by or on behalf of any Second Lien Representative, any Second Lien Collateral Agent,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Second Lien Claimholders or any agent or trustee therefor regardless of how acquired, whether by grant, possession, statute, operation of law, subrogation or otherwise, shall be junior and subordinate in all respects to all Liens on the Collateral securing any First Lien Obligations. All Liens on the Collateral securing any First Lien Obligations shall be and remain senior in all respects and prior to all Liens on the Collateral securing any Second Lien Obligations for all purposes, whether or not such Liens securing any First Lien Obligations are subordinated to any Lien securing any other obligation of the Company, any other Grantor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(c) except for Permitted Subordinated Indebtedness Payments to the extent and in the manner set forth herein, no Grantor may make, and no Second Lien Claimholders may receive, any payment (whether made in cash, securities or other property or by set-off, recoupment, redemption, purchase or acquisition of indebtedness or any other similar rights) of principal, interest or any other amount with respect to the Second Lien Obligations, and </w:t>
      </w:r>
    </w:p>
    <w:p>
      <w:pPr>
        <w:pStyle w:val="TextBody"/>
        <w:bidi w:val="0"/>
        <w:spacing w:before="120" w:after="0"/>
        <w:jc w:val="left"/>
        <w:rPr>
          <w:rFonts w:ascii="Times New Roman" w:hAnsi="Times New Roman"/>
          <w:sz w:val="20"/>
        </w:rPr>
      </w:pPr>
      <w:r>
        <w:rPr>
          <w:rFonts w:ascii="Times New Roman" w:hAnsi="Times New Roman"/>
          <w:sz w:val="20"/>
        </w:rPr>
        <w:t xml:space="preserve">(d) no Second Lien Claimholder shall exercise any right of set-off or recoupment with respect to any Second Lien Obligations, until the Discharge of First Lien Obligations. </w:t>
      </w:r>
    </w:p>
    <w:p>
      <w:pPr>
        <w:pStyle w:val="TextBody"/>
        <w:bidi w:val="0"/>
        <w:spacing w:before="240" w:after="0"/>
        <w:jc w:val="left"/>
        <w:rPr>
          <w:rFonts w:ascii="Times New Roman" w:hAnsi="Times New Roman"/>
          <w:sz w:val="20"/>
        </w:rPr>
      </w:pPr>
      <w:bookmarkStart w:id="12" w:name="ex10_3toc60690_6"/>
      <w:bookmarkEnd w:id="12"/>
      <w:r>
        <w:rPr>
          <w:rFonts w:ascii="Times New Roman" w:hAnsi="Times New Roman"/>
          <w:sz w:val="20"/>
        </w:rPr>
        <w:t>2.2 </w:t>
      </w:r>
      <w:r>
        <w:rPr>
          <w:rFonts w:ascii="Times New Roman" w:hAnsi="Times New Roman"/>
          <w:sz w:val="20"/>
          <w:u w:val="single"/>
        </w:rPr>
        <w:t>Prohibition on Contesting Liens</w:t>
      </w:r>
      <w:r>
        <w:rPr>
          <w:rFonts w:ascii="Times New Roman" w:hAnsi="Times New Roman"/>
          <w:sz w:val="20"/>
        </w:rPr>
        <w:t xml:space="preserve">. Each Second Lien Representative and each Second Lien Collateral Agent, for itself and on behalf of each other Second Lien Claimholder represented by it, and each First Lien Representative and each First Lien Collateral Agent, for itself and on behalf of each other First Lien Claimholder represented by it, agrees that it will not (and hereby waives any right to) directly or indirectly contest or support any other Person in contesting, in any proceeding (including any Insolvency or Liquidation Proceeding), the priority, validity, perfection, extent or enforceability of a Lien held, or purported to be held, by or on behalf of any of the First Lien Claimholders in the First Lien Collateral or by or on behalf of any of the Second Lien Claimholders in the Second Lien Collateral, as the case may be, or the amount, nature or extent of the First Lien Obligations or Second Lien Obligations or the provisions of this Agreement; </w:t>
      </w:r>
      <w:r>
        <w:rPr>
          <w:rFonts w:ascii="Times New Roman" w:hAnsi="Times New Roman"/>
          <w:sz w:val="20"/>
          <w:u w:val="single"/>
        </w:rPr>
        <w:t>provided</w:t>
      </w:r>
      <w:r>
        <w:rPr>
          <w:rFonts w:ascii="Times New Roman" w:hAnsi="Times New Roman"/>
          <w:sz w:val="20"/>
        </w:rPr>
        <w:t xml:space="preserve">, that nothing in this Agreement shall be construed to prevent or impair the rights of any First Lien Representative, any First Lien Collateral Agent or any First Lien Claimholder to enforce this Agreement, including the provisions of this Agreement relating to the priority of the Liens securing the First Lien Obligations as provided in </w:t>
      </w:r>
      <w:r>
        <w:rPr>
          <w:rFonts w:ascii="Times New Roman" w:hAnsi="Times New Roman"/>
          <w:sz w:val="20"/>
          <w:u w:val="single"/>
        </w:rPr>
        <w:t>Sections 2.1</w:t>
      </w:r>
      <w:r>
        <w:rPr>
          <w:rFonts w:ascii="Times New Roman" w:hAnsi="Times New Roman"/>
          <w:sz w:val="20"/>
        </w:rPr>
        <w:t xml:space="preserve"> and </w:t>
      </w:r>
      <w:r>
        <w:rPr>
          <w:rFonts w:ascii="Times New Roman" w:hAnsi="Times New Roman"/>
          <w:sz w:val="20"/>
          <w:u w:val="single"/>
        </w:rPr>
        <w:t>3.1</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3" w:name="ex10_3toc60690_7"/>
      <w:bookmarkEnd w:id="13"/>
      <w:r>
        <w:rPr>
          <w:rFonts w:ascii="Times New Roman" w:hAnsi="Times New Roman"/>
          <w:sz w:val="20"/>
        </w:rPr>
        <w:t>2.3 </w:t>
      </w:r>
      <w:r>
        <w:rPr>
          <w:rFonts w:ascii="Times New Roman" w:hAnsi="Times New Roman"/>
          <w:sz w:val="20"/>
          <w:u w:val="single"/>
        </w:rPr>
        <w:t>No New Liens</w:t>
      </w:r>
      <w:r>
        <w:rPr>
          <w:rFonts w:ascii="Times New Roman" w:hAnsi="Times New Roman"/>
          <w:sz w:val="20"/>
        </w:rPr>
        <w:t xml:space="preserve">. So long as the Discharge of First Lien Obligations has not occurred, whether or not any Insolvency or Liquidation Proceeding has been commenced by or against the Company or any other Grantor, the Company shall not, and shall not permit any other Grantor to: </w:t>
      </w:r>
    </w:p>
    <w:p>
      <w:pPr>
        <w:pStyle w:val="TextBody"/>
        <w:bidi w:val="0"/>
        <w:spacing w:before="120" w:after="0"/>
        <w:jc w:val="left"/>
        <w:rPr>
          <w:rFonts w:ascii="Times New Roman" w:hAnsi="Times New Roman"/>
          <w:sz w:val="20"/>
        </w:rPr>
      </w:pPr>
      <w:r>
        <w:rPr>
          <w:rFonts w:ascii="Times New Roman" w:hAnsi="Times New Roman"/>
          <w:sz w:val="20"/>
        </w:rPr>
        <w:t xml:space="preserve">(a) grant or permit any additional Liens on any asset or property to secure any Second Lien Obligation unless it has granted or concurrently grants a Lien on such asset or property to secure the First Lien Obligations, the parties hereto agreeing that any such Lien shall be subject to </w:t>
      </w:r>
      <w:r>
        <w:rPr>
          <w:rFonts w:ascii="Times New Roman" w:hAnsi="Times New Roman"/>
          <w:sz w:val="20"/>
          <w:u w:val="single"/>
        </w:rPr>
        <w:t>Section 2.1</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this provision will not be violated with respect to any particular Series of First Lien Obligations if the applicable First Lien Collateral Agent is given a reasonable opportunity to accept a Lien on any asset or property and either the Company or such First Lien Collateral Agent states in writing that the First Lien Loan Documents in respect thereof prohibit such First Lien Collateral Agent from accepting a Lien on such asset or property or the applicable First Lien Collateral Agent otherwise expressly declines to accept a Lien on such asset or property (any such prohibited or declined Lien with respect to a particular Series of First Lien Obligations, a “</w:t>
      </w:r>
      <w:r>
        <w:rPr>
          <w:rFonts w:ascii="Times New Roman" w:hAnsi="Times New Roman"/>
          <w:b/>
          <w:sz w:val="20"/>
        </w:rPr>
        <w:t>First Lien Declined Lien</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(b) grant or permit any additional Liens on any asset or property to secure any First Lien Obligations unless it has granted, concurrently grants or within 10 Business Days of securing any First Lien Obligation grants a Lien on such asset or property to secure the Second Lien Obligations; </w:t>
      </w:r>
      <w:r>
        <w:rPr>
          <w:rFonts w:ascii="Times New Roman" w:hAnsi="Times New Roman"/>
          <w:sz w:val="20"/>
          <w:u w:val="single"/>
        </w:rPr>
        <w:t>provided</w:t>
      </w:r>
      <w:r>
        <w:rPr>
          <w:rFonts w:ascii="Times New Roman" w:hAnsi="Times New Roman"/>
          <w:sz w:val="20"/>
        </w:rPr>
        <w:t xml:space="preserve"> that this provision will not be violated with respect to any particular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Second Lien Obligations if the applicable Second Lien Collateral Agent is given a reasonable opportunity to accept a Lien on any asset or property and either the Company or such Second Lien Collateral Agent states in writing that the Second Lien Debt Documents in respect thereof prohibit such Second Lien Collateral Agent from accepting a Lien on such asset or property or the applicable Second Lien Collateral Agent otherwise expressly declines to accept a Lien on such asset or property (any such prohibited or declined Lien with respect to a particular Series of Second Lien Obligations, a “</w:t>
      </w:r>
      <w:r>
        <w:rPr>
          <w:rFonts w:ascii="Times New Roman" w:hAnsi="Times New Roman"/>
          <w:b/>
          <w:sz w:val="20"/>
        </w:rPr>
        <w:t>Second Lien Declined Lien</w:t>
      </w:r>
      <w:r>
        <w:rPr>
          <w:rFonts w:ascii="Times New Roman" w:hAnsi="Times New Roman"/>
          <w:sz w:val="20"/>
        </w:rPr>
        <w:t>” and, together with the First Lien Declined Liens, the “</w:t>
      </w:r>
      <w:r>
        <w:rPr>
          <w:rFonts w:ascii="Times New Roman" w:hAnsi="Times New Roman"/>
          <w:b/>
          <w:sz w:val="20"/>
        </w:rPr>
        <w:t>Declined 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Second Lien Representative, any Second Lien Collateral Agent or any Second Lien Claimholder shall hold any Lien on any assets or property of any Grantor securing any Second Lien Obligations that are not also subject to the first-priority Liens, other than any Declined Liens, securing all First Lien Obligations under the First Lien Collateral Documents, such Second Lien Representative, Second Lien Collateral Agent or Second Lien Claimholder shall notify the Designated First Lien Representative and the Designated First Lien Collateral Agent promptly upon becoming aware thereof and, unless such Grantor shall promptly grant a similar Lien, other than any such Lien that would constitute a Declined Lien, on such assets or property to each First Lien Collateral Agent as security for the First Lien Obligations represented by it, such Second Lien Representative, Second Lien Collateral Agent and Second Lien Claimholders shall be deemed to hold and have held such Lien for the benefit of each First Lien Representative, First Lien Collateral Agent and the other First Lien Claimholders, other than any First Lien Claimholders whose First Lien Loan Documents prohibit them from taking such Liens, as security for the First Lien Obligations. To the extent that the foregoing provisions are not complied with for any reason, without limiting any other rights and remedies available to any First Lien Representative, First Lien Collateral Agent and/or the First Lien Claimholders, each Second Lien Representative and each Second Lien Collateral Agent, on behalf of each Second Lien Claimholder represented by it, agrees that any amounts received by or distributed to any of them pursuant to or as a result of Liens granted in contravention of this </w:t>
      </w:r>
      <w:r>
        <w:rPr>
          <w:rFonts w:ascii="Times New Roman" w:hAnsi="Times New Roman"/>
          <w:sz w:val="20"/>
          <w:u w:val="single"/>
        </w:rPr>
        <w:t>Section 2.3</w:t>
      </w:r>
      <w:r>
        <w:rPr>
          <w:rFonts w:ascii="Times New Roman" w:hAnsi="Times New Roman"/>
          <w:sz w:val="20"/>
        </w:rPr>
        <w:t xml:space="preserve"> shall be subject to </w:t>
      </w:r>
      <w:r>
        <w:rPr>
          <w:rFonts w:ascii="Times New Roman" w:hAnsi="Times New Roman"/>
          <w:sz w:val="20"/>
          <w:u w:val="single"/>
        </w:rPr>
        <w:t>Section 4.2</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4" w:name="ex10_3toc60690_8"/>
      <w:bookmarkEnd w:id="14"/>
      <w:r>
        <w:rPr>
          <w:rFonts w:ascii="Times New Roman" w:hAnsi="Times New Roman"/>
          <w:sz w:val="20"/>
        </w:rPr>
        <w:t>2.4 </w:t>
      </w:r>
      <w:r>
        <w:rPr>
          <w:rFonts w:ascii="Times New Roman" w:hAnsi="Times New Roman"/>
          <w:sz w:val="20"/>
          <w:u w:val="single"/>
        </w:rPr>
        <w:t>Similar Liens and Agreements</w:t>
      </w:r>
      <w:r>
        <w:rPr>
          <w:rFonts w:ascii="Times New Roman" w:hAnsi="Times New Roman"/>
          <w:sz w:val="20"/>
        </w:rPr>
        <w:t xml:space="preserve">. The parties hereto agree that, subject to </w:t>
      </w:r>
      <w:r>
        <w:rPr>
          <w:rFonts w:ascii="Times New Roman" w:hAnsi="Times New Roman"/>
          <w:sz w:val="20"/>
          <w:u w:val="single"/>
        </w:rPr>
        <w:t>Sections 2.3</w:t>
      </w:r>
      <w:r>
        <w:rPr>
          <w:rFonts w:ascii="Times New Roman" w:hAnsi="Times New Roman"/>
          <w:sz w:val="20"/>
        </w:rPr>
        <w:t xml:space="preserve"> and </w:t>
      </w:r>
      <w:r>
        <w:rPr>
          <w:rFonts w:ascii="Times New Roman" w:hAnsi="Times New Roman"/>
          <w:sz w:val="20"/>
          <w:u w:val="single"/>
        </w:rPr>
        <w:t>5.3(c)</w:t>
      </w:r>
      <w:r>
        <w:rPr>
          <w:rFonts w:ascii="Times New Roman" w:hAnsi="Times New Roman"/>
          <w:sz w:val="20"/>
        </w:rPr>
        <w:t xml:space="preserve">, it is their intention that the First Lien Collateral and the Second Lien Collateral be identical. In furtherance of the foregoing and of </w:t>
      </w:r>
      <w:r>
        <w:rPr>
          <w:rFonts w:ascii="Times New Roman" w:hAnsi="Times New Roman"/>
          <w:sz w:val="20"/>
          <w:u w:val="single"/>
        </w:rPr>
        <w:t>Section 8.12</w:t>
      </w:r>
      <w:r>
        <w:rPr>
          <w:rFonts w:ascii="Times New Roman" w:hAnsi="Times New Roman"/>
          <w:sz w:val="20"/>
        </w:rPr>
        <w:t xml:space="preserve">, the parties hereto agree, subject to the other provisions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(a) upon request by any First Lien Collateral Agent or any Second Lien Collateral Agent, to cooperate in good faith (and to direct their counsel to cooperate in good faith) from time to time in order to determine the specific items included in the First Lien Collateral and the Second Lien Collateral and the steps taken to perfect their respective Liens thereon and the identity of the respective parties obligated under the First Lien Loan Documents and the Second Lien Debt Documents; and </w:t>
      </w:r>
    </w:p>
    <w:p>
      <w:pPr>
        <w:pStyle w:val="TextBody"/>
        <w:bidi w:val="0"/>
        <w:spacing w:before="120" w:after="0"/>
        <w:jc w:val="left"/>
        <w:rPr>
          <w:rFonts w:ascii="Times New Roman" w:hAnsi="Times New Roman"/>
          <w:sz w:val="20"/>
        </w:rPr>
      </w:pPr>
      <w:r>
        <w:rPr>
          <w:rFonts w:ascii="Times New Roman" w:hAnsi="Times New Roman"/>
          <w:sz w:val="20"/>
        </w:rPr>
        <w:t xml:space="preserve">(b) that the documents and agreements creating or evidencing the First Lien Collateral and the Second Lien Collateral and guarantees for the First Lien Obligations and the Second Lien Obligations, subject to </w:t>
      </w:r>
      <w:r>
        <w:rPr>
          <w:rFonts w:ascii="Times New Roman" w:hAnsi="Times New Roman"/>
          <w:sz w:val="20"/>
          <w:u w:val="single"/>
        </w:rPr>
        <w:t>Sections 2.3</w:t>
      </w:r>
      <w:r>
        <w:rPr>
          <w:rFonts w:ascii="Times New Roman" w:hAnsi="Times New Roman"/>
          <w:sz w:val="20"/>
        </w:rPr>
        <w:t xml:space="preserve"> and </w:t>
      </w:r>
      <w:r>
        <w:rPr>
          <w:rFonts w:ascii="Times New Roman" w:hAnsi="Times New Roman"/>
          <w:sz w:val="20"/>
          <w:u w:val="single"/>
        </w:rPr>
        <w:t>5.3(c)</w:t>
      </w:r>
      <w:r>
        <w:rPr>
          <w:rFonts w:ascii="Times New Roman" w:hAnsi="Times New Roman"/>
          <w:sz w:val="20"/>
        </w:rPr>
        <w:t xml:space="preserve">, shall be in all material respects the same forms of documents other than with respect to the first lien and the second lien nature of the Obligations thereunder. </w:t>
      </w:r>
    </w:p>
    <w:p>
      <w:pPr>
        <w:pStyle w:val="TextBody"/>
        <w:bidi w:val="0"/>
        <w:spacing w:before="240" w:after="0"/>
        <w:jc w:val="left"/>
        <w:rPr>
          <w:rFonts w:ascii="Times New Roman" w:hAnsi="Times New Roman"/>
          <w:sz w:val="20"/>
        </w:rPr>
      </w:pPr>
      <w:bookmarkStart w:id="15" w:name="ex10_3toc60690_9"/>
      <w:bookmarkEnd w:id="15"/>
      <w:r>
        <w:rPr>
          <w:rFonts w:ascii="Times New Roman" w:hAnsi="Times New Roman"/>
          <w:sz w:val="20"/>
        </w:rPr>
        <w:t>2.5 </w:t>
      </w:r>
      <w:r>
        <w:rPr>
          <w:rFonts w:ascii="Times New Roman" w:hAnsi="Times New Roman"/>
          <w:sz w:val="20"/>
          <w:u w:val="single"/>
        </w:rPr>
        <w:t>Perfection of Liens</w:t>
      </w:r>
      <w:r>
        <w:rPr>
          <w:rFonts w:ascii="Times New Roman" w:hAnsi="Times New Roman"/>
          <w:sz w:val="20"/>
        </w:rPr>
        <w:t xml:space="preserve">. Except for the limited agreements of the First Lien Collateral Agents expressly set forth in </w:t>
      </w:r>
      <w:r>
        <w:rPr>
          <w:rFonts w:ascii="Times New Roman" w:hAnsi="Times New Roman"/>
          <w:sz w:val="20"/>
          <w:u w:val="single"/>
        </w:rPr>
        <w:t>Section 5.4</w:t>
      </w:r>
      <w:r>
        <w:rPr>
          <w:rFonts w:ascii="Times New Roman" w:hAnsi="Times New Roman"/>
          <w:sz w:val="20"/>
        </w:rPr>
        <w:t xml:space="preserve">, none of the First Lien Representatives, the First Lien Collateral Agents or the First Lien Claimholders shall be responsible for perfecting and maintaining the perfection of Liens with respect to the Collateral for the benefit of the Second Lien Representatives, the Second Lien Collateral Agents or the Second Lien Claimholders. The provisions of this Agreement are intended solely to govern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respective Lien priorities as between the First Lien Claimholders on the one hand and the Second Lien Claimholders on the other hand, and such provisions shall not impose on the First Lien Representatives, the First Lien Collateral Agents, the First Lien Claimholders, the Second Lien Representatives, the Second Lien Collateral Agents, the Second Lien Claimholders or any agent or trustee therefor any obligations in respect of the disposition of proceeds of any Collateral which would conflict with prior-perfected claims therein in favor of any other Person or any order or decree of any court or Governmental Authority or any applicable law. </w:t>
      </w:r>
    </w:p>
    <w:p>
      <w:pPr>
        <w:pStyle w:val="TextBody"/>
        <w:bidi w:val="0"/>
        <w:spacing w:before="360" w:after="0"/>
        <w:jc w:val="left"/>
        <w:rPr>
          <w:rFonts w:ascii="Times New Roman" w:hAnsi="Times New Roman"/>
          <w:b/>
          <w:sz w:val="20"/>
        </w:rPr>
      </w:pPr>
      <w:bookmarkStart w:id="16" w:name="ex10_3toc60690_10"/>
      <w:bookmarkEnd w:id="16"/>
      <w:r>
        <w:rPr>
          <w:rFonts w:ascii="Times New Roman" w:hAnsi="Times New Roman"/>
          <w:b/>
          <w:sz w:val="20"/>
        </w:rPr>
        <w:t>Section 3. </w:t>
      </w:r>
      <w:r>
        <w:rPr>
          <w:rFonts w:ascii="Times New Roman" w:hAnsi="Times New Roman"/>
          <w:b/>
          <w:sz w:val="20"/>
          <w:u w:val="single"/>
        </w:rPr>
        <w:t>Enforcement.</w:t>
      </w:r>
      <w:r>
        <w:rPr>
          <w:rFonts w:ascii="Times New Roman" w:hAnsi="Times New Roman"/>
          <w:b/>
          <w:sz w:val="20"/>
        </w:rPr>
        <w:t xml:space="preserve"> </w:t>
      </w:r>
    </w:p>
    <w:p>
      <w:pPr>
        <w:pStyle w:val="TextBody"/>
        <w:bidi w:val="0"/>
        <w:spacing w:before="120" w:after="0"/>
        <w:jc w:val="left"/>
        <w:rPr>
          <w:rFonts w:ascii="Times New Roman" w:hAnsi="Times New Roman"/>
          <w:sz w:val="20"/>
        </w:rPr>
      </w:pPr>
      <w:bookmarkStart w:id="17" w:name="ex10_3toc60690_11"/>
      <w:bookmarkEnd w:id="17"/>
      <w:r>
        <w:rPr>
          <w:rFonts w:ascii="Times New Roman" w:hAnsi="Times New Roman"/>
          <w:sz w:val="20"/>
        </w:rPr>
        <w:t>3.1 </w:t>
      </w:r>
      <w:r>
        <w:rPr>
          <w:rFonts w:ascii="Times New Roman" w:hAnsi="Times New Roman"/>
          <w:sz w:val="20"/>
          <w:u w:val="single"/>
        </w:rPr>
        <w:t>Exercise of Remedies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(a) Until the Discharge of First Lien Obligations has occurred, whether or not any Insolvency or Liquidation Proceeding has been commenced by or against the Company or any other Grantor, the Second Lien Representatives, the Second Lien Collateral Agents and the Second Lien Claimholders: </w:t>
      </w:r>
    </w:p>
    <w:p>
      <w:pPr>
        <w:pStyle w:val="TextBody"/>
        <w:bidi w:val="0"/>
        <w:spacing w:before="120" w:after="0"/>
        <w:jc w:val="left"/>
        <w:rPr>
          <w:rFonts w:ascii="Times New Roman" w:hAnsi="Times New Roman"/>
          <w:sz w:val="20"/>
        </w:rPr>
      </w:pPr>
      <w:r>
        <w:rPr>
          <w:rFonts w:ascii="Times New Roman" w:hAnsi="Times New Roman"/>
          <w:sz w:val="20"/>
        </w:rPr>
        <w:t xml:space="preserve">(1) will not commence or maintain, or seek to commence or maintain, any Enforcement Action or otherwise exercise any rights or remedies with respect to the Collateral; </w:t>
      </w:r>
      <w:r>
        <w:rPr>
          <w:rFonts w:ascii="Times New Roman" w:hAnsi="Times New Roman"/>
          <w:sz w:val="20"/>
          <w:u w:val="single"/>
        </w:rPr>
        <w:t>provided further</w:t>
      </w:r>
      <w:r>
        <w:rPr>
          <w:rFonts w:ascii="Times New Roman" w:hAnsi="Times New Roman"/>
          <w:sz w:val="20"/>
        </w:rPr>
        <w:t>, that (i) if an event of default under the Second Lien Debt Documents (a “</w:t>
      </w:r>
      <w:r>
        <w:rPr>
          <w:rFonts w:ascii="Times New Roman" w:hAnsi="Times New Roman"/>
          <w:b/>
          <w:sz w:val="20"/>
        </w:rPr>
        <w:t>Second Lien Default</w:t>
      </w:r>
      <w:r>
        <w:rPr>
          <w:rFonts w:ascii="Times New Roman" w:hAnsi="Times New Roman"/>
          <w:sz w:val="20"/>
        </w:rPr>
        <w:t xml:space="preserve">”) has occurred and is continuing, Second Lien Representatives, Second Lien Collateral Agents and Second Lien Claimholders may commence or maintain, or seek to commence or maintain Enforcement Actions after the expiration of the applicable Standstill Period, (ii) in no event shall any Second Lien Representative, Second Lien Collateral Agent or any other Second Lien Claimholder take any Enforcement Action or exercise any rights or remedies with respect to the Collateral if, notwithstanding the expiration of the Standstill Period, any First Lien Representative, any First Lien Collateral Agent or any First Lien Claimholder shall (A) have commenced prior to the expiration of the Standstill Period (or thereafter but prior to the commencement of any Enforcement Action by Second Lien Collateral Agent with respect to all or any material portion of the Collateral) and be diligently pursuing in good faith an Enforcement Action with respect to all or any material portion of the Collateral or (B) be diligently attempting in good faith to vacate any stay prohibiting an Enforcement Action with respect to all or any material portion of the Collateral and (iii) prior to taking any Enforcement Action, or action to commence or petition for any Insolvency Proceeding after the end of the Standstill Period, Second Lien Collateral Agent shall give First Lien Collateral Agent not more than thirty (30) Business Days and not less than five (5) Business Days prior written notice of the intention of Second Lien Representatives, Second Lien Collateral Agents or any other Second Lien Claimholder to exercise such rights and remedies, including specifying the rights and remedies that it intends to exercise, which notice may be sent prior to the end of the Standstill Period; </w:t>
      </w:r>
    </w:p>
    <w:p>
      <w:pPr>
        <w:pStyle w:val="TextBody"/>
        <w:bidi w:val="0"/>
        <w:spacing w:before="120" w:after="0"/>
        <w:jc w:val="left"/>
        <w:rPr>
          <w:rFonts w:ascii="Times New Roman" w:hAnsi="Times New Roman"/>
          <w:sz w:val="20"/>
        </w:rPr>
      </w:pPr>
      <w:r>
        <w:rPr>
          <w:rFonts w:ascii="Times New Roman" w:hAnsi="Times New Roman"/>
          <w:sz w:val="20"/>
        </w:rPr>
        <w:t xml:space="preserve">(2) subject to their rights under </w:t>
      </w:r>
      <w:r>
        <w:rPr>
          <w:rFonts w:ascii="Times New Roman" w:hAnsi="Times New Roman"/>
          <w:sz w:val="20"/>
          <w:u w:val="single"/>
        </w:rPr>
        <w:t>Section 3.1(a)(1)</w:t>
      </w:r>
      <w:r>
        <w:rPr>
          <w:rFonts w:ascii="Times New Roman" w:hAnsi="Times New Roman"/>
          <w:sz w:val="20"/>
        </w:rPr>
        <w:t xml:space="preserve">, will not object to the forbearance by the First Lien Collateral Agent or any First Lien Claimholder from bringing or pursuing any foreclosure proceeding or action or any other exercise of any rights or remedies relating to the Collateral; and </w:t>
      </w:r>
    </w:p>
    <w:p>
      <w:pPr>
        <w:pStyle w:val="TextBody"/>
        <w:bidi w:val="0"/>
        <w:spacing w:before="120" w:after="0"/>
        <w:jc w:val="left"/>
        <w:rPr>
          <w:rFonts w:ascii="Times New Roman" w:hAnsi="Times New Roman"/>
          <w:sz w:val="20"/>
        </w:rPr>
      </w:pPr>
      <w:r>
        <w:rPr>
          <w:rFonts w:ascii="Times New Roman" w:hAnsi="Times New Roman"/>
          <w:sz w:val="20"/>
        </w:rPr>
        <w:t xml:space="preserve">(3) no Second Lien Representative, Second Lien Collateral Agent or Second Lien Claimholder shall file any notice or other document under the federal Assignment of Claims Act 31 U.S.C. § 3737, 41 U.S.C. § 15 that requires payment to any Second Lien Representative, Second Lien Collateral Agent or Second Lien Claimholder, in each case so long as any proceeds received by any First Lien Representative or First Lien Collateral Agent are applied in accordance with </w:t>
      </w:r>
      <w:r>
        <w:rPr>
          <w:rFonts w:ascii="Times New Roman" w:hAnsi="Times New Roman"/>
          <w:sz w:val="20"/>
          <w:u w:val="single"/>
        </w:rPr>
        <w:t>Section 4.1</w:t>
      </w:r>
      <w:r>
        <w:rPr>
          <w:rFonts w:ascii="Times New Roman" w:hAnsi="Times New Roman"/>
          <w:sz w:val="20"/>
        </w:rPr>
        <w:t xml:space="preserve"> and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(b) Until the Discharge of First Lien Obligations has occurred, whether or not any Insolvency or Liquidation Proceeding has been commenced by or against the Company or any other Grantor, subject to </w:t>
      </w:r>
      <w:r>
        <w:rPr>
          <w:rFonts w:ascii="Times New Roman" w:hAnsi="Times New Roman"/>
          <w:sz w:val="20"/>
          <w:u w:val="single"/>
        </w:rPr>
        <w:t>Section 3.1(a)(1)</w:t>
      </w:r>
      <w:r>
        <w:rPr>
          <w:rFonts w:ascii="Times New Roman" w:hAnsi="Times New Roman"/>
          <w:sz w:val="20"/>
        </w:rPr>
        <w:t xml:space="preserve">, the First Lien Representatives, the First Lien Collateral Agents and the First Lien Claimholders shall have the sole and exclusive right to commence and maintain an Enforcement Action or otherwise enforce rights, exercise remedies (including set-oﬀ, recoupment and the right to credit bid their debt, except that Second Lien Claimholders shall have the credit bid rights set forth in </w:t>
      </w:r>
      <w:r>
        <w:rPr>
          <w:rFonts w:ascii="Times New Roman" w:hAnsi="Times New Roman"/>
          <w:sz w:val="20"/>
          <w:u w:val="single"/>
        </w:rPr>
        <w:t>Section 3.1(c)(6)</w:t>
      </w:r>
      <w:r>
        <w:rPr>
          <w:rFonts w:ascii="Times New Roman" w:hAnsi="Times New Roman"/>
          <w:sz w:val="20"/>
        </w:rPr>
        <w:t xml:space="preserve">), and subject to </w:t>
      </w:r>
      <w:r>
        <w:rPr>
          <w:rFonts w:ascii="Times New Roman" w:hAnsi="Times New Roman"/>
          <w:sz w:val="20"/>
          <w:u w:val="single"/>
        </w:rPr>
        <w:t>Section 5.1</w:t>
      </w:r>
      <w:r>
        <w:rPr>
          <w:rFonts w:ascii="Times New Roman" w:hAnsi="Times New Roman"/>
          <w:sz w:val="20"/>
        </w:rPr>
        <w:t xml:space="preserve">, make determinations regarding the release, disposition, or restrictions with respect to the Collateral without any consultation with or the consent of any Second Lien Representative, any Second Lien Collateral Agent or any other Second Lien Claimholder; </w:t>
      </w:r>
      <w:r>
        <w:rPr>
          <w:rFonts w:ascii="Times New Roman" w:hAnsi="Times New Roman"/>
          <w:sz w:val="20"/>
          <w:u w:val="single"/>
        </w:rPr>
        <w:t>provided</w:t>
      </w:r>
      <w:r>
        <w:rPr>
          <w:rFonts w:ascii="Times New Roman" w:hAnsi="Times New Roman"/>
          <w:sz w:val="20"/>
        </w:rPr>
        <w:t xml:space="preserve"> that any proceeds received by any First Lien Representative or First Lien Collateral Agent are applied in accordance with </w:t>
      </w:r>
      <w:r>
        <w:rPr>
          <w:rFonts w:ascii="Times New Roman" w:hAnsi="Times New Roman"/>
          <w:sz w:val="20"/>
          <w:u w:val="single"/>
        </w:rPr>
        <w:t>Section 4.1</w:t>
      </w:r>
      <w:r>
        <w:rPr>
          <w:rFonts w:ascii="Times New Roman" w:hAnsi="Times New Roman"/>
          <w:sz w:val="20"/>
        </w:rPr>
        <w:t xml:space="preserve"> and applicable law. In commencing or maintaining any Enforcement Action or otherwise exercising rights and remedies with respect to the Collateral, the First Lien Representatives, the First Lien Collateral Agents and the First Lien Claimholders may enforce the provisions of the First Lien Loan Documents and exercise remedies thereunder, all in such order and in such manner as they may determine in the exercise of their sole discretion in compliance with any applicable law and without consultation with any Second Lien Representative, any Second Lien Collateral Agent or any other Second Lien Claimholder and regardless of whether any such exercise is adverse to the interest of any Second Lien Claimholder. Such exercise and enforcement shall include the rights of an agent appointed by them to sell or otherwise dispose of Collateral upon foreclosure, to incur expenses in connection with such sale or disposition, and to exercise all the rights and remedies of a secured creditor under the UCC and of a secured creditor under Bankruptcy Laws of any applicable jurisdiction.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foregoing, any Second Lien Representative, any Second Lien Collateral Agent and any other Second Lien Claimholder may: </w:t>
      </w:r>
    </w:p>
    <w:p>
      <w:pPr>
        <w:pStyle w:val="TextBody"/>
        <w:bidi w:val="0"/>
        <w:spacing w:before="120" w:after="0"/>
        <w:jc w:val="left"/>
        <w:rPr>
          <w:rFonts w:ascii="Times New Roman" w:hAnsi="Times New Roman"/>
          <w:sz w:val="20"/>
        </w:rPr>
      </w:pPr>
      <w:r>
        <w:rPr>
          <w:rFonts w:ascii="Times New Roman" w:hAnsi="Times New Roman"/>
          <w:sz w:val="20"/>
        </w:rPr>
        <w:t xml:space="preserve">(1) file a claim or statement of interest with respect to the Second Lien Obligations </w:t>
      </w:r>
      <w:r>
        <w:rPr>
          <w:rFonts w:ascii="Times New Roman" w:hAnsi="Times New Roman"/>
          <w:sz w:val="20"/>
          <w:u w:val="single"/>
        </w:rPr>
        <w:t>provided</w:t>
      </w:r>
      <w:r>
        <w:rPr>
          <w:rFonts w:ascii="Times New Roman" w:hAnsi="Times New Roman"/>
          <w:sz w:val="20"/>
        </w:rPr>
        <w:t xml:space="preserve"> that an Insolvency or Liquidation Proceeding has been commenced by or against the Company or any other Grantor; </w:t>
      </w:r>
    </w:p>
    <w:p>
      <w:pPr>
        <w:pStyle w:val="TextBody"/>
        <w:bidi w:val="0"/>
        <w:spacing w:before="120" w:after="0"/>
        <w:jc w:val="left"/>
        <w:rPr>
          <w:rFonts w:ascii="Times New Roman" w:hAnsi="Times New Roman"/>
          <w:sz w:val="20"/>
        </w:rPr>
      </w:pPr>
      <w:r>
        <w:rPr>
          <w:rFonts w:ascii="Times New Roman" w:hAnsi="Times New Roman"/>
          <w:sz w:val="20"/>
        </w:rPr>
        <w:t xml:space="preserve">(2) take any action (not adverse to the priority status of the Liens on the Collateral securing the First Lien Obligations, or the rights of any First Lien Representative, any First Lien Collateral Agent or the First Lien Claimholders to exercise remedies in respect thereof) in order to create, perfect, preserve or protect its Lien on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(3) file any necessary responsive or defensive pleadings in opposition to any motion, claim, adversary proceeding or other pleading made by any person objecting to or otherwise seeking the disallowance of the claims of the Second Lien Claimholders, including any claims secured by the Collateral, if any, in each case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(4) vote on any plan of reorganization, arrangement, compromise or liquidation, file any proof of claim, make other filings and make any arguments and motions that are, in each case, in accordance with the terms of this Agreement, with respect to the Second Lien Obligations and the Collateral; </w:t>
      </w:r>
      <w:r>
        <w:rPr>
          <w:rFonts w:ascii="Times New Roman" w:hAnsi="Times New Roman"/>
          <w:sz w:val="20"/>
          <w:u w:val="single"/>
        </w:rPr>
        <w:t>provided</w:t>
      </w:r>
      <w:r>
        <w:rPr>
          <w:rFonts w:ascii="Times New Roman" w:hAnsi="Times New Roman"/>
          <w:sz w:val="20"/>
        </w:rPr>
        <w:t xml:space="preserve"> that no filing of any claim or vote, or pleading related to such claim or vote, to accept or reject a disclosure statement, plan of reorganization, arrangement, compromise or liquidation, or any other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or proposal similar to the foregoing by any Second Lien Representative, any Second Lien Collateral Agent or any other Second Lien Claimholder, may be inconsistent with the provisions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(5) exercise any of its rights or remedies with respect to the Collateral after the termination of the Standstill Period to the extent permitted by </w:t>
      </w:r>
      <w:r>
        <w:rPr>
          <w:rFonts w:ascii="Times New Roman" w:hAnsi="Times New Roman"/>
          <w:sz w:val="20"/>
          <w:u w:val="single"/>
        </w:rPr>
        <w:t>Section 3.1(a)(1)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(6) bid for or purchase Collateral at any public, private or judicial foreclosure upon such Collateral initiated by any First Lien Representative, any First Lien Collateral Agent or any other First Lien Claimholder, or any sale of Collateral during an Insolvency or Liquidation Proceeding; </w:t>
      </w:r>
      <w:r>
        <w:rPr>
          <w:rFonts w:ascii="Times New Roman" w:hAnsi="Times New Roman"/>
          <w:sz w:val="20"/>
          <w:u w:val="single"/>
        </w:rPr>
        <w:t>provided</w:t>
      </w:r>
      <w:r>
        <w:rPr>
          <w:rFonts w:ascii="Times New Roman" w:hAnsi="Times New Roman"/>
          <w:sz w:val="20"/>
        </w:rPr>
        <w:t xml:space="preserve"> that such bid may not include a “credit bid” in respect of any Second Lien Obligations unless the cash proceeds of such bid are otherwise sufficient to, and are applied to, cause the Discharge of First Lien Obligations; and </w:t>
      </w:r>
    </w:p>
    <w:p>
      <w:pPr>
        <w:pStyle w:val="TextBody"/>
        <w:bidi w:val="0"/>
        <w:spacing w:before="120" w:after="0"/>
        <w:jc w:val="left"/>
        <w:rPr>
          <w:rFonts w:ascii="Times New Roman" w:hAnsi="Times New Roman"/>
          <w:sz w:val="20"/>
        </w:rPr>
      </w:pPr>
      <w:r>
        <w:rPr>
          <w:rFonts w:ascii="Times New Roman" w:hAnsi="Times New Roman"/>
          <w:sz w:val="20"/>
        </w:rPr>
        <w:t xml:space="preserve">(7) exercise rights and remedies as unsecured creditors against the Company and any other Grantor in accordance with applicable law (so long as such rights and remedies do not violate and are not otherwise inconsistent with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Second Lien Representative and each Second Lien Collateral Agent, on behalf of itself and each other Second Lien Claimholder represented by it, agrees that it will not take or receive any Collateral or any proceeds of Collateral in connection with the exercise of any right or remedy (including set-oﬀ and recoupment) with respect to any Collateral in its capacity as a creditor, unless and until the Discharge of First Lien Obligations has occurred, except in connection with any foreclosure expressly permitted by </w:t>
      </w:r>
      <w:r>
        <w:rPr>
          <w:rFonts w:ascii="Times New Roman" w:hAnsi="Times New Roman"/>
          <w:sz w:val="20"/>
          <w:u w:val="single"/>
        </w:rPr>
        <w:t>Section 3.1(a)(1)</w:t>
      </w:r>
      <w:r>
        <w:rPr>
          <w:rFonts w:ascii="Times New Roman" w:hAnsi="Times New Roman"/>
          <w:sz w:val="20"/>
        </w:rPr>
        <w:t xml:space="preserve"> to the extent such Second Lien Representative or such Second Lien Collateral Agent and Second Lien Claimholders represented by it are permitted to retain the proceeds thereof in accordance with </w:t>
      </w:r>
      <w:r>
        <w:rPr>
          <w:rFonts w:ascii="Times New Roman" w:hAnsi="Times New Roman"/>
          <w:sz w:val="20"/>
          <w:u w:val="single"/>
        </w:rPr>
        <w:t>Section 4.2</w:t>
      </w:r>
      <w:r>
        <w:rPr>
          <w:rFonts w:ascii="Times New Roman" w:hAnsi="Times New Roman"/>
          <w:sz w:val="20"/>
        </w:rPr>
        <w:t xml:space="preserve"> of this Agreement and applicable law. Without limiting the generality of the foregoing, unless and until the Discharge of First Lien Obligations has occurred, except as expressly provided in </w:t>
      </w:r>
      <w:r>
        <w:rPr>
          <w:rFonts w:ascii="Times New Roman" w:hAnsi="Times New Roman"/>
          <w:sz w:val="20"/>
          <w:u w:val="single"/>
        </w:rPr>
        <w:t>Sections 3.1(a)</w:t>
      </w:r>
      <w:r>
        <w:rPr>
          <w:rFonts w:ascii="Times New Roman" w:hAnsi="Times New Roman"/>
          <w:sz w:val="20"/>
        </w:rPr>
        <w:t xml:space="preserve"> and this </w:t>
      </w:r>
      <w:r>
        <w:rPr>
          <w:rFonts w:ascii="Times New Roman" w:hAnsi="Times New Roman"/>
          <w:sz w:val="20"/>
          <w:u w:val="single"/>
        </w:rPr>
        <w:t>Section 3.1(c)</w:t>
      </w:r>
      <w:r>
        <w:rPr>
          <w:rFonts w:ascii="Times New Roman" w:hAnsi="Times New Roman"/>
          <w:sz w:val="20"/>
        </w:rPr>
        <w:t xml:space="preserve">, the sole right of the Second Lien Representatives, the Second Lien Collateral Agents and the other Second Lien Claimholders with respect to the Collateral is to hold a Lien on the Collateral pursuant to the Second Lien Collateral Documents for the period and to the extent granted therein and to receive a share of the proceeds thereof, if any, after the Discharge of First Lien Obligations has occurred. </w:t>
      </w:r>
    </w:p>
    <w:p>
      <w:pPr>
        <w:pStyle w:val="TextBody"/>
        <w:bidi w:val="0"/>
        <w:spacing w:before="120" w:after="0"/>
        <w:jc w:val="left"/>
        <w:rPr>
          <w:rFonts w:ascii="Times New Roman" w:hAnsi="Times New Roman"/>
          <w:sz w:val="20"/>
        </w:rPr>
      </w:pPr>
      <w:r>
        <w:rPr>
          <w:rFonts w:ascii="Times New Roman" w:hAnsi="Times New Roman"/>
          <w:sz w:val="20"/>
        </w:rPr>
        <w:t xml:space="preserve">(d) Subject to </w:t>
      </w:r>
      <w:r>
        <w:rPr>
          <w:rFonts w:ascii="Times New Roman" w:hAnsi="Times New Roman"/>
          <w:sz w:val="20"/>
          <w:u w:val="single"/>
        </w:rPr>
        <w:t>Sections 3.1(a)</w:t>
      </w:r>
      <w:r>
        <w:rPr>
          <w:rFonts w:ascii="Times New Roman" w:hAnsi="Times New Roman"/>
          <w:sz w:val="20"/>
        </w:rPr>
        <w:t xml:space="preserve"> and </w:t>
      </w:r>
      <w:r>
        <w:rPr>
          <w:rFonts w:ascii="Times New Roman" w:hAnsi="Times New Roman"/>
          <w:sz w:val="20"/>
          <w:u w:val="single"/>
        </w:rPr>
        <w:t>3.1(c)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(1) each Second Lien Representative and each Second Lien Collateral Agent, for itself and on behalf of each other Second Lien Claimholder represented by it, agrees that such Second Lien Representative or such Second Lien Collateral Agent and such Second Lien Claimholders represented by it will not take any action that would hinder any exercise of remedies under the First Lien Loan Documents or is otherwise prohibited hereunder, including any sale, lease, exchange, transfer or other disposition of the Collateral, whether by foreclosure or otherwise; </w:t>
      </w:r>
    </w:p>
    <w:p>
      <w:pPr>
        <w:pStyle w:val="TextBody"/>
        <w:bidi w:val="0"/>
        <w:spacing w:before="120" w:after="0"/>
        <w:jc w:val="left"/>
        <w:rPr>
          <w:rFonts w:ascii="Times New Roman" w:hAnsi="Times New Roman"/>
          <w:sz w:val="20"/>
        </w:rPr>
      </w:pPr>
      <w:r>
        <w:rPr>
          <w:rFonts w:ascii="Times New Roman" w:hAnsi="Times New Roman"/>
          <w:sz w:val="20"/>
        </w:rPr>
        <w:t xml:space="preserve">(2) each Second Lien Representative and each Second Lien Collateral Agent, for itself and on behalf of each other Second Lien Claimholder represented by it, hereby waives any and all rights such Second Lien Representative or such Second Lien Collateral Agent and such Second Lien Claimholders represented by it may have as a junior lien creditor or otherwise to object to the manner in which any First Lien Representative, any First Lien Collateral Agent or any other First Lien Claimholder seeks to enforce or collect the First Lien Obligations or Liens securing the First Lien Obligations granted in any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First Lien Collateral undertaken in accordance with this Agreement, regardless of whether any action or failure to act by or on behalf of any First Lien Representative, any First Lien Collateral Agent or any other First Lien Claimholder is adverse to the interest of any Second Lien Claimholder; and </w:t>
      </w:r>
    </w:p>
    <w:p>
      <w:pPr>
        <w:pStyle w:val="TextBody"/>
        <w:bidi w:val="0"/>
        <w:spacing w:before="120" w:after="0"/>
        <w:jc w:val="left"/>
        <w:rPr>
          <w:rFonts w:ascii="Times New Roman" w:hAnsi="Times New Roman"/>
          <w:sz w:val="20"/>
        </w:rPr>
      </w:pPr>
      <w:r>
        <w:rPr>
          <w:rFonts w:ascii="Times New Roman" w:hAnsi="Times New Roman"/>
          <w:sz w:val="20"/>
        </w:rPr>
        <w:t xml:space="preserve">(3) each Second Lien Representative and each Second Lien Collateral Agent, for itself and on behalf of each other Second Lien Claimholder represented by it, hereby acknowledges and agrees that no covenant, agreement or restriction contained in any Second Lien Debt Document (other than this Agreement) shall be deemed to restrict in any way the rights and remedies of any First Lien Representative, any First Lien Collateral Agent or any other First Lien Claimholder with respect to the Collateral as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(e) The Second Lien Representatives, the Second Lien Collateral Agents and the other Second Lien Claimholders may exercise rights and remedies as unsecured creditors against the Company or any other Grantor that has guaranteed or granted Liens to secure the Second Lien Obligations in accordance with the terms of the Second Lien Debt Documents and applicable law (other than initiating or joining in an involuntary case or proceeding under any Insolvency or Liquidation Proceeding with respect to any Grantor); </w:t>
      </w:r>
      <w:r>
        <w:rPr>
          <w:rFonts w:ascii="Times New Roman" w:hAnsi="Times New Roman"/>
          <w:sz w:val="20"/>
          <w:u w:val="single"/>
        </w:rPr>
        <w:t>provided</w:t>
      </w:r>
      <w:r>
        <w:rPr>
          <w:rFonts w:ascii="Times New Roman" w:hAnsi="Times New Roman"/>
          <w:sz w:val="20"/>
        </w:rPr>
        <w:t xml:space="preserve"> that in the event that any Second Lien Claimholder becomes a judgment Lien creditor in respect of Collateral as a result of its enforcement of its rights as an unsecured creditor with respect to the Second Lien Obligations, such judgment Lien shall be subject to the terms of this Agreement for all purposes (including in relation to the First Lien Obligations) in the same manner as the other Liens securing the Second Lien Obligations are subject to this Agreement. </w:t>
      </w:r>
    </w:p>
    <w:p>
      <w:pPr>
        <w:pStyle w:val="TextBody"/>
        <w:bidi w:val="0"/>
        <w:spacing w:before="120" w:after="0"/>
        <w:jc w:val="left"/>
        <w:rPr>
          <w:rFonts w:ascii="Times New Roman" w:hAnsi="Times New Roman"/>
          <w:sz w:val="20"/>
        </w:rPr>
      </w:pPr>
      <w:r>
        <w:rPr>
          <w:rFonts w:ascii="Times New Roman" w:hAnsi="Times New Roman"/>
          <w:sz w:val="20"/>
          <w:u w:val="single"/>
        </w:rPr>
        <w:t>(f)</w:t>
      </w:r>
      <w:r>
        <w:rPr>
          <w:rFonts w:ascii="Times New Roman" w:hAnsi="Times New Roman"/>
          <w:sz w:val="20"/>
        </w:rPr>
        <w:t xml:space="preserve"> Except as specifically set forth in </w:t>
      </w:r>
      <w:r>
        <w:rPr>
          <w:rFonts w:ascii="Times New Roman" w:hAnsi="Times New Roman"/>
          <w:sz w:val="20"/>
          <w:u w:val="single"/>
        </w:rPr>
        <w:t>Sections 3.1(a)</w:t>
      </w:r>
      <w:r>
        <w:rPr>
          <w:rFonts w:ascii="Times New Roman" w:hAnsi="Times New Roman"/>
          <w:sz w:val="20"/>
        </w:rPr>
        <w:t xml:space="preserve"> and </w:t>
      </w:r>
      <w:r>
        <w:rPr>
          <w:rFonts w:ascii="Times New Roman" w:hAnsi="Times New Roman"/>
          <w:sz w:val="20"/>
          <w:u w:val="single"/>
        </w:rPr>
        <w:t>3.1(b)</w:t>
      </w:r>
      <w:r>
        <w:rPr>
          <w:rFonts w:ascii="Times New Roman" w:hAnsi="Times New Roman"/>
          <w:sz w:val="20"/>
        </w:rPr>
        <w:t xml:space="preserve">, nothing in this Agreement shall prohibit the receipt by any Second Lien Representative, any Second Lien Collateral Agent or any other Second Lien Claimholder of the Permitted Subordinated Indebtedness Payments owed in respect of the Second Lien Obligations so long as such receipt is not the direct or indirect result of the exercise by any Second Lien Representative, any Second Lien Collateral Agent or any other Second Lien Claimholder of rights or remedies as a secured creditor (including set-oﬀ and recoupment) or enforcement in contravention of this Agreement of any Lien held by any of them in respect of the Collateral or as a result of any other violation by any Second Lien Claimholder of the express terms of this Agreement; </w:t>
      </w:r>
      <w:r>
        <w:rPr>
          <w:rFonts w:ascii="Times New Roman" w:hAnsi="Times New Roman"/>
          <w:i/>
          <w:sz w:val="20"/>
        </w:rPr>
        <w:t>provided</w:t>
      </w:r>
      <w:r>
        <w:rPr>
          <w:rFonts w:ascii="Times New Roman" w:hAnsi="Times New Roman"/>
          <w:sz w:val="20"/>
        </w:rPr>
        <w:t xml:space="preserve"> that upon commencement of any Insolvency or Liquidation Proceeding any payments with respect to the Second Lien Obligations will not be made. Nothing in this Agreement impairs or otherwise adversely aﬀects any rights or remedies any First Lien Representative, any First Lien Collateral Agent or any other First Lien Claimholder may have with respect to the First Lien Collateral. </w:t>
      </w:r>
    </w:p>
    <w:p>
      <w:pPr>
        <w:pStyle w:val="TextBody"/>
        <w:bidi w:val="0"/>
        <w:spacing w:before="240" w:after="0"/>
        <w:jc w:val="left"/>
        <w:rPr>
          <w:rFonts w:ascii="Times New Roman" w:hAnsi="Times New Roman"/>
          <w:sz w:val="20"/>
        </w:rPr>
      </w:pPr>
      <w:bookmarkStart w:id="18" w:name="ex10_3toc60690_12"/>
      <w:bookmarkEnd w:id="18"/>
      <w:r>
        <w:rPr>
          <w:rFonts w:ascii="Times New Roman" w:hAnsi="Times New Roman"/>
          <w:sz w:val="20"/>
        </w:rPr>
        <w:t>3.2 </w:t>
      </w:r>
      <w:r>
        <w:rPr>
          <w:rFonts w:ascii="Times New Roman" w:hAnsi="Times New Roman"/>
          <w:sz w:val="20"/>
          <w:u w:val="single"/>
        </w:rPr>
        <w:t>Specific Performance.</w:t>
      </w:r>
      <w:r>
        <w:rPr>
          <w:rFonts w:ascii="Times New Roman" w:hAnsi="Times New Roman"/>
          <w:sz w:val="20"/>
        </w:rPr>
        <w:t xml:space="preserve"> If any Second Lien Claimholder, in contravention of the terms of this Agreement, in any way takes, attempts to or threatens to take any action with respect to the Collateral (including any attempt to realize upon or enforce any remedy with respect to this Agreement), or fails to take any action required by this Agreement, this Agreement shall create an irrebuttable presumption and admission by such Second Lien Claimholder that relief against such Second Lien Claimholder by injunction, specific performance and/or other appropriate equitable relief is necessary to prevent irreparable harm to the First Lien Claimholders, it being understood and agreed by the Second Lien Collateral Agent on behalf of each Second Lien Claimholder that (i) the First Lien Claimholder’s damages from actions of any Second Lien Claimholder may at that time be difficult to ascertain and may be irreparable, and (ii) each Second Lien Claimholder waives any defense that the Grantors and/or the First Lien Claimholders cannot demonstrate damage and/or be made whole by the awarding of damages. Each of the First Lien Representatives and/or First Lien Collateral Agents may demand specific performance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Second Lien Representative and each Second Lien Collateral Agent, on behalf of itself and each other Second Lien Claimholder represented by it, hereby irrevocably waives any defense based on the adequacy of a remedy at law and any other defense which might be asserted to bar the remedy of specific performance in any action which may be brought by any First Lien Representative, any First Lien Collateral Agent or any other First Lien Claimholder. No provision of this Agreement shall constitute or be deemed to constitute a waiver by any First Lien Representative or any First Lien Collateral Agent on behalf of itself and each other First Lien Claimholder represented by it of any right to seek damages from any Person in connection with any breach or alleged breach of this Agreement. </w:t>
      </w:r>
    </w:p>
    <w:p>
      <w:pPr>
        <w:pStyle w:val="TextBody"/>
        <w:bidi w:val="0"/>
        <w:spacing w:before="360" w:after="0"/>
        <w:jc w:val="left"/>
        <w:rPr>
          <w:rFonts w:ascii="Times New Roman" w:hAnsi="Times New Roman"/>
          <w:b/>
          <w:sz w:val="20"/>
        </w:rPr>
      </w:pPr>
      <w:bookmarkStart w:id="19" w:name="ex10_3toc60690_13"/>
      <w:bookmarkEnd w:id="19"/>
      <w:r>
        <w:rPr>
          <w:rFonts w:ascii="Times New Roman" w:hAnsi="Times New Roman"/>
          <w:b/>
          <w:sz w:val="20"/>
        </w:rPr>
        <w:t>Section 4. </w:t>
      </w:r>
      <w:r>
        <w:rPr>
          <w:rFonts w:ascii="Times New Roman" w:hAnsi="Times New Roman"/>
          <w:b/>
          <w:sz w:val="20"/>
          <w:u w:val="single"/>
        </w:rPr>
        <w:t>Payments.</w:t>
      </w:r>
      <w:r>
        <w:rPr>
          <w:rFonts w:ascii="Times New Roman" w:hAnsi="Times New Roman"/>
          <w:b/>
          <w:sz w:val="20"/>
        </w:rPr>
        <w:t xml:space="preserve"> </w:t>
      </w:r>
    </w:p>
    <w:p>
      <w:pPr>
        <w:pStyle w:val="TextBody"/>
        <w:bidi w:val="0"/>
        <w:spacing w:before="120" w:after="0"/>
        <w:jc w:val="left"/>
        <w:rPr>
          <w:rFonts w:ascii="Times New Roman" w:hAnsi="Times New Roman"/>
          <w:sz w:val="20"/>
        </w:rPr>
      </w:pPr>
      <w:bookmarkStart w:id="20" w:name="ex10_3toc60690_14"/>
      <w:bookmarkEnd w:id="20"/>
      <w:r>
        <w:rPr>
          <w:rFonts w:ascii="Times New Roman" w:hAnsi="Times New Roman"/>
          <w:sz w:val="20"/>
        </w:rPr>
        <w:t>4.1 </w:t>
      </w:r>
      <w:r>
        <w:rPr>
          <w:rFonts w:ascii="Times New Roman" w:hAnsi="Times New Roman"/>
          <w:sz w:val="20"/>
          <w:u w:val="single"/>
        </w:rPr>
        <w:t>Application of Proceeds</w:t>
      </w:r>
      <w:r>
        <w:rPr>
          <w:rFonts w:ascii="Times New Roman" w:hAnsi="Times New Roman"/>
          <w:sz w:val="20"/>
        </w:rPr>
        <w:t xml:space="preserve">. So long as the Discharge of First Lien Obligations has not occurred, whether or not any Insolvency or Liquidation Proceeding has been commenced by or against the Company or any other Grantor, any Collateral or any proceeds thereof and any insurance proceeds to be distributed pursuant to </w:t>
      </w:r>
      <w:r>
        <w:rPr>
          <w:rFonts w:ascii="Times New Roman" w:hAnsi="Times New Roman"/>
          <w:sz w:val="20"/>
          <w:u w:val="single"/>
        </w:rPr>
        <w:t>Section 5.2</w:t>
      </w:r>
      <w:r>
        <w:rPr>
          <w:rFonts w:ascii="Times New Roman" w:hAnsi="Times New Roman"/>
          <w:sz w:val="20"/>
        </w:rPr>
        <w:t xml:space="preserve"> received in connection with any Enforcement Action or other exercise of remedies by any First Lien Representative, any First Lien Collateral Agent or any First Lien Claimholder shall be applied as follows: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all amounts due and payable to each of the First Lien Collateral Agent, the other First Lien Collateral Agents, the First Lien Representatives, Second Lien Collateral Agent, the other Second Lien Collateral Agents and Second Lien Representatives, in their respective capacities as such, in connection with performing their respective obligations under any First Lien Loan Documents or Second Lien Debt Documents, as applicable (including, but not limited to, indemnification obligations arising under the intercreditor agreement or any First Lien Loan Documents or Second Lien Debt Documents, as applicable, that are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SECOND, by the Designated First Lien Collateral Agent and the other First Lien Collateral Agents or the First Lien Representatives, as applicable, to the First Lien Obligations in such order as specified in the relevant First Lien Loan Documents and, if then in eﬀect, the First Lien Pari Passu Intercreditor Agreement, until a Discharge of First Lien Obligations; </w:t>
      </w:r>
      <w:r>
        <w:rPr>
          <w:rFonts w:ascii="Times New Roman" w:hAnsi="Times New Roman"/>
          <w:sz w:val="20"/>
          <w:u w:val="single"/>
        </w:rPr>
        <w:t>provided</w:t>
      </w:r>
      <w:r>
        <w:rPr>
          <w:rFonts w:ascii="Times New Roman" w:hAnsi="Times New Roman"/>
          <w:sz w:val="20"/>
        </w:rPr>
        <w:t xml:space="preserve">, that any non-cash Collateral or non-cash proceeds may be held by the applicable First Lien Collateral Agent as Collateral unless the failure to apply such amounts would be commercially unreasonable; </w:t>
      </w:r>
    </w:p>
    <w:p>
      <w:pPr>
        <w:pStyle w:val="TextBody"/>
        <w:bidi w:val="0"/>
        <w:spacing w:before="240" w:after="0"/>
        <w:jc w:val="left"/>
        <w:rPr>
          <w:rFonts w:ascii="Times New Roman" w:hAnsi="Times New Roman"/>
          <w:sz w:val="20"/>
        </w:rPr>
      </w:pPr>
      <w:r>
        <w:rPr>
          <w:rFonts w:ascii="Times New Roman" w:hAnsi="Times New Roman"/>
          <w:sz w:val="20"/>
        </w:rPr>
        <w:t xml:space="preserve">THIRD, by the Designated Second Lien Collateral Agent and the other Second Lien Collateral Agents or the Second Lien Representatives, as applicable, to the applicable Second Lien Obligations in such order as specified in the applicable Second Lien Collateral Documents and, if then in eﬀect, the Second Lien Pari Passu Intercreditor Agreement, until a Discharge of Second Lien Obligations; and </w:t>
      </w:r>
    </w:p>
    <w:p>
      <w:pPr>
        <w:pStyle w:val="TextBody"/>
        <w:bidi w:val="0"/>
        <w:spacing w:before="240" w:after="0"/>
        <w:jc w:val="left"/>
        <w:rPr>
          <w:rFonts w:ascii="Times New Roman" w:hAnsi="Times New Roman"/>
          <w:sz w:val="20"/>
        </w:rPr>
      </w:pPr>
      <w:r>
        <w:rPr>
          <w:rFonts w:ascii="Times New Roman" w:hAnsi="Times New Roman"/>
          <w:sz w:val="20"/>
        </w:rPr>
        <w:t xml:space="preserve">FOURTH, to the Grantors, their successors or assigns from time to time, or to whomever may be lawfully entitled to receive the same. </w:t>
      </w:r>
    </w:p>
    <w:p>
      <w:pPr>
        <w:pStyle w:val="TextBody"/>
        <w:bidi w:val="0"/>
        <w:spacing w:before="240" w:after="0"/>
        <w:jc w:val="left"/>
        <w:rPr>
          <w:rFonts w:ascii="Times New Roman" w:hAnsi="Times New Roman"/>
          <w:sz w:val="20"/>
        </w:rPr>
      </w:pPr>
      <w:bookmarkStart w:id="21" w:name="ex10_3toc60690_15"/>
      <w:bookmarkEnd w:id="21"/>
      <w:r>
        <w:rPr>
          <w:rFonts w:ascii="Times New Roman" w:hAnsi="Times New Roman"/>
          <w:sz w:val="20"/>
        </w:rPr>
        <w:t>4.2 </w:t>
      </w:r>
      <w:r>
        <w:rPr>
          <w:rFonts w:ascii="Times New Roman" w:hAnsi="Times New Roman"/>
          <w:sz w:val="20"/>
          <w:u w:val="single"/>
        </w:rPr>
        <w:t>Payments Over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(a) So long as the Discharge of First Lien Obligations has not occurred, whether or not any Insolvency or Liquidation Proceeding has been commenced by or against the Company or any other Grantor, any Collateral or any proceeds thereof (including assets or proceeds subject to Liens referred to in the second to last paragraph of </w:t>
      </w:r>
      <w:r>
        <w:rPr>
          <w:rFonts w:ascii="Times New Roman" w:hAnsi="Times New Roman"/>
          <w:sz w:val="20"/>
          <w:u w:val="single"/>
        </w:rPr>
        <w:t>Section 2.3</w:t>
      </w:r>
      <w:r>
        <w:rPr>
          <w:rFonts w:ascii="Times New Roman" w:hAnsi="Times New Roman"/>
          <w:sz w:val="20"/>
        </w:rPr>
        <w:t xml:space="preserve"> and any assets or proceeds subject to Liens that have been avoided or otherwise invalidated) or other distributions on account of the Second Lien Obligations or any payment or distribution of any kind or character, whether in cash, property or securities on account of the Second Lien Obligations (other than Permitted Subordinated Indebtedness Payments as permitted herein) received by any Second Lien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Representative, Second Lien Collateral Agent or any other Second Lien Claimholder in connection with any Enforcement Action or other exercise of any right or remedy relating to the Collateral, less any reasonable out-of-pocket expenses incurred in connection with such Enforcement Action, in all cases shall be segregated and held in trust and forthwith paid over to the Designated First Lien Collateral Agent for the benefit of the First Lien Claimholders in the same form as received, with any necessary endorsements (which endorsements shall be without recourse and without any representations or warranties) or as a court of competent jurisdiction may otherwise direct. The Designated First Lien Collateral Agent is hereby authorized to make any such endorsements as agent for the Second Lien Representatives, Second Lien Collateral Agents or any such other Second Lien Claimholder. This authorization is coupled with an interest and is irrevocable until the Discharge of First Lien Obligations. </w:t>
      </w:r>
    </w:p>
    <w:p>
      <w:pPr>
        <w:pStyle w:val="TextBody"/>
        <w:bidi w:val="0"/>
        <w:spacing w:before="120" w:after="0"/>
        <w:jc w:val="left"/>
        <w:rPr>
          <w:rFonts w:ascii="Times New Roman" w:hAnsi="Times New Roman"/>
          <w:sz w:val="20"/>
        </w:rPr>
      </w:pPr>
      <w:r>
        <w:rPr>
          <w:rFonts w:ascii="Times New Roman" w:hAnsi="Times New Roman"/>
          <w:sz w:val="20"/>
        </w:rPr>
        <w:t xml:space="preserve">(b) So long as the Discharge of First Lien Obligations has not occurred, whether or not any Insolvency or Liquidation Proceeding has been commenced by or against the Company or any other Grantor, if any Second Lien Representative, any Second Lien Collateral Agent or any other Second Lien Claimholder shall receive any distribution of money or other property in respect of the Collateral or proceeds thereof (including any assets or proceeds subject to Liens referred to in the second to last paragraph of </w:t>
      </w:r>
      <w:r>
        <w:rPr>
          <w:rFonts w:ascii="Times New Roman" w:hAnsi="Times New Roman"/>
          <w:sz w:val="20"/>
          <w:u w:val="single"/>
        </w:rPr>
        <w:t>Section 2.3</w:t>
      </w:r>
      <w:r>
        <w:rPr>
          <w:rFonts w:ascii="Times New Roman" w:hAnsi="Times New Roman"/>
          <w:sz w:val="20"/>
        </w:rPr>
        <w:t xml:space="preserve"> and assets or proceeds subject to Liens that have been avoided or otherwise invalidated) such money or other property shall be segregated and held in trust and forthwith paid over to the Designated First Lien Collateral Agent for the benefit of the First Lien Claimholders in the same form as received, with any necessary endorsements (which endorsements shall be without recourse and without any representations or warranties). The Designated First Lien Collateral Agent is hereby authorized to make any such endorsements as agent for the Second Lien Representatives, the Second Lien Collateral Agents or any such other Second Lien Claimholder. This authorization is coupled with an interest and is irrevocable until the Discharge of First Lien Obligations. </w:t>
      </w:r>
    </w:p>
    <w:p>
      <w:pPr>
        <w:pStyle w:val="TextBody"/>
        <w:bidi w:val="0"/>
        <w:spacing w:before="360" w:after="0"/>
        <w:jc w:val="left"/>
        <w:rPr>
          <w:rFonts w:ascii="Times New Roman" w:hAnsi="Times New Roman"/>
          <w:b/>
          <w:sz w:val="20"/>
        </w:rPr>
      </w:pPr>
      <w:bookmarkStart w:id="22" w:name="ex10_3toc60690_16"/>
      <w:bookmarkEnd w:id="22"/>
      <w:r>
        <w:rPr>
          <w:rFonts w:ascii="Times New Roman" w:hAnsi="Times New Roman"/>
          <w:b/>
          <w:sz w:val="20"/>
        </w:rPr>
        <w:t>Section 5. </w:t>
      </w:r>
      <w:r>
        <w:rPr>
          <w:rFonts w:ascii="Times New Roman" w:hAnsi="Times New Roman"/>
          <w:b/>
          <w:sz w:val="20"/>
          <w:u w:val="single"/>
        </w:rPr>
        <w:t>Other Agreements</w:t>
      </w:r>
      <w:r>
        <w:rPr>
          <w:rFonts w:ascii="Times New Roman" w:hAnsi="Times New Roman"/>
          <w:b/>
          <w:sz w:val="20"/>
        </w:rPr>
        <w:t xml:space="preserve">. </w:t>
      </w:r>
    </w:p>
    <w:p>
      <w:pPr>
        <w:pStyle w:val="TextBody"/>
        <w:bidi w:val="0"/>
        <w:spacing w:before="120" w:after="0"/>
        <w:jc w:val="left"/>
        <w:rPr>
          <w:rFonts w:ascii="Times New Roman" w:hAnsi="Times New Roman"/>
          <w:sz w:val="20"/>
        </w:rPr>
      </w:pPr>
      <w:bookmarkStart w:id="23" w:name="ex10_3toc60690_17"/>
      <w:bookmarkEnd w:id="23"/>
      <w:r>
        <w:rPr>
          <w:rFonts w:ascii="Times New Roman" w:hAnsi="Times New Roman"/>
          <w:sz w:val="20"/>
        </w:rPr>
        <w:t>5.1 </w:t>
      </w:r>
      <w:r>
        <w:rPr>
          <w:rFonts w:ascii="Times New Roman" w:hAnsi="Times New Roman"/>
          <w:sz w:val="20"/>
          <w:u w:val="single"/>
        </w:rPr>
        <w:t>Releases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in connection with any Enforcement Action by any First Lien Representative or any First Lien Collateral Agent or any other exercise of any First Lien Representative’s or any First Lien Collateral Agent’s remedies in respect of the Collateral, in each case prior to the Discharge of First Lien Obligations, such First Lien Collateral Agent, for itself or on behalf of any of the First Lien Claimholders represented by it, releases any of its Liens on any part of the Collateral or such First Lien Representative, for itself or on behalf of any of the First Lien Claimholders represented by it, releases any Grantor from its obligations under its guaranty of the First Lien Obligations, then the Liens, if any, of each Second Lien Collateral Agent, for itself or for the benefit of the Second Lien Claimholders, on such Collateral, and the obligations of such Grantor under its guaranty of the Second Lien Obligations, shall be automatically, unconditionally and simultaneously released. If in connection with any Enforcement Action or other exercise of rights and remedies by any First Lien Representative or any First Lien Collateral Agent, in each case prior to the Discharge of First Lien Obligations, the equity interests of any Person are foreclosed upon or otherwise disposed of and such First Lien Collateral Agent releases its Lien on the property or assets of such Person then the Liens of each Second Lien Collateral Agent with respect to the property or assets of such Person will be automatically released to the same extent as the Liens of such First Lien Collateral Agent. Each Second Lien Representative and each Second Lien Collateral Agent, for itself or on behalf of any Second Lien Claimholder represented by it, shall promptly execute and deliver to the First Lien Representatives, First Lien Collateral Agents or such Grantor such termination statements, releases and other documents as any First Lien Representative, First Lien Collateral Agent or such Grantor may request to effectively confirm the foregoing releases.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(b) If in connection with any sale, lease, exchange, transfer or other disposition of any Collateral by any Grantor (collectively, a “</w:t>
      </w:r>
      <w:r>
        <w:rPr>
          <w:rFonts w:ascii="Times New Roman" w:hAnsi="Times New Roman"/>
          <w:b/>
          <w:sz w:val="20"/>
        </w:rPr>
        <w:t>Disposition</w:t>
      </w:r>
      <w:r>
        <w:rPr>
          <w:rFonts w:ascii="Times New Roman" w:hAnsi="Times New Roman"/>
          <w:sz w:val="20"/>
        </w:rPr>
        <w:t xml:space="preserve">”) permitted under the terms of the First Lien Loan Documents and the terms of the Second Lien Debt Documents (other than in connection with an Enforcement Action or other exercise of any First Lien Representative’s and/or First Lien Collateral Agent’s remedies in respect of the Collateral, which shall be governed by </w:t>
      </w:r>
      <w:r>
        <w:rPr>
          <w:rFonts w:ascii="Times New Roman" w:hAnsi="Times New Roman"/>
          <w:sz w:val="20"/>
          <w:u w:val="single"/>
        </w:rPr>
        <w:t>Section 5.1(a)</w:t>
      </w:r>
      <w:r>
        <w:rPr>
          <w:rFonts w:ascii="Times New Roman" w:hAnsi="Times New Roman"/>
          <w:sz w:val="20"/>
        </w:rPr>
        <w:t xml:space="preserve">), any First Lien Collateral Agent, for itself or on behalf of any First Lien Claimholder represented by it, releases any of its Liens on any part of the Collateral, or any First Lien Representative, for itself or on behalf of any First Lien Claimholder represented by it, releases any Grantor from its obligations under its guaranty of the First Lien Obligations, in each case other than in connection with, or following, the Discharge of First Lien Obligations or after the occurrence and during the continuance of any Event of Default under (and as defined in) any Second Lien Debt Document, then the Liens, if any, of each Second Lien Collateral Agent, for itself or for the benefit of the Second Lien Claimholders represented by it, on such Collateral, and the obligations of such Grantor under its guaranty of the Second Lien Obligations, shall be automatically, unconditionally and simultaneously released. Each Second Lien Representative and each Second Lien Collateral Agent, for itself and on behalf of each other Second Lien Claimholder represented by it, shall promptly execute and deliver to the First Lien Representatives, the First Lien Collateral Agents or such Grantor such termination statements, releases and other documents as any First Lien Representative, First Lien Collateral Agent or such Grantor may request to effectively confirm such release. </w:t>
      </w:r>
    </w:p>
    <w:p>
      <w:pPr>
        <w:pStyle w:val="TextBody"/>
        <w:bidi w:val="0"/>
        <w:spacing w:before="120" w:after="0"/>
        <w:jc w:val="left"/>
        <w:rPr>
          <w:rFonts w:ascii="Times New Roman" w:hAnsi="Times New Roman"/>
          <w:sz w:val="20"/>
        </w:rPr>
      </w:pPr>
      <w:r>
        <w:rPr>
          <w:rFonts w:ascii="Times New Roman" w:hAnsi="Times New Roman"/>
          <w:sz w:val="20"/>
        </w:rPr>
        <w:t xml:space="preserve">(c) Until the Discharge of First Lien Obligations occurs, each Second Lien Representative and each Second Lien Collateral Agent, for itself and on behalf of each other Second Lien Claimholder represented by it, hereby irrevocably constitutes and appoints the Designated First Lien Collateral Agent and any oﬃcer or agent of the Designated First Lien Collateral Agent, with full power of substitution, as its true and lawful attorney-in-fact with full irrevocable power and authority in the place and stead of such Second Lien Representative, such Second Lien Collateral Agent and such Second Lien Claimholders or in the Designated First Lien Collateral Agent’s own name, from time to time in the Designated First Lien Collateral Agent’s discretion, for the purpose of carrying out the terms of this </w:t>
      </w:r>
      <w:r>
        <w:rPr>
          <w:rFonts w:ascii="Times New Roman" w:hAnsi="Times New Roman"/>
          <w:sz w:val="20"/>
          <w:u w:val="single"/>
        </w:rPr>
        <w:t>Section 5.1</w:t>
      </w:r>
      <w:r>
        <w:rPr>
          <w:rFonts w:ascii="Times New Roman" w:hAnsi="Times New Roman"/>
          <w:sz w:val="20"/>
        </w:rPr>
        <w:t xml:space="preserve">, to take any and all appropriate action and to execute any and all documents and instruments which may be necessary to accomplish the purposes of this </w:t>
      </w:r>
      <w:r>
        <w:rPr>
          <w:rFonts w:ascii="Times New Roman" w:hAnsi="Times New Roman"/>
          <w:sz w:val="20"/>
          <w:u w:val="single"/>
        </w:rPr>
        <w:t>Section 5.1</w:t>
      </w:r>
      <w:r>
        <w:rPr>
          <w:rFonts w:ascii="Times New Roman" w:hAnsi="Times New Roman"/>
          <w:sz w:val="20"/>
        </w:rPr>
        <w:t xml:space="preserve">, including any endorsements or other instruments of transfer or release. This power is coupled with an interest and is irrevocable until the Discharge of First Lien Obligations. Without limiting the foregoing, the Designated First Lien Collateral Agent or any agent or designee thereof is hereby authorized to execute any documents necessary or appropriate to release the Liens of any Second Lien Collateral Agent on any certificate of title in accordance with this </w:t>
      </w:r>
      <w:r>
        <w:rPr>
          <w:rFonts w:ascii="Times New Roman" w:hAnsi="Times New Roman"/>
          <w:sz w:val="20"/>
          <w:u w:val="single"/>
        </w:rPr>
        <w:t>Section 5.1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(d) Until the Discharge of First Lien Obligations occurs, to the extent that any First Lien Collateral Agent, any First Lien Representative or any First Lien Claimholder has released any Lien on Collateral or any Grantor from its obligation under its guarantee and any such Liens or guarantee are later reinstated or obtains any new Liens or additional guarantees, then each Second Lien Collateral Agent, for itself and for the Second Lien Claimholders represented by it, shall be granted a Lien on any such Collateral (except to the extent such Lien represents a Second Lien Declined Lien with respect to the Second Lien Debt represented by such Second Lien Collateral Agent or secures First Lien Obligations consisting of reimbursement obligations in respect of letters of credit to the extent provided in </w:t>
      </w:r>
      <w:r>
        <w:rPr>
          <w:rFonts w:ascii="Times New Roman" w:hAnsi="Times New Roman"/>
          <w:sz w:val="20"/>
          <w:u w:val="single"/>
        </w:rPr>
        <w:t>Section 2.3</w:t>
      </w:r>
      <w:r>
        <w:rPr>
          <w:rFonts w:ascii="Times New Roman" w:hAnsi="Times New Roman"/>
          <w:sz w:val="20"/>
        </w:rPr>
        <w:t xml:space="preserve">), subject to this Agreement, and each Second Lien Representative, for itself and for the Second Lien Claimholders represented by it, shall be granted an additional guarantee,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24" w:name="ex10_3toc60690_18"/>
      <w:bookmarkEnd w:id="24"/>
      <w:r>
        <w:rPr>
          <w:rFonts w:ascii="Times New Roman" w:hAnsi="Times New Roman"/>
          <w:sz w:val="20"/>
        </w:rPr>
        <w:t>5.2 </w:t>
      </w:r>
      <w:r>
        <w:rPr>
          <w:rFonts w:ascii="Times New Roman" w:hAnsi="Times New Roman"/>
          <w:sz w:val="20"/>
          <w:u w:val="single"/>
        </w:rPr>
        <w:t>Insurance</w:t>
      </w:r>
      <w:r>
        <w:rPr>
          <w:rFonts w:ascii="Times New Roman" w:hAnsi="Times New Roman"/>
          <w:sz w:val="20"/>
        </w:rPr>
        <w:t xml:space="preserve">. Unless and until the Discharge of First Lien Obligations has occurred, and subject to the rights of the Grantors under the First Lien Loan Documents, all proceeds of any such policy and any such award (or any payments with respect to a deed in lieu of condemnation) if in respect of the Collateral shall be paid to the First Lien Collateral Agent for the benefit of the First Lien Claimholders pursuant to the terms of the First Lien Loan Documents (including for purposes of cash collateralization of letters of credit) and thereafter, if a Discharge of First Lien Obligations has occurred, subject to the rights of the Grantors under the Second Lien Debt Documents, the balance of such proceeds shall be paid to the Second Lien Collateral Agent for the benefit of the Second Lien Claimholders to the extent required under the Second Lien Debt Documents and then, if a Discharge of Second Lien Obligations has occurred, any remaining balance shall be paid to the First Lien Collateral Agent for application to the prepayment of any excess First Lien Obligations and, then, after the payment in full in cash of all excess First Lien Obligations, any remaining balance shall be paid to the Second Lien Collateral Agent for application to the prepayment of any excess Second Lien Obligations, and thereafter, any remaining balance shall be paid to the Grantors, their successors or assigns from time to time, or to whomever may be lawfully entitled to receive the same. Until the Discharge of First Lien Obligations has occurred, if the Second Lien Collateral Agent or any other Second Lien Claimholder shall, at any time, receive any proceeds of any such insurance policy or any such award or payment in contravention of this Agreement, then it shall segregate and hold in trust and forthwith pay such proceeds over to the First Lien Collateral Agent in accordance with the terms of </w:t>
      </w:r>
      <w:r>
        <w:rPr>
          <w:rFonts w:ascii="Times New Roman" w:hAnsi="Times New Roman"/>
          <w:sz w:val="20"/>
          <w:u w:val="single"/>
        </w:rPr>
        <w:t>Section 4.2</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5" w:name="ex10_3toc60690_19"/>
      <w:bookmarkEnd w:id="25"/>
      <w:r>
        <w:rPr>
          <w:rFonts w:ascii="Times New Roman" w:hAnsi="Times New Roman"/>
          <w:sz w:val="20"/>
        </w:rPr>
        <w:t>5.3 </w:t>
      </w:r>
      <w:r>
        <w:rPr>
          <w:rFonts w:ascii="Times New Roman" w:hAnsi="Times New Roman"/>
          <w:sz w:val="20"/>
          <w:u w:val="single"/>
        </w:rPr>
        <w:t>Amendments to First Lien Loan Documents and Second Lien Debt Documents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First Lien Loan Documents of any Series may be amended, restated, amended and restated, supplemented or otherwise modified from time to time in accordance with their terms and the First Lien Debt of any Series may be Refinanced subject to </w:t>
      </w:r>
      <w:r>
        <w:rPr>
          <w:rFonts w:ascii="Times New Roman" w:hAnsi="Times New Roman"/>
          <w:sz w:val="20"/>
          <w:u w:val="single"/>
        </w:rPr>
        <w:t>Section 8.7</w:t>
      </w:r>
      <w:r>
        <w:rPr>
          <w:rFonts w:ascii="Times New Roman" w:hAnsi="Times New Roman"/>
          <w:sz w:val="20"/>
        </w:rPr>
        <w:t xml:space="preserve"> without notice to, or the consent of, any Second Lien Representative, any Second Lien Collateral Agent or any other Second Lien Claimholder, all without aﬀecting the lien and payment subordination or other provisions of this Agreement; </w:t>
      </w:r>
      <w:r>
        <w:rPr>
          <w:rFonts w:ascii="Times New Roman" w:hAnsi="Times New Roman"/>
          <w:sz w:val="20"/>
          <w:u w:val="single"/>
        </w:rPr>
        <w:t>provided</w:t>
      </w:r>
      <w:r>
        <w:rPr>
          <w:rFonts w:ascii="Times New Roman" w:hAnsi="Times New Roman"/>
          <w:sz w:val="20"/>
        </w:rPr>
        <w:t xml:space="preserve"> that any such amendment, restatement, supplement, modification or Refinancing is not materially adverse to the rights and remedies of any Second Lien Representative, any Second Lien Collateral Agent or any other Second Lien Claimholder or inconsistent with the terms of this Agreement and, in the case of a Refinancing, the holders of such Refinancing debt (directly or through their agent) bind themselves in a writing addressed to each Second Lien Collateral Agent to the terms of this Agreement. Each First Lien Collateral Agent and First Lien Representative may rely on a certificate of the Company stating that such amendment, restatement, supplement or other modification does not contravene any provision of this Agreement or the Second Lien Debt Document as then in effect; </w:t>
      </w:r>
      <w:r>
        <w:rPr>
          <w:rFonts w:ascii="Times New Roman" w:hAnsi="Times New Roman"/>
          <w:sz w:val="20"/>
          <w:u w:val="single"/>
        </w:rPr>
        <w:t>provided,</w:t>
      </w:r>
      <w:r>
        <w:rPr>
          <w:rFonts w:ascii="Times New Roman" w:hAnsi="Times New Roman"/>
          <w:sz w:val="20"/>
        </w:rPr>
        <w:t xml:space="preserve"> further, that any such amendment, restatement, supplement, extension, modification or Refinancing shall not, without the consent of the Second Lien Collateral Agent: </w:t>
      </w:r>
    </w:p>
    <w:p>
      <w:pPr>
        <w:pStyle w:val="TextBody"/>
        <w:bidi w:val="0"/>
        <w:spacing w:before="120" w:after="0"/>
        <w:jc w:val="left"/>
        <w:rPr>
          <w:rFonts w:ascii="Times New Roman" w:hAnsi="Times New Roman"/>
          <w:sz w:val="20"/>
        </w:rPr>
      </w:pPr>
      <w:r>
        <w:rPr>
          <w:rFonts w:ascii="Times New Roman" w:hAnsi="Times New Roman"/>
          <w:sz w:val="20"/>
        </w:rPr>
        <w:t xml:space="preserve">(1) increase the then-outstanding aggregate principal amount of the Indebtedness outstanding under all First Lien Loan Documents (including, if any, any undrawn portion of any commitment under the First Lien Loan Documents) to an amount in excess of the First Lien Cap Amount (plus any DIP Financing, subject to the DIP Conditions). </w:t>
      </w:r>
    </w:p>
    <w:p>
      <w:pPr>
        <w:pStyle w:val="TextBody"/>
        <w:bidi w:val="0"/>
        <w:spacing w:before="120" w:after="0"/>
        <w:jc w:val="left"/>
        <w:rPr>
          <w:rFonts w:ascii="Times New Roman" w:hAnsi="Times New Roman"/>
          <w:sz w:val="20"/>
        </w:rPr>
      </w:pPr>
      <w:r>
        <w:rPr>
          <w:rFonts w:ascii="Times New Roman" w:hAnsi="Times New Roman"/>
          <w:sz w:val="20"/>
        </w:rPr>
        <w:t xml:space="preserve">(b) The Second Lien Debt Documents may be amended, restated, amended and restated, supplemented or otherwise modified from time to time in accordance with their terms and the Second Lien Debt of any Series may be Refinanced subject to </w:t>
      </w:r>
      <w:r>
        <w:rPr>
          <w:rFonts w:ascii="Times New Roman" w:hAnsi="Times New Roman"/>
          <w:sz w:val="20"/>
          <w:u w:val="single"/>
        </w:rPr>
        <w:t>Section 8.7</w:t>
      </w:r>
      <w:r>
        <w:rPr>
          <w:rFonts w:ascii="Times New Roman" w:hAnsi="Times New Roman"/>
          <w:sz w:val="20"/>
        </w:rPr>
        <w:t xml:space="preserve"> without notice to, or the consent of, any First Lien Representative, any First Lien Collateral Agent or any other First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Lien Claimholder, all without aﬀecting the lien and payment subordination or other provisions of this Agreement; </w:t>
      </w:r>
      <w:r>
        <w:rPr>
          <w:rFonts w:ascii="Times New Roman" w:hAnsi="Times New Roman"/>
          <w:sz w:val="20"/>
          <w:u w:val="single"/>
        </w:rPr>
        <w:t>provided</w:t>
      </w:r>
      <w:r>
        <w:rPr>
          <w:rFonts w:ascii="Times New Roman" w:hAnsi="Times New Roman"/>
          <w:sz w:val="20"/>
        </w:rPr>
        <w:t xml:space="preserve"> that any such amendment, restatement, supplement, modification or Refinancing is not materially adverse to the rights and remedies of any First Lien Representative, any First Lien Collateral Agent or any other First Lien Claimholder or inconsistent with the terms of this Agreement and, in the case of any Refinancing, the holders of such Refinancing debt (directly or through their agent) bind themselves in a writing addressed to each First Lien Collateral Agent to the terms of this Agreement. Each Second Lien Collateral Agent and Second Lien Representative may rely on a certificate of the Company stating that such amendment, restatement, supplement or other modification does not contravene any provision of this Agreement or any First Lien Loan Document as then in effect; </w:t>
      </w:r>
      <w:r>
        <w:rPr>
          <w:rFonts w:ascii="Times New Roman" w:hAnsi="Times New Roman"/>
          <w:sz w:val="20"/>
          <w:u w:val="single"/>
        </w:rPr>
        <w:t>provided,</w:t>
      </w:r>
      <w:r>
        <w:rPr>
          <w:rFonts w:ascii="Times New Roman" w:hAnsi="Times New Roman"/>
          <w:sz w:val="20"/>
        </w:rPr>
        <w:t xml:space="preserve"> further, that any such amendment, restatement, supplement, extension, modification or Refinancing shall not, without the consent of the First Lien Collateral Agent: </w:t>
      </w:r>
    </w:p>
    <w:p>
      <w:pPr>
        <w:pStyle w:val="TextBody"/>
        <w:bidi w:val="0"/>
        <w:spacing w:before="120" w:after="0"/>
        <w:jc w:val="left"/>
        <w:rPr>
          <w:rFonts w:ascii="Times New Roman" w:hAnsi="Times New Roman"/>
          <w:sz w:val="20"/>
        </w:rPr>
      </w:pPr>
      <w:r>
        <w:rPr>
          <w:rFonts w:ascii="Times New Roman" w:hAnsi="Times New Roman"/>
          <w:sz w:val="20"/>
        </w:rPr>
        <w:t xml:space="preserve">(1) increase the then-outstanding aggregate principal amount of the Indebtedness outstanding under all Second Lien Debt Documents (including, if any, any undrawn portion of any commitment under the Second Lien Debt Documents) to an amount in excess of the Second Lien Cap Amount; </w:t>
      </w:r>
    </w:p>
    <w:p>
      <w:pPr>
        <w:pStyle w:val="TextBody"/>
        <w:bidi w:val="0"/>
        <w:spacing w:before="120" w:after="0"/>
        <w:jc w:val="left"/>
        <w:rPr>
          <w:rFonts w:ascii="Times New Roman" w:hAnsi="Times New Roman"/>
          <w:sz w:val="20"/>
        </w:rPr>
      </w:pPr>
      <w:r>
        <w:rPr>
          <w:rFonts w:ascii="Times New Roman" w:hAnsi="Times New Roman"/>
          <w:sz w:val="20"/>
        </w:rPr>
        <w:t xml:space="preserve">(2) accelerate any date upon which a scheduled payment of principal or interest is due, or otherwise decrease the weighted average life to maturity; or </w:t>
      </w:r>
    </w:p>
    <w:p>
      <w:pPr>
        <w:pStyle w:val="TextBody"/>
        <w:bidi w:val="0"/>
        <w:spacing w:before="120" w:after="0"/>
        <w:jc w:val="left"/>
        <w:rPr>
          <w:rFonts w:ascii="Times New Roman" w:hAnsi="Times New Roman"/>
          <w:sz w:val="20"/>
        </w:rPr>
      </w:pPr>
      <w:r>
        <w:rPr>
          <w:rFonts w:ascii="Times New Roman" w:hAnsi="Times New Roman"/>
          <w:sz w:val="20"/>
        </w:rPr>
        <w:t xml:space="preserve">(3) modify (or undertake any action having the effect of a modification of) the mandatory prepayment provisions of the Second Lien Debt Document in a manner materially adverse to the First Lien Claimholders. </w:t>
      </w:r>
    </w:p>
    <w:p>
      <w:pPr>
        <w:pStyle w:val="TextBody"/>
        <w:bidi w:val="0"/>
        <w:spacing w:before="240" w:after="0"/>
        <w:jc w:val="left"/>
        <w:rPr>
          <w:rFonts w:ascii="Times New Roman" w:hAnsi="Times New Roman"/>
          <w:sz w:val="20"/>
        </w:rPr>
      </w:pPr>
      <w:bookmarkStart w:id="26" w:name="ex10_3toc60690_20"/>
      <w:bookmarkEnd w:id="26"/>
      <w:r>
        <w:rPr>
          <w:rFonts w:ascii="Times New Roman" w:hAnsi="Times New Roman"/>
          <w:sz w:val="20"/>
        </w:rPr>
        <w:t>5.4 </w:t>
      </w:r>
      <w:r>
        <w:rPr>
          <w:rFonts w:ascii="Times New Roman" w:hAnsi="Times New Roman"/>
          <w:sz w:val="20"/>
          <w:u w:val="single"/>
        </w:rPr>
        <w:t>Confirmation of Subordination in Second Lien Collateral Documents</w:t>
      </w:r>
      <w:r>
        <w:rPr>
          <w:rFonts w:ascii="Times New Roman" w:hAnsi="Times New Roman"/>
          <w:sz w:val="20"/>
        </w:rPr>
        <w:t xml:space="preserve">. The Company and each Second Lien Representative, Second Lien Collateral Agent and other Second Lien Claimholder agrees that each Second Lien Collateral Document (other than UCC financing statements) shall include the following language (or language to similar eﬀect approved by the Designated First Lien Collateral Agent (such approval not to be unreasonably withheld, conditioned or delayed)): </w:t>
      </w:r>
    </w:p>
    <w:p>
      <w:pPr>
        <w:pStyle w:val="TextBody"/>
        <w:bidi w:val="0"/>
        <w:spacing w:before="120" w:after="0"/>
        <w:jc w:val="left"/>
        <w:rPr/>
      </w:pPr>
      <w:r>
        <w:rPr/>
        <w:t>“</w:t>
      </w:r>
      <w:r>
        <w:rPr>
          <w:rFonts w:ascii="Times New Roman" w:hAnsi="Times New Roman"/>
          <w:sz w:val="20"/>
        </w:rPr>
        <w:t>Notwithstanding anything herein to the contrary, the lien and security interest granted to the Collateral Agent pursuant to this Agreement and the exercise of any right or remedy by the Collateral Agent hereunder are subject to the provisions of the Intercreditor Agreement, dated as of October 15, 2025 (as amended, restated, amended and restated, supplemented or otherwise modified from time to time, the “</w:t>
      </w:r>
      <w:r>
        <w:rPr>
          <w:rFonts w:ascii="Times New Roman" w:hAnsi="Times New Roman"/>
          <w:b/>
          <w:sz w:val="20"/>
        </w:rPr>
        <w:t>Intercreditor Agreement</w:t>
      </w:r>
      <w:r>
        <w:rPr>
          <w:rFonts w:ascii="Times New Roman" w:hAnsi="Times New Roman"/>
          <w:sz w:val="20"/>
        </w:rPr>
        <w:t xml:space="preserve">”), among Unprocessed Foods, LLC, as First Lien Representative and First Lien Collateral Agent, Wilmington Trust, National Association, as Initial Second Lien Representative and Initial Second Lien Collateral Agent, and certain other persons party or that may become party thereto from time to time. In the event of any conflict between the terms of the Intercreditor Agreement and this Agreement, the terms of the Intercreditor Agreement shall govern and control.”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and each Second Lien Representative, Second Lien Collateral Agent and other Second Lien Claimholder agrees that each Second Lien Mortgage, if any, covering any Collateral shall contain such other language as the Designated First Lien Collateral Agent may reasonably request to reflect the lien and payment subordination of such Second Lien Mortgage to the First Lien Collateral Documents covering such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27" w:name="ex10_3toc60690_21"/>
      <w:bookmarkEnd w:id="27"/>
      <w:r>
        <w:rPr>
          <w:rFonts w:ascii="Times New Roman" w:hAnsi="Times New Roman"/>
          <w:sz w:val="20"/>
        </w:rPr>
        <w:t>5.5 </w:t>
      </w:r>
      <w:r>
        <w:rPr>
          <w:rFonts w:ascii="Times New Roman" w:hAnsi="Times New Roman"/>
          <w:sz w:val="20"/>
          <w:u w:val="single"/>
        </w:rPr>
        <w:t>Gratuitous Bailee/Agent for Perfection; Control Agent for Perfection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First Lien Collateral Agent agrees to hold that part of the Collateral that is in its possession or control (or in the possession or control of its agents or bailees), to the extent that possession or control thereof is taken to perfect a Lien thereon under the UCC (such Collateral being the “</w:t>
      </w:r>
      <w:r>
        <w:rPr>
          <w:rFonts w:ascii="Times New Roman" w:hAnsi="Times New Roman"/>
          <w:b/>
          <w:sz w:val="20"/>
        </w:rPr>
        <w:t>Pledged Collateral</w:t>
      </w:r>
      <w:r>
        <w:rPr>
          <w:rFonts w:ascii="Times New Roman" w:hAnsi="Times New Roman"/>
          <w:sz w:val="20"/>
        </w:rPr>
        <w:t xml:space="preserve">”), as collateral agent for the First Lien Claimholders and as gratuitous bailee for the Second Lien Collateral Agents (such bailment being intended, among other things, to satisfy the requirements of Sections 8-106(d)(3), 8-301(a)(2) and 9-313(c) of the UCC) and any assignee thereof solely for the purpose of perfecting the security interest granted under the First Lien Loan Documents and the Second Lien Debt Documents, respectively, subject to the terms and conditions of this </w:t>
      </w:r>
      <w:r>
        <w:rPr>
          <w:rFonts w:ascii="Times New Roman" w:hAnsi="Times New Roman"/>
          <w:sz w:val="20"/>
          <w:u w:val="single"/>
        </w:rPr>
        <w:t>Section 5.5</w:t>
      </w:r>
      <w:r>
        <w:rPr>
          <w:rFonts w:ascii="Times New Roman" w:hAnsi="Times New Roman"/>
          <w:sz w:val="20"/>
        </w:rPr>
        <w:t xml:space="preserve">. Solely with respect to any deposit accounts, securities accounts or commodity accounts under the control (within the meaning of (x) Section 9-104 of the UCC as such term relates to deposit accounts, (y) Section 8-106 of the UCC as such term relates to securities accounts and (z) Section 9-106 of the UCC as such term relates to commodity accounts) of any First Lien Collateral Agent, such First Lien Collateral Agent agrees to also hold control over such accounts as gratuitous agent for the Second Lien Collateral Agents, subject to the terms and conditions of this </w:t>
      </w:r>
      <w:r>
        <w:rPr>
          <w:rFonts w:ascii="Times New Roman" w:hAnsi="Times New Roman"/>
          <w:sz w:val="20"/>
          <w:u w:val="single"/>
        </w:rPr>
        <w:t>Section 5.5</w:t>
      </w:r>
      <w:r>
        <w:rPr>
          <w:rFonts w:ascii="Times New Roman" w:hAnsi="Times New Roman"/>
          <w:sz w:val="20"/>
        </w:rPr>
        <w:t xml:space="preserve">. If any First Lien Collateral Agent shall at any time obtain any landlord waiver or bailee’s letter or any similar agreement or arrangement granting it rights or access to any Collateral, such First Lien Collateral Agent shall also take such actions with respect to such landlord waiver, bailee’s letter or similar agreement or arrangement, as sub-agent or gratuitous bailee for the Second Lien Collateral Agents, subject to the terms and conditions of this </w:t>
      </w:r>
      <w:r>
        <w:rPr>
          <w:rFonts w:ascii="Times New Roman" w:hAnsi="Times New Roman"/>
          <w:sz w:val="20"/>
          <w:u w:val="single"/>
        </w:rPr>
        <w:t>Section 5.5</w:t>
      </w:r>
      <w:r>
        <w:rPr>
          <w:rFonts w:ascii="Times New Roman" w:hAnsi="Times New Roman"/>
          <w:sz w:val="20"/>
        </w:rPr>
        <w:t xml:space="preserve">. Prior to a Discharge of First Lien Obligations, at the request of the Designated First Lien Collateral Agent, each Second Lien Collateral Agent shall turn over possession of any Pledged Collateral in possession of such Second Lien Collateral Agent to the Designated First Lien Collateral Agent. </w:t>
      </w:r>
    </w:p>
    <w:p>
      <w:pPr>
        <w:pStyle w:val="TextBody"/>
        <w:bidi w:val="0"/>
        <w:spacing w:before="120" w:after="0"/>
        <w:jc w:val="left"/>
        <w:rPr>
          <w:rFonts w:ascii="Times New Roman" w:hAnsi="Times New Roman"/>
          <w:sz w:val="20"/>
        </w:rPr>
      </w:pPr>
      <w:r>
        <w:rPr>
          <w:rFonts w:ascii="Times New Roman" w:hAnsi="Times New Roman"/>
          <w:sz w:val="20"/>
        </w:rPr>
        <w:t xml:space="preserve">(b) No First Lien Collateral Agent shall have any obligation whatsoever to the other First Lien Claimholders, the Second Lien Representatives, the Second Lien Collateral Agents or the Second Lien Claimholders to ensure that the Pledged Collateral is genuine or owned by any of the Grantors, to perfect the security interests of the Second Lien Collateral Agents or other Second Lien Claimholders or to preserve rights or benefits of any Person except as expressly set forth in this </w:t>
      </w:r>
      <w:r>
        <w:rPr>
          <w:rFonts w:ascii="Times New Roman" w:hAnsi="Times New Roman"/>
          <w:sz w:val="20"/>
          <w:u w:val="single"/>
        </w:rPr>
        <w:t>Section 5.5</w:t>
      </w:r>
      <w:r>
        <w:rPr>
          <w:rFonts w:ascii="Times New Roman" w:hAnsi="Times New Roman"/>
          <w:sz w:val="20"/>
        </w:rPr>
        <w:t xml:space="preserve">. The duties or responsibilities of any First Lien Collateral Agent under this </w:t>
      </w:r>
      <w:r>
        <w:rPr>
          <w:rFonts w:ascii="Times New Roman" w:hAnsi="Times New Roman"/>
          <w:sz w:val="20"/>
          <w:u w:val="single"/>
        </w:rPr>
        <w:t>Section 5.5</w:t>
      </w:r>
      <w:r>
        <w:rPr>
          <w:rFonts w:ascii="Times New Roman" w:hAnsi="Times New Roman"/>
          <w:sz w:val="20"/>
        </w:rPr>
        <w:t xml:space="preserve"> shall be limited solely to holding the Pledged Collateral or taking actions with respect to any Collateral as gratuitous bailee and, with respect to deposit accounts, securities accounts or commodity accounts, gratuitous agent, in accordance with this </w:t>
      </w:r>
      <w:r>
        <w:rPr>
          <w:rFonts w:ascii="Times New Roman" w:hAnsi="Times New Roman"/>
          <w:sz w:val="20"/>
          <w:u w:val="single"/>
        </w:rPr>
        <w:t>Section 5.5</w:t>
      </w:r>
      <w:r>
        <w:rPr>
          <w:rFonts w:ascii="Times New Roman" w:hAnsi="Times New Roman"/>
          <w:sz w:val="20"/>
        </w:rPr>
        <w:t xml:space="preserve"> and delivering the Pledged Collateral upon a Discharge of First Lien Obligations as provided in </w:t>
      </w:r>
      <w:r>
        <w:rPr>
          <w:rFonts w:ascii="Times New Roman" w:hAnsi="Times New Roman"/>
          <w:sz w:val="20"/>
          <w:u w:val="single"/>
        </w:rPr>
        <w:t>Section 5.5(d)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(c) No First Lien Collateral Agent or any other First Lien Claimholder shall have by reason of the First Lien Collateral Documents, the Second Lien Collateral Documents, this Agreement or any other document a fiduciary relationship in respect of any Second Lien Representative or any other Second Lien Claimholder and the Second Lien Representatives, the Second Lien Collateral Agents and the Second Lien Claimholders hereby waive and release the First Lien Collateral Agents and the other First Lien Claimholders from all claims and liabilities arising pursuant to any First Lien Collateral Agent’s role under this </w:t>
      </w:r>
      <w:r>
        <w:rPr>
          <w:rFonts w:ascii="Times New Roman" w:hAnsi="Times New Roman"/>
          <w:sz w:val="20"/>
          <w:u w:val="single"/>
        </w:rPr>
        <w:t>Section 5.5</w:t>
      </w:r>
      <w:r>
        <w:rPr>
          <w:rFonts w:ascii="Times New Roman" w:hAnsi="Times New Roman"/>
          <w:sz w:val="20"/>
        </w:rPr>
        <w:t xml:space="preserve"> as gratuitous bailee and gratuitous agent with respect to the Pledged Collateral. It is understood and agreed that the interests of the First Lien Collateral Agents and the other First Lien Claimholders, on the one hand, and the Second Lien Representatives, the Second Lien Collateral Agents and the other Second Lien Claimholders on the other hand, may diﬀer and the First Lien Collateral Agents and the other First Lien Claimholders shall be fully entitled to act in their own interest without taking into account the interests of the Second Lien Representatives, the Second Lien Collateral Agents or other Second Lien Claimholders.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(d) So long as this Agreement is in eﬀect, Pledged Collateral in the possession of any Collateral Agent or any Representative shall be delivered to the Designated First Lien Collateral Agent or the Designated Second Lien Collateral Agent, as applicable, together with any necessary endorsements (which endorsements shall be without recourse and without any representation or warranty), in the following manner: </w:t>
      </w:r>
    </w:p>
    <w:p>
      <w:pPr>
        <w:pStyle w:val="TextBody"/>
        <w:bidi w:val="0"/>
        <w:spacing w:before="120" w:after="0"/>
        <w:jc w:val="left"/>
        <w:rPr>
          <w:rFonts w:ascii="Times New Roman" w:hAnsi="Times New Roman"/>
          <w:sz w:val="20"/>
        </w:rPr>
      </w:pPr>
      <w:r>
        <w:rPr>
          <w:rFonts w:ascii="Times New Roman" w:hAnsi="Times New Roman"/>
          <w:sz w:val="20"/>
        </w:rPr>
        <w:t xml:space="preserve">(1) to the Designated First Lien Collateral Agent until a Discharge of First Lien Obligations has occurred, and thereafter, </w:t>
      </w:r>
    </w:p>
    <w:p>
      <w:pPr>
        <w:pStyle w:val="TextBody"/>
        <w:bidi w:val="0"/>
        <w:spacing w:before="120" w:after="0"/>
        <w:jc w:val="left"/>
        <w:rPr>
          <w:rFonts w:ascii="Times New Roman" w:hAnsi="Times New Roman"/>
          <w:sz w:val="20"/>
        </w:rPr>
      </w:pPr>
      <w:r>
        <w:rPr>
          <w:rFonts w:ascii="Times New Roman" w:hAnsi="Times New Roman"/>
          <w:sz w:val="20"/>
        </w:rPr>
        <w:t xml:space="preserve">(2) to the Designated Second Lien Collateral Agent until a Discharge of Second Lien Obligations has occurred, and thereafter, </w:t>
      </w:r>
    </w:p>
    <w:p>
      <w:pPr>
        <w:pStyle w:val="TextBody"/>
        <w:bidi w:val="0"/>
        <w:spacing w:before="120" w:after="0"/>
        <w:jc w:val="left"/>
        <w:rPr>
          <w:rFonts w:ascii="Times New Roman" w:hAnsi="Times New Roman"/>
          <w:sz w:val="20"/>
        </w:rPr>
      </w:pPr>
      <w:r>
        <w:rPr>
          <w:rFonts w:ascii="Times New Roman" w:hAnsi="Times New Roman"/>
          <w:sz w:val="20"/>
        </w:rPr>
        <w:t xml:space="preserve">(3) to the Company or to whomever may be lawfully entitled to receive the same.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Discharge of First Lien Obligations, each First Lien Collateral Agent further agrees to take all other action reasonably requested by any Second Lien Collateral Agent at the expense of the Company in connection with the Second Lien Collateral Agents obtaining a first-priority security interest in the Collateral. </w:t>
      </w:r>
    </w:p>
    <w:p>
      <w:pPr>
        <w:pStyle w:val="TextBody"/>
        <w:bidi w:val="0"/>
        <w:spacing w:before="120" w:after="0"/>
        <w:jc w:val="left"/>
        <w:rPr>
          <w:rFonts w:ascii="Times New Roman" w:hAnsi="Times New Roman"/>
          <w:sz w:val="20"/>
        </w:rPr>
      </w:pPr>
      <w:r>
        <w:rPr>
          <w:rFonts w:ascii="Times New Roman" w:hAnsi="Times New Roman"/>
          <w:sz w:val="20"/>
        </w:rPr>
        <w:t>(e) Each First Lien Representative and each First Lien Collateral Agent, for itself and on behalf of each other First Lien Claimholder represented by it, and each Second Lien Representative and each Second Lien Collateral Agent, for itself and on behalf of each other Second Lien Claimholder represented by it, each hereby appoint Unprocessed Foods, LLC, in its capacity as Designated First Lien Collateral Agent, as its collateral agent (in such capacity, together with any successor in such capacity appointed by the First Lien Representatives, First Lien Collateral Agents, Second Lien Representatives and Second Lien Collateral Agents, the “</w:t>
      </w:r>
      <w:r>
        <w:rPr>
          <w:rFonts w:ascii="Times New Roman" w:hAnsi="Times New Roman"/>
          <w:b/>
          <w:sz w:val="20"/>
        </w:rPr>
        <w:t>Control Agent</w:t>
      </w:r>
      <w:r>
        <w:rPr>
          <w:rFonts w:ascii="Times New Roman" w:hAnsi="Times New Roman"/>
          <w:sz w:val="20"/>
        </w:rPr>
        <w:t xml:space="preserve">”) for the limited purpose of acting as the control agent on behalf of each First Lien Representative, each First Lien Collateral Agent and each other First Lien Claimholder and on behalf of each Second Lien Representative, each Second Lien Collateral Agent and each other Second Lien Claimholder with respect to the applicable Titled Collateral solely for purposes of perfecting the Liens of such parties on the Titled Collateral. The Control Agent accepts such appointment. Each First Lien Representative and each First Lien Collateral Agent, for itself and on behalf of each other First Lien Claimholder represented by it, and each Second Lien Representative and each Second Lien Collateral Agent, for itself and on behalf of each other Second Lien Claimholder represented by it, hereby also acknowledge and agree that any certificate of title with respect to any Titled Collateral (a security interest in which is required to be perfected under the applicable First Lien Loan Documents and Second Lien Debt Documents) may name the Control Agent as secured party and such notation shall be intended to perfect the security interest of the Control Agent, for the benefit of the First Lien Claimholders and the Second Lien Claimholders, the security interest of each First Lien Collateral Agent, for the benefit of each First Lien Claimholder represented by it, and the security interest of each Second Lien Collateral Agent, for the benefit of each Second Lien Claimholder represented by it, in such Titled Collateral. </w:t>
      </w:r>
    </w:p>
    <w:p>
      <w:pPr>
        <w:pStyle w:val="TextBody"/>
        <w:bidi w:val="0"/>
        <w:spacing w:before="120" w:after="0"/>
        <w:jc w:val="left"/>
        <w:rPr>
          <w:rFonts w:ascii="Times New Roman" w:hAnsi="Times New Roman"/>
          <w:sz w:val="20"/>
        </w:rPr>
      </w:pPr>
      <w:r>
        <w:rPr>
          <w:rFonts w:ascii="Times New Roman" w:hAnsi="Times New Roman"/>
          <w:sz w:val="20"/>
        </w:rPr>
        <w:t xml:space="preserve">(f) The Control Agent, each First Lien Representative and each First Lien Collateral Agent, for itself and on behalf of each other First Lien Claimholder represented by it, and each Second Lien Representative and each Second Lien Collateral Agent, for itself and on behalf of each other Second Lien Claimholder represented by it, each hereby agrees that the Designated First Lien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Collateral Agent shall have the sole and exclusive right and authority to give instructions to, and otherwise direct, the Control Agent in respect of the Titled Collateral until the date upon which the Discharge of First Lien Obligations shall have occurred and neither any Second Lien Representative, Second Lien Collateral Agent nor any Second Lien Claimholder will impede, hinder, delay or interfere with the exercise of such rights by the Designated First Lien Collateral Agent in any respect or take any action prohibited under any provision of this Agreement as if such Titled Collateral was not subject to a Lien in favor of the Control Agent. The Grantors hereby jointly and severally agree to pay, reimburse, indemnify and hold harmless the Control Agent to the same extent and on the same terms that the Grantors are required to do so for the First Lien Collateral Agent in accordance with Section 14.2 of the First Lien Loan Agreement. The First Lien Claimholders (other than the First Lien Representatives and the First Lien Collateral Agents) and the Second Lien Claimholders (other than the Second Lien Representatives and the Second Lien Collateral Agents) hereby severally but not jointly agree to pay, reimburse, indemnify and hold harmless the Control Agent to the same extent and on the same terms that the First Lien Claimholders are required to do so for the applicable First Lien Representatives and First Lien Collateral Agents in accordance with the applicable First Lien Loan Documents and that the Second Lien Claimholders are required to do so for the applicable Second Lien Representatives and Second Lien Collateral Agents in accordance with the applicable Second Lien Debt Documents. </w:t>
      </w:r>
    </w:p>
    <w:p>
      <w:pPr>
        <w:pStyle w:val="TextBody"/>
        <w:bidi w:val="0"/>
        <w:spacing w:before="120" w:after="0"/>
        <w:jc w:val="left"/>
        <w:rPr>
          <w:rFonts w:ascii="Times New Roman" w:hAnsi="Times New Roman"/>
          <w:sz w:val="20"/>
        </w:rPr>
      </w:pPr>
      <w:r>
        <w:rPr>
          <w:rFonts w:ascii="Times New Roman" w:hAnsi="Times New Roman"/>
          <w:sz w:val="20"/>
        </w:rPr>
        <w:t xml:space="preserve">(g) Neither the Control Agent nor any Representative shall have any obligation whatsoever to the other Representatives, to any First Lien Claimholder or to any Second Lien Claimholder to ensure that the Titled Collateral is genuine or owned by any of the Grantors, to perfect the security interests of any other Representative in the Titled Collateral or to preserve rights or benefits of any Person with respect to the Titled Collateral except as expressly set forth in this </w:t>
      </w:r>
      <w:r>
        <w:rPr>
          <w:rFonts w:ascii="Times New Roman" w:hAnsi="Times New Roman"/>
          <w:sz w:val="20"/>
          <w:u w:val="single"/>
        </w:rPr>
        <w:t>Section 5.5</w:t>
      </w:r>
      <w:r>
        <w:rPr>
          <w:rFonts w:ascii="Times New Roman" w:hAnsi="Times New Roman"/>
          <w:sz w:val="20"/>
        </w:rPr>
        <w:t xml:space="preserve">. The duties or responsibilities of the Control Agent under this </w:t>
      </w:r>
      <w:r>
        <w:rPr>
          <w:rFonts w:ascii="Times New Roman" w:hAnsi="Times New Roman"/>
          <w:sz w:val="20"/>
          <w:u w:val="single"/>
        </w:rPr>
        <w:t>Section 5.5</w:t>
      </w:r>
      <w:r>
        <w:rPr>
          <w:rFonts w:ascii="Times New Roman" w:hAnsi="Times New Roman"/>
          <w:sz w:val="20"/>
        </w:rPr>
        <w:t xml:space="preserve"> shall be limited solely to holding (either itself or through its appointment of a custodian) the Titled Collateral as control agent in accordance with this </w:t>
      </w:r>
      <w:r>
        <w:rPr>
          <w:rFonts w:ascii="Times New Roman" w:hAnsi="Times New Roman"/>
          <w:sz w:val="20"/>
          <w:u w:val="single"/>
        </w:rPr>
        <w:t>Section 5.5</w:t>
      </w:r>
      <w:r>
        <w:rPr>
          <w:rFonts w:ascii="Times New Roman" w:hAnsi="Times New Roman"/>
          <w:sz w:val="20"/>
        </w:rPr>
        <w:t xml:space="preserve"> and cooperating with the Grantors with respect to the Titled Collateral upon a Discharge of First Lien Obligations in order to effectuate the procedures set forth in </w:t>
      </w:r>
      <w:r>
        <w:rPr>
          <w:rFonts w:ascii="Times New Roman" w:hAnsi="Times New Roman"/>
          <w:sz w:val="20"/>
          <w:u w:val="single"/>
        </w:rPr>
        <w:t>Section 5.5(i)</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(h) The Control Agent, acting in such capacity pursuant to this </w:t>
      </w:r>
      <w:r>
        <w:rPr>
          <w:rFonts w:ascii="Times New Roman" w:hAnsi="Times New Roman"/>
          <w:sz w:val="20"/>
          <w:u w:val="single"/>
        </w:rPr>
        <w:t>Section 5.5</w:t>
      </w:r>
      <w:r>
        <w:rPr>
          <w:rFonts w:ascii="Times New Roman" w:hAnsi="Times New Roman"/>
          <w:sz w:val="20"/>
        </w:rPr>
        <w:t xml:space="preserve"> shall not have, by reason of the First Lien Collateral Documents, the Second Lien Collateral Documents, this Agreement or any other document a fiduciary relationship in respect of any First Lien Representative, any First Lien Collateral Agent, any First Lien Claimholder, any Second Lien Representative, any Second Lien Collateral Agent or any Second Lien Claimholders. </w:t>
      </w:r>
    </w:p>
    <w:p>
      <w:pPr>
        <w:pStyle w:val="TextBody"/>
        <w:bidi w:val="0"/>
        <w:spacing w:before="120" w:after="0"/>
        <w:jc w:val="left"/>
        <w:rPr>
          <w:rFonts w:ascii="Times New Roman" w:hAnsi="Times New Roman"/>
          <w:sz w:val="20"/>
        </w:rPr>
      </w:pPr>
      <w:r>
        <w:rPr>
          <w:rFonts w:ascii="Times New Roman" w:hAnsi="Times New Roman"/>
          <w:sz w:val="20"/>
        </w:rPr>
        <w:t xml:space="preserve">(i) Upon the Discharge of First Lien Obligations, in the event the Control Agent and the Designated Second Lien Collateral Agent are not the same entity, at the cost and expense of the Grantors, all certificates of title with respect to Titled Collateral naming the Control Agent shall be re-submitted in order to remove the Control Agent and (if any Second Lien Obligations are then outstanding) to name the Designated Second Lien Collateral Agent as secured party thereon (it being understood that the Control Agent (or its designee) shall continue to hold the security interests in the Titled Collateral granted to it pursuant to this Agreement until such titles are so amended) and in the event the Control Agent and the Designated Second Lien Collateral Agent are the same entity, the Control Agent’s interest in all entries on the certificates of title shall be automatically deemed assigned to the Designated Second Lien Collateral Agent. After the Discharge of First Lien Obligations, the Designated Second Lien Collateral Agent shall be deemed to have been appointed (and hereby accepts such appointment) as Control Agent for purposes of this </w:t>
      </w:r>
      <w:r>
        <w:rPr>
          <w:rFonts w:ascii="Times New Roman" w:hAnsi="Times New Roman"/>
          <w:sz w:val="20"/>
          <w:u w:val="single"/>
        </w:rPr>
        <w:t>Section 5.5</w:t>
      </w:r>
      <w:r>
        <w:rPr>
          <w:rFonts w:ascii="Times New Roman" w:hAnsi="Times New Roman"/>
          <w:sz w:val="20"/>
        </w:rPr>
        <w:t xml:space="preserve"> and shall act as Control Agent in accordance with this </w:t>
      </w:r>
      <w:r>
        <w:rPr>
          <w:rFonts w:ascii="Times New Roman" w:hAnsi="Times New Roman"/>
          <w:sz w:val="20"/>
          <w:u w:val="single"/>
        </w:rPr>
        <w:t>Section 5.5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(j) The Control Agent shall have an unfettered right to resign as Control Agent upon 30 days’ notice to the First Lien Representatives, the First Lien Collateral Agents, the Second Lien Representatives, the Second Lien Collateral Agents and the Grantors. If upon the eﬀective date of such resignation no successor to the Control Agent has been agreed upon and appointed by both the Designated First Lien Collateral Agent and the Designated Second Lien Collateral Agent, the Control Agent (after consulting with the Designated First Lien Collateral Agent and the Designated Second Lien Collateral Agent) may appoint its successor and shall execute (at the Grantors’ expense) any necessary documents needed to re-submit the certificates of title with respect to the Titled Collateral in order to remove the resigning Control Agent from such certificates and the Grantors hereby to cooperate with the Control Agent and such successor Control Agent in connection with such re-submissions. </w:t>
      </w:r>
    </w:p>
    <w:p>
      <w:pPr>
        <w:pStyle w:val="TextBody"/>
        <w:bidi w:val="0"/>
        <w:spacing w:before="240" w:after="0"/>
        <w:jc w:val="left"/>
        <w:rPr>
          <w:rFonts w:ascii="Times New Roman" w:hAnsi="Times New Roman"/>
          <w:sz w:val="20"/>
        </w:rPr>
      </w:pPr>
      <w:bookmarkStart w:id="28" w:name="ex10_3toc60690_22"/>
      <w:bookmarkEnd w:id="28"/>
      <w:r>
        <w:rPr>
          <w:rFonts w:ascii="Times New Roman" w:hAnsi="Times New Roman"/>
          <w:sz w:val="20"/>
        </w:rPr>
        <w:t>5.6 </w:t>
      </w:r>
      <w:r>
        <w:rPr>
          <w:rFonts w:ascii="Times New Roman" w:hAnsi="Times New Roman"/>
          <w:sz w:val="20"/>
          <w:u w:val="single"/>
        </w:rPr>
        <w:t>No Waiver of Lien Priorities</w:t>
      </w:r>
      <w:r>
        <w:rPr>
          <w:rFonts w:ascii="Times New Roman" w:hAnsi="Times New Roman"/>
          <w:sz w:val="20"/>
        </w:rPr>
        <w:t xml:space="preserve">. No right of the First Lien Claimholders, the First Lien Representatives, the First Lien Collateral Agents or any of them to enforce any provision of this Agreement shall at any time in any way be prejudiced or impaired by any act or failure to act on the part of the Company or any other Grantor or by any act or failure to act by any First Lien Claimholder, First Lien Representative or First Lien Collateral Agent, or by any noncompliance by any Person with the terms, provisions and covenants of this Agreement, any of the First Lien Loan Documents or any of the Second Lien Debt Documents, regardless of any knowledge thereof which any First Lien Representative, First Lien Collateral Agent or any First Lien Claimholder, or any of them, may have or be otherwise charged with. </w:t>
      </w:r>
    </w:p>
    <w:p>
      <w:pPr>
        <w:pStyle w:val="TextBody"/>
        <w:bidi w:val="0"/>
        <w:spacing w:before="240" w:after="0"/>
        <w:jc w:val="left"/>
        <w:rPr>
          <w:rFonts w:ascii="Times New Roman" w:hAnsi="Times New Roman"/>
          <w:sz w:val="20"/>
        </w:rPr>
      </w:pPr>
      <w:bookmarkStart w:id="29" w:name="ex10_3toc60690_23"/>
      <w:bookmarkEnd w:id="29"/>
      <w:r>
        <w:rPr>
          <w:rFonts w:ascii="Times New Roman" w:hAnsi="Times New Roman"/>
          <w:sz w:val="20"/>
        </w:rPr>
        <w:t>5.7 </w:t>
      </w:r>
      <w:r>
        <w:rPr>
          <w:rFonts w:ascii="Times New Roman" w:hAnsi="Times New Roman"/>
          <w:sz w:val="20"/>
          <w:u w:val="single"/>
        </w:rPr>
        <w:t>Purchase Right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Without prejudice to the enforcement of the First Lien Claimholders’ remedies, the First Lien Claimholders agree that following (a) the acceleration of the First Lien Obligations, (b) the acceleration of the Second Lien Obligations or (c) the commencement of an Insolvency or Liquidation Proceeding (each, a “</w:t>
      </w:r>
      <w:r>
        <w:rPr>
          <w:rFonts w:ascii="Times New Roman" w:hAnsi="Times New Roman"/>
          <w:b/>
          <w:sz w:val="20"/>
        </w:rPr>
        <w:t>Purchase Event</w:t>
      </w:r>
      <w:r>
        <w:rPr>
          <w:rFonts w:ascii="Times New Roman" w:hAnsi="Times New Roman"/>
          <w:sz w:val="20"/>
        </w:rPr>
        <w:t xml:space="preserve">”), one or more of the holders of the Second Lien Debt may request, and the First Lien Claimholders hereby oﬀer the holders of Second Lien Debt the option, to purchase all, but not less than all, of the aggregate amount of outstanding First Lien Obligations (including unfunded commitments under any First Lien Loan Document and any MOIC Amount (as defined in the First Lien Loan Agreement)) outstanding at the time of purchase at par, plus any premium that would be applicable upon prepayment of the First Lien Obligations and accrued and unpaid interest, all interest accrued thereon after the commencement of any Insolvency or Liquidation Proceeding, at the applicable post-default rate and all accrued and unpaid fees, expenses and other amounts (including attorneys’ fees and expenses (including breakage costs)), without warranty or representation or recourse (except for representations and warranties required to be made by assigning lenders pursuant to customary assignment documentation). If such right is exercised, the First Lien Claimholders and the holders of Second Lien Debt shall endeavor to close promptly thereafter but in any event within ten (10) Business Days of the request. If one or more of the holders of Second Lien Debt exercise such purchase right, it shall be exercised pursuant to documentation mutually acceptable to each of the First Lien Representatives and the purchasing holders of Second Lien Debt. If none of the holders of Second Lien Debt timely exercises such right the First Lien Claimholders shall have no further obligations pursuant to this </w:t>
      </w:r>
      <w:r>
        <w:rPr>
          <w:rFonts w:ascii="Times New Roman" w:hAnsi="Times New Roman"/>
          <w:sz w:val="20"/>
          <w:u w:val="single"/>
        </w:rPr>
        <w:t>Section 5.7</w:t>
      </w:r>
      <w:r>
        <w:rPr>
          <w:rFonts w:ascii="Times New Roman" w:hAnsi="Times New Roman"/>
          <w:sz w:val="20"/>
        </w:rPr>
        <w:t xml:space="preserve"> for such Purchase Event and may take any further actions in their sole discretion in accordance with the First Lien Loan Documents and this Agreement. Each First Lien Claimholder will retain all rights to indemnification provided in the relevant First Lien Loan Document for all claims and other amounts relating to the period prior to the purchase of the First Lien Obligations pursuant to this </w:t>
      </w:r>
      <w:r>
        <w:rPr>
          <w:rFonts w:ascii="Times New Roman" w:hAnsi="Times New Roman"/>
          <w:sz w:val="20"/>
          <w:u w:val="single"/>
        </w:rPr>
        <w:t>Section 5.7</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30" w:name="ex10_3toc60690_24"/>
      <w:bookmarkEnd w:id="30"/>
      <w:r>
        <w:rPr>
          <w:rFonts w:ascii="Times New Roman" w:hAnsi="Times New Roman"/>
          <w:sz w:val="20"/>
        </w:rPr>
        <w:t>5.8 </w:t>
      </w:r>
      <w:r>
        <w:rPr>
          <w:rFonts w:ascii="Times New Roman" w:hAnsi="Times New Roman"/>
          <w:sz w:val="20"/>
          <w:u w:val="single"/>
        </w:rPr>
        <w:t>Rights as Unsecured Creditors; Rights to Certain Payments</w:t>
      </w:r>
      <w:r>
        <w:rPr>
          <w:rFonts w:ascii="Times New Roman" w:hAnsi="Times New Roman"/>
          <w:sz w:val="20"/>
        </w:rPr>
        <w:t xml:space="preserve">. Notwithstanding anything to the contrary in this Agreement and without limiting the rights of any Grantor under any Second Lien Debt Document, the Second Lien Representatives and the Second Lien Claimholders may exercise rights and remedies as unsecured creditors against the Company and any other Grantor in accordance with the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Second Lien Debt Documents and applicable law so long as such rights and remedies do not violate any express provision of this Agreement. Unless otherwise set forth in this Agreement, nothing in this Agreement shall prohibit the receipt by any Second Lien Representative or any Second Lien Claimholder of the Permitted Subordinated Indebtedness Payments due under the Second Lien Debt Documents so long as such receipt (a) prior to the Discharge of the First Lien Obligations, is not the direct or indirect result of the exercise of rights or remedies as a creditor in respect of First Lien Collateral and (b) is not in violation of this </w:t>
      </w:r>
      <w:r>
        <w:rPr>
          <w:rFonts w:ascii="Times New Roman" w:hAnsi="Times New Roman"/>
          <w:sz w:val="20"/>
          <w:u w:val="single"/>
        </w:rPr>
        <w:t>Section 5.8</w:t>
      </w:r>
      <w:r>
        <w:rPr>
          <w:rFonts w:ascii="Times New Roman" w:hAnsi="Times New Roman"/>
          <w:sz w:val="20"/>
        </w:rPr>
        <w:t xml:space="preserve">, to the extent applicable. In the event any Second Lien Representative or any Second Lien Claimholder becomes a judgment lien creditor in respect of any First Lien Collateral as a result of its enforcement of its rights as an unsecured creditor in respect of Second Lien Obligations, such judgment lien shall be subordinated to the Liens securing First Lien Obligations on the same basis as the other Liens securing the Second Lien Obligations are so subordinated to such Liens securing First Lien Obligations under this Agreement. Nothing in this Agreement shall be construed to prevent, impair or otherwise adversely affect any rights or remedies the First Lien Representatives or the First Lien Claimholders may have with respect to the First Lien Collateral or any of the First Lien Loan Documents. </w:t>
      </w:r>
    </w:p>
    <w:p>
      <w:pPr>
        <w:pStyle w:val="TextBody"/>
        <w:bidi w:val="0"/>
        <w:spacing w:before="360" w:after="0"/>
        <w:jc w:val="left"/>
        <w:rPr>
          <w:rFonts w:ascii="Times New Roman" w:hAnsi="Times New Roman"/>
          <w:b/>
          <w:sz w:val="20"/>
        </w:rPr>
      </w:pPr>
      <w:bookmarkStart w:id="31" w:name="ex10_3toc60690_25"/>
      <w:bookmarkEnd w:id="31"/>
      <w:r>
        <w:rPr>
          <w:rFonts w:ascii="Times New Roman" w:hAnsi="Times New Roman"/>
          <w:b/>
          <w:sz w:val="20"/>
        </w:rPr>
        <w:t>Section 6. </w:t>
      </w:r>
      <w:r>
        <w:rPr>
          <w:rFonts w:ascii="Times New Roman" w:hAnsi="Times New Roman"/>
          <w:b/>
          <w:sz w:val="20"/>
          <w:u w:val="single"/>
        </w:rPr>
        <w:t>Insolvency or Liquidation Proceedings.</w:t>
      </w:r>
      <w:r>
        <w:rPr>
          <w:rFonts w:ascii="Times New Roman" w:hAnsi="Times New Roman"/>
          <w:b/>
          <w:sz w:val="20"/>
        </w:rPr>
        <w:t xml:space="preserve"> </w:t>
      </w:r>
    </w:p>
    <w:p>
      <w:pPr>
        <w:pStyle w:val="TextBody"/>
        <w:bidi w:val="0"/>
        <w:spacing w:before="120" w:after="0"/>
        <w:jc w:val="left"/>
        <w:rPr>
          <w:rFonts w:ascii="Times New Roman" w:hAnsi="Times New Roman"/>
          <w:sz w:val="20"/>
        </w:rPr>
      </w:pPr>
      <w:bookmarkStart w:id="32" w:name="ex10_3toc60690_26"/>
      <w:bookmarkEnd w:id="32"/>
      <w:r>
        <w:rPr>
          <w:rFonts w:ascii="Times New Roman" w:hAnsi="Times New Roman"/>
          <w:sz w:val="20"/>
        </w:rPr>
        <w:t>6.1 </w:t>
      </w:r>
      <w:r>
        <w:rPr>
          <w:rFonts w:ascii="Times New Roman" w:hAnsi="Times New Roman"/>
          <w:sz w:val="20"/>
          <w:u w:val="single"/>
        </w:rPr>
        <w:t>Finance Matters</w:t>
      </w:r>
      <w:r>
        <w:rPr>
          <w:rFonts w:ascii="Times New Roman" w:hAnsi="Times New Roman"/>
          <w:sz w:val="20"/>
        </w:rPr>
        <w:t>. Until the Discharge of First Lien Obligations has occurred, if the Company or any other Grantor shall be subject to any Insolvency or Liquidation Proceeding and the First Lien Collateral Agent shall desire to permit the use of “Cash Collateral” (as such term is defined in Section 363(a) of the Bankruptcy Code) on which such First Lien Collateral Agent or any other creditor has a Lien, or to permit the Company or any other Grantor to obtain financing, whether from the First Lien Claimholders or any other Person under Section 364 of the Bankruptcy Code or any similar Bankruptcy Law (“</w:t>
      </w:r>
      <w:r>
        <w:rPr>
          <w:rFonts w:ascii="Times New Roman" w:hAnsi="Times New Roman"/>
          <w:b/>
          <w:sz w:val="20"/>
        </w:rPr>
        <w:t>DIP Financing</w:t>
      </w:r>
      <w:r>
        <w:rPr>
          <w:rFonts w:ascii="Times New Roman" w:hAnsi="Times New Roman"/>
          <w:sz w:val="20"/>
        </w:rPr>
        <w:t xml:space="preserve">”), then the Second Lien Collateral Agent agrees, subject to the DIP Conditions, on behalf of itself and each other Second Lien Claimholder, (a) will not object to such Cash Collateral use or DIP Financing (including any proposed orders for such Cash Collateral use and/or DIP Financing which are acceptable to the First Lien Collateral Agent), (b) will subordinate its Liens in the Collateral to the Liens securing such DIP Financing (and all Obligations relating thereto) to the extent the Liens securing the First Lien Obligations are subordinated to or pari passu with such DIP Financing and (c) will not request adequate protection or any other relief in connection therewith (except, as expressly agreed by the First Lien Collateral Agent or to the extent permitted by </w:t>
      </w:r>
      <w:r>
        <w:rPr>
          <w:rFonts w:ascii="Times New Roman" w:hAnsi="Times New Roman"/>
          <w:sz w:val="20"/>
          <w:u w:val="single"/>
        </w:rPr>
        <w:t>Section 6.3</w:t>
      </w:r>
      <w:r>
        <w:rPr>
          <w:rFonts w:ascii="Times New Roman" w:hAnsi="Times New Roman"/>
          <w:sz w:val="20"/>
        </w:rPr>
        <w:t xml:space="preserve">). No Second Lien Claimholder may provide DIP Financing to the Company or any other Grantor secured by Liens equal or senior in priority to the Liens securing any First Lien Obligations; provided, that if no First Lien Claimholder offers to provide DIP Financing acceptable to the Company to the extent permitted under this </w:t>
      </w:r>
      <w:r>
        <w:rPr>
          <w:rFonts w:ascii="Times New Roman" w:hAnsi="Times New Roman"/>
          <w:sz w:val="20"/>
          <w:u w:val="single"/>
        </w:rPr>
        <w:t>Section 6.1</w:t>
      </w:r>
      <w:r>
        <w:rPr>
          <w:rFonts w:ascii="Times New Roman" w:hAnsi="Times New Roman"/>
          <w:sz w:val="20"/>
        </w:rPr>
        <w:t xml:space="preserve"> on or before the petition date, then a Second Lien Claimholder may seek to provide such DIP Financing secured by Liens pari passu or senior in priority to the claims securing any First Lien Obligations, subject to consent of the First Lien Claimholders (which shall not be unreasonably withheld). Notwithstanding anything herein to the contrary, (i) one or more Second Lien Claimholders may propose, or support any other Person in proposing DIP Financing to the Company or any other Grantor secured by Liens junior in priority to the Liens securing any First Lien Obligations and (ii) the Second Lien Collateral Agent, on behalf of itself and the other Second Lien Claimholders, solely in their capacity as unsecured creditors and not as secured creditors of any Grantor, may raise any objections to any use, sale, or lease of “Cash Collateral”, or DIP Financing that could be raised by any unsecured creditor of the Grantors. </w:t>
      </w:r>
    </w:p>
    <w:p>
      <w:pPr>
        <w:pStyle w:val="TextBody"/>
        <w:bidi w:val="0"/>
        <w:spacing w:before="240" w:after="0"/>
        <w:jc w:val="left"/>
        <w:rPr>
          <w:rFonts w:ascii="Times New Roman" w:hAnsi="Times New Roman"/>
          <w:sz w:val="20"/>
        </w:rPr>
      </w:pPr>
      <w:bookmarkStart w:id="33" w:name="ex10_3toc60690_27"/>
      <w:bookmarkEnd w:id="33"/>
      <w:r>
        <w:rPr>
          <w:rFonts w:ascii="Times New Roman" w:hAnsi="Times New Roman"/>
          <w:sz w:val="20"/>
        </w:rPr>
        <w:t>6.2 </w:t>
      </w:r>
      <w:r>
        <w:rPr>
          <w:rFonts w:ascii="Times New Roman" w:hAnsi="Times New Roman"/>
          <w:sz w:val="20"/>
          <w:u w:val="single"/>
        </w:rPr>
        <w:t xml:space="preserve">Relief from the Automatic Stay. </w:t>
      </w:r>
      <w:r>
        <w:rPr>
          <w:rFonts w:ascii="Times New Roman" w:hAnsi="Times New Roman"/>
          <w:sz w:val="20"/>
        </w:rPr>
        <w:t xml:space="preserve">Until the Discharge of First Lien Obligations has occurred, the Second Lien Collateral Agent, on behalf of itself and each other Second Lien Claimholder, agrees that none of them shall, without the prior written consent of the First Lien Collateral Agent: (i) seek (or support any other Person seeking) relief from the automatic stay or any other stay in any Insolvency or Liquidation Proceeding in respect of the Collateral, without the prior written consent of the First Lien Collateral Agent, unless a motion for adequate protection permitted under </w:t>
      </w:r>
      <w:r>
        <w:rPr>
          <w:rFonts w:ascii="Times New Roman" w:hAnsi="Times New Roman"/>
          <w:sz w:val="20"/>
          <w:u w:val="single"/>
        </w:rPr>
        <w:t>Section 6.3</w:t>
      </w:r>
      <w:r>
        <w:rPr>
          <w:rFonts w:ascii="Times New Roman" w:hAnsi="Times New Roman"/>
          <w:sz w:val="20"/>
        </w:rPr>
        <w:t xml:space="preserve"> has been denied by a bankruptcy court or (ii) oppose (or support any other Person in opposing) any request by the First Lien Collateral Agent for relief from such stay.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34" w:name="ex10_3toc60690_28"/>
      <w:bookmarkEnd w:id="34"/>
      <w:r>
        <w:rPr>
          <w:rFonts w:ascii="Times New Roman" w:hAnsi="Times New Roman"/>
          <w:sz w:val="20"/>
        </w:rPr>
        <w:t>6.3 </w:t>
      </w:r>
      <w:r>
        <w:rPr>
          <w:rFonts w:ascii="Times New Roman" w:hAnsi="Times New Roman"/>
          <w:sz w:val="20"/>
          <w:u w:val="single"/>
        </w:rPr>
        <w:t xml:space="preserve">Adequate Protection. </w:t>
      </w:r>
    </w:p>
    <w:p>
      <w:pPr>
        <w:pStyle w:val="TextBody"/>
        <w:bidi w:val="0"/>
        <w:spacing w:before="120" w:after="0"/>
        <w:jc w:val="left"/>
        <w:rPr>
          <w:rFonts w:ascii="Times New Roman" w:hAnsi="Times New Roman"/>
          <w:sz w:val="20"/>
        </w:rPr>
      </w:pPr>
      <w:r>
        <w:rPr>
          <w:rFonts w:ascii="Times New Roman" w:hAnsi="Times New Roman"/>
          <w:sz w:val="20"/>
        </w:rPr>
        <w:t xml:space="preserve">(a) The Second Lien Collateral Agent, on behalf of itself and each other Second Lien Claimholder, agrees that none of them shall contest (or support any other Person contesting): </w:t>
      </w:r>
    </w:p>
    <w:p>
      <w:pPr>
        <w:pStyle w:val="TextBody"/>
        <w:bidi w:val="0"/>
        <w:spacing w:before="120" w:after="0"/>
        <w:jc w:val="left"/>
        <w:rPr>
          <w:rFonts w:ascii="Times New Roman" w:hAnsi="Times New Roman"/>
          <w:sz w:val="20"/>
        </w:rPr>
      </w:pPr>
      <w:r>
        <w:rPr>
          <w:rFonts w:ascii="Times New Roman" w:hAnsi="Times New Roman"/>
          <w:sz w:val="20"/>
        </w:rPr>
        <w:t xml:space="preserve">(1) any request by the First Lien Collateral Agent or any other First Lien Claimholder for adequate protection under any Bankruptcy Law; or </w:t>
      </w:r>
    </w:p>
    <w:p>
      <w:pPr>
        <w:pStyle w:val="TextBody"/>
        <w:bidi w:val="0"/>
        <w:spacing w:before="120" w:after="0"/>
        <w:jc w:val="left"/>
        <w:rPr>
          <w:rFonts w:ascii="Times New Roman" w:hAnsi="Times New Roman"/>
          <w:sz w:val="20"/>
        </w:rPr>
      </w:pPr>
      <w:r>
        <w:rPr>
          <w:rFonts w:ascii="Times New Roman" w:hAnsi="Times New Roman"/>
          <w:sz w:val="20"/>
        </w:rPr>
        <w:t xml:space="preserve">(2) any objection by the First Lien Collateral Agent or any other First Lien Claimholder to any motion, relief, action or proceeding based on the First Lien Collateral Agent or any First Lien Claimholder claiming a lack of adequate protection.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the foregoing provisions in this </w:t>
      </w:r>
      <w:r>
        <w:rPr>
          <w:rFonts w:ascii="Times New Roman" w:hAnsi="Times New Roman"/>
          <w:sz w:val="20"/>
          <w:u w:val="single"/>
        </w:rPr>
        <w:t>Section 6.3</w:t>
      </w:r>
      <w:r>
        <w:rPr>
          <w:rFonts w:ascii="Times New Roman" w:hAnsi="Times New Roman"/>
          <w:sz w:val="20"/>
        </w:rPr>
        <w:t xml:space="preserve">, in any Insolvency or Liquidation Proceeding: </w:t>
      </w:r>
    </w:p>
    <w:p>
      <w:pPr>
        <w:pStyle w:val="TextBody"/>
        <w:bidi w:val="0"/>
        <w:spacing w:before="120" w:after="0"/>
        <w:jc w:val="left"/>
        <w:rPr>
          <w:rFonts w:ascii="Times New Roman" w:hAnsi="Times New Roman"/>
          <w:sz w:val="20"/>
        </w:rPr>
      </w:pPr>
      <w:r>
        <w:rPr>
          <w:rFonts w:ascii="Times New Roman" w:hAnsi="Times New Roman"/>
          <w:sz w:val="20"/>
        </w:rPr>
        <w:t xml:space="preserve">(1) if the First Lien Claimholders (or any subset thereof) are granted adequate protection in the form of additional collateral in connection with any Cash Collateral use or DIP Financing, then the Second Lien Collateral Agent, for itself and any other Second Lien Claimholder, may seek or request adequate protection in the form of a Lien on such additional collateral, which Lien will be subordinated to the Liens securing the First Lien Obligations and such Cash Collateral use or DIP Financing (and all Obligations relating thereto) on the same basis as the other Liens securing the Second Lien Obligations are so subordinated to the First Lien Obligations under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(2) The Second Lien Collateral Agent and Second Lien Claimholders shall only be permitted to seek adequate protection with respect to their rights in the Collateral in any Insolvency or Liquidation Proceeding in the form of (A) additional collateral; </w:t>
      </w:r>
      <w:r>
        <w:rPr>
          <w:rFonts w:ascii="Times New Roman" w:hAnsi="Times New Roman"/>
          <w:sz w:val="20"/>
          <w:u w:val="single"/>
        </w:rPr>
        <w:t>provided</w:t>
      </w:r>
      <w:r>
        <w:rPr>
          <w:rFonts w:ascii="Times New Roman" w:hAnsi="Times New Roman"/>
          <w:sz w:val="20"/>
        </w:rPr>
        <w:t xml:space="preserve"> that as adequate protection for the First Lien Obligations, the First Lien Collateral Agent, on behalf of the First Lien Claimholders, is also granted a Lien on such additional collateral, which Lien shall be senior to any Lien of the Second Lien Collateral Agent and the Second Lien Claimholders on such additional collateral; (B) replacement Liens on the Collateral; </w:t>
      </w:r>
      <w:r>
        <w:rPr>
          <w:rFonts w:ascii="Times New Roman" w:hAnsi="Times New Roman"/>
          <w:sz w:val="20"/>
          <w:u w:val="single"/>
        </w:rPr>
        <w:t>provided</w:t>
      </w:r>
      <w:r>
        <w:rPr>
          <w:rFonts w:ascii="Times New Roman" w:hAnsi="Times New Roman"/>
          <w:sz w:val="20"/>
        </w:rPr>
        <w:t xml:space="preserve"> that as adequate protection for the First Lien Obligations, the First Lien Collateral Agent, on behalf of the First Lien Claimholders, is also granted replacement Liens on the Collateral, which Liens shall be senior to the Liens of the Second Lien Collateral Agent and the Second Lien Claimholders on the Collateral; (C) an administrative expense claim; </w:t>
      </w:r>
      <w:r>
        <w:rPr>
          <w:rFonts w:ascii="Times New Roman" w:hAnsi="Times New Roman"/>
          <w:sz w:val="20"/>
          <w:u w:val="single"/>
        </w:rPr>
        <w:t>provided</w:t>
      </w:r>
      <w:r>
        <w:rPr>
          <w:rFonts w:ascii="Times New Roman" w:hAnsi="Times New Roman"/>
          <w:sz w:val="20"/>
        </w:rPr>
        <w:t xml:space="preserve"> that as adequate protection for the First Lien Obligations, the First Lien Collateral Agent, on behalf of the First Lien Claimholders, is also granted an administrative expense claim which is senior and prior to the administrative expense claim of the Second Lien Collateral Agent and the other Second Lien Claimholders; (D) cash payments with respect to interest on the Second Lien Obligations; provided that (1) as adequate protection for the First Lien Obligations, the First Lien Collateral Agent, on behalf of the First Lien Claimholders, is also granted cash payments with respect to interest on the First Lien Obligations, and (2) such cash payments do not exceed an amount equal to the interest accruing on the principal amount of Second Lien Obligations outstanding on the date such relief is granted at the interest rate under the Second Lien Debt Documents and accruing from the date the Second Lien Collateral Agent is granted such relief and (E)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superpriority claim; provided that as adequate protection for the First Lien Obligations, the First Lien Collateral Agent, on behalf of the First Lien Claimholders, is also granted superpriority claims which shall be senior and prior to the superiority claims of the Second Lien Collateral Agent and the other Second Lien Claimholders. If any Second Lien Claimholder receives Post-Petition Interest and/or adequate protection payments in an Insolvency or Liquidation Proceeding (“</w:t>
      </w:r>
      <w:r>
        <w:rPr>
          <w:rFonts w:ascii="Times New Roman" w:hAnsi="Times New Roman"/>
          <w:b/>
          <w:sz w:val="20"/>
        </w:rPr>
        <w:t>Second Lien Adequate Protection Payments</w:t>
      </w:r>
      <w:r>
        <w:rPr>
          <w:rFonts w:ascii="Times New Roman" w:hAnsi="Times New Roman"/>
          <w:sz w:val="20"/>
        </w:rPr>
        <w:t>”), and the First Lien Claimholders do not receive payment in full in cash of all First Lien Obligations (subject, in the case of principal outstanding under the First Lien Loan Documents and face amounts of letters of credit issued and outstanding, to the First Lien Debt) upon the effectiveness of the plan of reorganization for, or conclusion of, that Insolvency or Liquidation Proceeding, then each Second Lien Claimholder shall pay over to the First Lien Claimholders an amount (the “</w:t>
      </w:r>
      <w:r>
        <w:rPr>
          <w:rFonts w:ascii="Times New Roman" w:hAnsi="Times New Roman"/>
          <w:b/>
          <w:sz w:val="20"/>
        </w:rPr>
        <w:t>Pay-Over Amount</w:t>
      </w:r>
      <w:r>
        <w:rPr>
          <w:rFonts w:ascii="Times New Roman" w:hAnsi="Times New Roman"/>
          <w:sz w:val="20"/>
        </w:rPr>
        <w:t>”) equal to the lesser of (i) the Second Lien Adequate Protection Payments received by such Second Lien Claimholder and (ii) the amount of the short-fall (the “</w:t>
      </w:r>
      <w:r>
        <w:rPr>
          <w:rFonts w:ascii="Times New Roman" w:hAnsi="Times New Roman"/>
          <w:b/>
          <w:sz w:val="20"/>
        </w:rPr>
        <w:t>Short Fall</w:t>
      </w:r>
      <w:r>
        <w:rPr>
          <w:rFonts w:ascii="Times New Roman" w:hAnsi="Times New Roman"/>
          <w:sz w:val="20"/>
        </w:rPr>
        <w:t xml:space="preserve">”) in payment in full in cash of the First Lien Obligations; </w:t>
      </w:r>
      <w:r>
        <w:rPr>
          <w:rFonts w:ascii="Times New Roman" w:hAnsi="Times New Roman"/>
          <w:sz w:val="20"/>
          <w:u w:val="single"/>
        </w:rPr>
        <w:t>provided</w:t>
      </w:r>
      <w:r>
        <w:rPr>
          <w:rFonts w:ascii="Times New Roman" w:hAnsi="Times New Roman"/>
          <w:sz w:val="20"/>
        </w:rPr>
        <w:t xml:space="preserve"> that to the extent any portion of the Short Fall represents payments received by the First Lien Claimholders in the form of promissory notes, equity or other property, equal in value to the cash paid in respect of the Pay-Over Amount, the First Lien Claimholders shall, upon receipt of the Pay-Over Amount, transfer those promissory notes, equity or other property, equal in value to the cash paid in respect of the Pay-Over Amount, to the applicable Second Lien Claimholders pro rata in exchange for the Pay-Over Amount. Notwithstanding anything herein to the contrary, the First Lien Claimholders shall not be deemed to have consented to, and expressly retain their rights to object to, the grant of adequate protection in the form of cash payments to the Second Lien Claimholders made pursuant to this </w:t>
      </w:r>
      <w:r>
        <w:rPr>
          <w:rFonts w:ascii="Times New Roman" w:hAnsi="Times New Roman"/>
          <w:sz w:val="20"/>
          <w:u w:val="single"/>
        </w:rPr>
        <w:t>Section 6.3(b)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Second Lien Collateral Agent, on behalf of itself and each other Second Lien Claimholder, agrees that notice of a hearing to approve DIP Financing or use of Cash Collateral on an interim basis shall be adequate if delivered to the Second Lien Collateral Agent at least two (2) Business Days in advance of such hearing and that notice of a hearing to approve DIP Financing or use of Cash Collateral on a final basis shall be adequate if delivered to the Second Lien Collateral Agent at least fifteen (15) days in advance of such hearing. </w:t>
      </w:r>
    </w:p>
    <w:p>
      <w:pPr>
        <w:pStyle w:val="TextBody"/>
        <w:bidi w:val="0"/>
        <w:spacing w:before="240" w:after="0"/>
        <w:jc w:val="left"/>
        <w:rPr>
          <w:rFonts w:ascii="Times New Roman" w:hAnsi="Times New Roman"/>
          <w:sz w:val="20"/>
        </w:rPr>
      </w:pPr>
      <w:bookmarkStart w:id="35" w:name="ex10_3toc60690_29"/>
      <w:bookmarkEnd w:id="35"/>
      <w:r>
        <w:rPr>
          <w:rFonts w:ascii="Times New Roman" w:hAnsi="Times New Roman"/>
          <w:sz w:val="20"/>
        </w:rPr>
        <w:t>6.4 </w:t>
      </w:r>
      <w:r>
        <w:rPr>
          <w:rFonts w:ascii="Times New Roman" w:hAnsi="Times New Roman"/>
          <w:sz w:val="20"/>
          <w:u w:val="single"/>
        </w:rPr>
        <w:t>No Waiver</w:t>
      </w:r>
      <w:r>
        <w:rPr>
          <w:rFonts w:ascii="Times New Roman" w:hAnsi="Times New Roman"/>
          <w:sz w:val="20"/>
        </w:rPr>
        <w:t xml:space="preserve">. Subject to </w:t>
      </w:r>
      <w:r>
        <w:rPr>
          <w:rFonts w:ascii="Times New Roman" w:hAnsi="Times New Roman"/>
          <w:sz w:val="20"/>
          <w:u w:val="single"/>
        </w:rPr>
        <w:t>Section 6.8(b)</w:t>
      </w:r>
      <w:r>
        <w:rPr>
          <w:rFonts w:ascii="Times New Roman" w:hAnsi="Times New Roman"/>
          <w:sz w:val="20"/>
        </w:rPr>
        <w:t xml:space="preserve">, nothing contained herein shall prohibit or in any way limit the First Lien Collateral Agent or any other First Lien Claimholder from objecting in any Insolvency or Liquidation Proceeding or otherwise to any action taken by the Second Lien Collateral Agent or any of the other Second Lien Claimholders, including the seeking by the Second Lien Collateral Agent or any other Second Lien Claimholder of adequate protection or the asserting by the Second Lien Collateral Agent or any other Second Lien Claimholder of any of its rights and remedies under the Second Lien Debt Documents or otherwise. </w:t>
      </w:r>
    </w:p>
    <w:p>
      <w:pPr>
        <w:pStyle w:val="TextBody"/>
        <w:bidi w:val="0"/>
        <w:spacing w:before="240" w:after="0"/>
        <w:jc w:val="left"/>
        <w:rPr>
          <w:rFonts w:ascii="Times New Roman" w:hAnsi="Times New Roman"/>
          <w:sz w:val="20"/>
        </w:rPr>
      </w:pPr>
      <w:bookmarkStart w:id="36" w:name="ex10_3toc60690_30"/>
      <w:bookmarkEnd w:id="36"/>
      <w:r>
        <w:rPr>
          <w:rFonts w:ascii="Times New Roman" w:hAnsi="Times New Roman"/>
          <w:sz w:val="20"/>
        </w:rPr>
        <w:t>6.5 </w:t>
      </w:r>
      <w:r>
        <w:rPr>
          <w:rFonts w:ascii="Times New Roman" w:hAnsi="Times New Roman"/>
          <w:sz w:val="20"/>
          <w:u w:val="single"/>
        </w:rPr>
        <w:t>Avoidance Issues.</w:t>
      </w:r>
      <w:r>
        <w:rPr>
          <w:rFonts w:ascii="Times New Roman" w:hAnsi="Times New Roman"/>
          <w:sz w:val="20"/>
        </w:rPr>
        <w:t xml:space="preserve"> If any First Lien Claimholder is required in any Insolvency or Liquidation Proceeding or otherwise to turn over or otherwise pay to the estate of the Company or any other Grantor any amount paid in respect of First Lien Obligations (a “</w:t>
      </w:r>
      <w:r>
        <w:rPr>
          <w:rFonts w:ascii="Times New Roman" w:hAnsi="Times New Roman"/>
          <w:b/>
          <w:sz w:val="20"/>
        </w:rPr>
        <w:t>Recovery</w:t>
      </w:r>
      <w:r>
        <w:rPr>
          <w:rFonts w:ascii="Times New Roman" w:hAnsi="Times New Roman"/>
          <w:sz w:val="20"/>
        </w:rPr>
        <w:t xml:space="preserve">”), then such First Lien Claimholder shall be entitled to a reinstatement of its First Lien Obligations with respect to all such recovered amounts on the date of such Recovery, and from and after the date of such reinstatement the Discharge of First Lien Obligations (or, as applicable, payment in full in cash of all excess First Lien Obligations (including interest accruing thereon on or after the commencement of any Insolvency or Liquidation Proceeding, whether or not such interest would be allowed in such Insolvency or Liquidation Proceeding) shall be deemed not to have occurred for all purposes hereunder. If this Agreement shall have been terminated prior to such Recovery, this Agreement shall be reinstated in full force and effect, and such prior termination shall not diminish, release, discharge, impair or otherwise affect the obligations of the parties hereto from such date of reinstatement. This </w:t>
      </w:r>
      <w:r>
        <w:rPr>
          <w:rFonts w:ascii="Times New Roman" w:hAnsi="Times New Roman"/>
          <w:sz w:val="20"/>
          <w:u w:val="single"/>
        </w:rPr>
        <w:t>Section 6.5</w:t>
      </w:r>
      <w:r>
        <w:rPr>
          <w:rFonts w:ascii="Times New Roman" w:hAnsi="Times New Roman"/>
          <w:sz w:val="20"/>
        </w:rPr>
        <w:t xml:space="preserve"> shall survive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37" w:name="ex10_3toc60690_31"/>
      <w:bookmarkEnd w:id="37"/>
      <w:r>
        <w:rPr>
          <w:rFonts w:ascii="Times New Roman" w:hAnsi="Times New Roman"/>
          <w:sz w:val="20"/>
        </w:rPr>
        <w:t>6.6 </w:t>
      </w:r>
      <w:r>
        <w:rPr>
          <w:rFonts w:ascii="Times New Roman" w:hAnsi="Times New Roman"/>
          <w:sz w:val="20"/>
          <w:u w:val="single"/>
        </w:rPr>
        <w:t>Asset Dispositions in an Insolvency or Liquidation Proceeding.</w:t>
      </w:r>
      <w:r>
        <w:rPr>
          <w:rFonts w:ascii="Times New Roman" w:hAnsi="Times New Roman"/>
          <w:sz w:val="20"/>
        </w:rPr>
        <w:t xml:space="preserve"> In an Insolvency or Liquidation Proceeding, neither the Second Lien Collateral Agent nor any other Second Lien Claimholder, in its capacity as a secured creditor only, shall oppose any sale or disposition of any assets of any Grantor that is consented to by the First Lien Claimholders, and will be deemed to have consented under Section 363(f) of the Bankruptcy Code (and otherwise) to any sale consented to by the First Lien Claimholders and to have released their Liens on such assets so long as the First Lien Claimholders have released their Liens on such assets and the net cash proceeds from the sale or disposition are applied in accordance with the terms of this Agreement. Notwithstanding the foregoing or any other provision herein to the contrary, the Second Lien Collateral Agent and each other Second Lien Claimholder, solely in its capacity as an unsecured creditor and not as a secured creditor of any Grantor, shall be entitled to oppose any sale or disposition of any assets of any Grantor under Section 363 of the Bankruptcy Code without the consent or approval of the First Lien Collateral Agent or the First Lien Claimholders. </w:t>
      </w:r>
    </w:p>
    <w:p>
      <w:pPr>
        <w:pStyle w:val="TextBody"/>
        <w:bidi w:val="0"/>
        <w:spacing w:before="240" w:after="0"/>
        <w:jc w:val="left"/>
        <w:rPr>
          <w:rFonts w:ascii="Times New Roman" w:hAnsi="Times New Roman"/>
          <w:sz w:val="20"/>
        </w:rPr>
      </w:pPr>
      <w:bookmarkStart w:id="38" w:name="ex10_3toc60690_32"/>
      <w:bookmarkEnd w:id="38"/>
      <w:r>
        <w:rPr>
          <w:rFonts w:ascii="Times New Roman" w:hAnsi="Times New Roman"/>
          <w:sz w:val="20"/>
        </w:rPr>
        <w:t>6.7 </w:t>
      </w:r>
      <w:r>
        <w:rPr>
          <w:rFonts w:ascii="Times New Roman" w:hAnsi="Times New Roman"/>
          <w:sz w:val="20"/>
          <w:u w:val="single"/>
        </w:rPr>
        <w:t>Reorganization Securities.</w:t>
      </w:r>
      <w:r>
        <w:rPr>
          <w:rFonts w:ascii="Times New Roman" w:hAnsi="Times New Roman"/>
          <w:sz w:val="20"/>
        </w:rPr>
        <w:t xml:space="preserve"> If, in any Insolvency or Liquidation Proceeding, debt obligations of the reorganized debtor secured by Liens upon any property of the reorganized debtor are distributed pursuant to a plan of reorganization, arrangement, compromise or liquidation or similar dispositive restructuring plan, both on account of First Lien Obligations and on account of Second Lien Obligations, then, to the extent the debt obligations distributed on account of the First Lien Obligations and on account of the Second Lien Obligations are secured by Liens upon the same property, the provisions of this Agreement will survive the distribution of such debt obligations pursuant to such plan and will apply with like effect to the Liens securing such debt obligations. </w:t>
      </w:r>
    </w:p>
    <w:p>
      <w:pPr>
        <w:pStyle w:val="TextBody"/>
        <w:bidi w:val="0"/>
        <w:spacing w:before="240" w:after="0"/>
        <w:jc w:val="left"/>
        <w:rPr>
          <w:rFonts w:ascii="Times New Roman" w:hAnsi="Times New Roman"/>
          <w:sz w:val="20"/>
        </w:rPr>
      </w:pPr>
      <w:bookmarkStart w:id="39" w:name="ex10_3toc60690_33"/>
      <w:bookmarkEnd w:id="39"/>
      <w:r>
        <w:rPr>
          <w:rFonts w:ascii="Times New Roman" w:hAnsi="Times New Roman"/>
          <w:sz w:val="20"/>
        </w:rPr>
        <w:t>6.8 </w:t>
      </w:r>
      <w:r>
        <w:rPr>
          <w:rFonts w:ascii="Times New Roman" w:hAnsi="Times New Roman"/>
          <w:sz w:val="20"/>
          <w:u w:val="single"/>
        </w:rPr>
        <w:t xml:space="preserve">Post-Petition Interest. </w:t>
      </w:r>
    </w:p>
    <w:p>
      <w:pPr>
        <w:pStyle w:val="TextBody"/>
        <w:bidi w:val="0"/>
        <w:spacing w:before="120" w:after="0"/>
        <w:jc w:val="left"/>
        <w:rPr>
          <w:rFonts w:ascii="Times New Roman" w:hAnsi="Times New Roman"/>
          <w:sz w:val="20"/>
        </w:rPr>
      </w:pPr>
      <w:r>
        <w:rPr>
          <w:rFonts w:ascii="Times New Roman" w:hAnsi="Times New Roman"/>
          <w:sz w:val="20"/>
        </w:rPr>
        <w:t xml:space="preserve">(a) None of the Second Lien Collateral Agent or any other Second Lien Claimholder shall oppose or seek to challenge any claim by the First Lien Collateral Agent or any other First Lien Claimholder for allowance in any Insolvency or Liquidation Proceeding of First Lien Obligations consisting of Post-Petition Interest to the extent of the value of any First Lien Claimholder’s Lien on the Collateral, without regard to the existence of the Liens of the Second Lien Collateral Agent or the other Second Lien Claimholders on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(b) None of the First Lien Collateral Agent or any other First Lien Claimholder shall oppose or seek to challenge any claim by the Second Lien Collateral Agent or any other Second Lien Claimholder for allowance in any Insolvency or Liquidation Proceeding of Second Lien Obligations consisting of Post-Petition Interest to the extent of the value of the Lien of the Second Lien Collateral Agent, on behalf of the Second Lien Claimholders, on the Collateral (after taking into account the amount of the First Lien Obligations). </w:t>
      </w:r>
    </w:p>
    <w:p>
      <w:pPr>
        <w:pStyle w:val="TextBody"/>
        <w:bidi w:val="0"/>
        <w:spacing w:before="240" w:after="0"/>
        <w:jc w:val="left"/>
        <w:rPr>
          <w:rFonts w:ascii="Times New Roman" w:hAnsi="Times New Roman"/>
          <w:sz w:val="20"/>
        </w:rPr>
      </w:pPr>
      <w:bookmarkStart w:id="40" w:name="ex10_3toc60690_34"/>
      <w:bookmarkEnd w:id="40"/>
      <w:r>
        <w:rPr>
          <w:rFonts w:ascii="Times New Roman" w:hAnsi="Times New Roman"/>
          <w:sz w:val="20"/>
        </w:rPr>
        <w:t>6.9 </w:t>
      </w:r>
      <w:r>
        <w:rPr>
          <w:rFonts w:ascii="Times New Roman" w:hAnsi="Times New Roman"/>
          <w:sz w:val="20"/>
          <w:u w:val="single"/>
        </w:rPr>
        <w:t>Waiver</w:t>
      </w:r>
      <w:r>
        <w:rPr>
          <w:rFonts w:ascii="Times New Roman" w:hAnsi="Times New Roman"/>
          <w:sz w:val="20"/>
        </w:rPr>
        <w:t xml:space="preserve">. The Second Lien Collateral Agent, on behalf of itself and each other Second Lien Claimholder, waives any claim it may hereafter have against any First Lien Claimholder arising out of the election of any First Lien Claimholder of the application of Section 1111(b)(2) of the Bankruptcy Code, and/or out of any cash collateral or financing arrangement or out of any grant of a security interest in connection with the Collateral in any Insolvency or Liquidation Proceeding so long as such actions are not in express contravention of the terms of this Agreement. </w:t>
      </w:r>
    </w:p>
    <w:p>
      <w:pPr>
        <w:pStyle w:val="TextBody"/>
        <w:bidi w:val="0"/>
        <w:spacing w:before="240" w:after="0"/>
        <w:jc w:val="left"/>
        <w:rPr>
          <w:rFonts w:ascii="Times New Roman" w:hAnsi="Times New Roman"/>
          <w:sz w:val="20"/>
        </w:rPr>
      </w:pPr>
      <w:bookmarkStart w:id="41" w:name="ex10_3toc60690_35"/>
      <w:bookmarkEnd w:id="41"/>
      <w:r>
        <w:rPr>
          <w:rFonts w:ascii="Times New Roman" w:hAnsi="Times New Roman"/>
          <w:sz w:val="20"/>
        </w:rPr>
        <w:t>6.10 </w:t>
      </w:r>
      <w:r>
        <w:rPr>
          <w:rFonts w:ascii="Times New Roman" w:hAnsi="Times New Roman"/>
          <w:sz w:val="20"/>
          <w:u w:val="single"/>
        </w:rPr>
        <w:t xml:space="preserve">Separate Grants of Security and Separate Classification. </w:t>
      </w:r>
      <w:r>
        <w:rPr>
          <w:rFonts w:ascii="Times New Roman" w:hAnsi="Times New Roman"/>
          <w:sz w:val="20"/>
        </w:rPr>
        <w:t xml:space="preserve">The Second Lien Collateral Agent, on behalf of itself and each other Second Lien Claimholder, and the First Lien Collateral Agent on behalf of itself and each other First Lien Claimholder, acknowledges and agrees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grants of Liens pursuant to the First Lien Collateral Documents and the Second Lien Collateral Documents constitute two separate and distinct grants of Liens; and </w:t>
      </w:r>
    </w:p>
    <w:p>
      <w:pPr>
        <w:pStyle w:val="TextBody"/>
        <w:bidi w:val="0"/>
        <w:spacing w:before="120" w:after="0"/>
        <w:jc w:val="left"/>
        <w:rPr>
          <w:rFonts w:ascii="Times New Roman" w:hAnsi="Times New Roman"/>
          <w:sz w:val="20"/>
        </w:rPr>
      </w:pPr>
      <w:r>
        <w:rPr>
          <w:rFonts w:ascii="Times New Roman" w:hAnsi="Times New Roman"/>
          <w:sz w:val="20"/>
        </w:rPr>
        <w:t xml:space="preserve">(b) because of, among other things, their differing rights in the Collateral, the Second Lien Obligations are fundamentally different from the First Lien Obligations and must be separately classified in any plan of reorganization proposed or adopted in an Insolvency or Liquidation Proceeding. </w:t>
      </w:r>
    </w:p>
    <w:p>
      <w:pPr>
        <w:pStyle w:val="TextBody"/>
        <w:bidi w:val="0"/>
        <w:spacing w:before="240" w:after="0"/>
        <w:jc w:val="left"/>
        <w:rPr>
          <w:rFonts w:ascii="Times New Roman" w:hAnsi="Times New Roman"/>
          <w:sz w:val="20"/>
        </w:rPr>
      </w:pPr>
      <w:r>
        <w:rPr>
          <w:rFonts w:ascii="Times New Roman" w:hAnsi="Times New Roman"/>
          <w:sz w:val="20"/>
        </w:rPr>
        <w:t xml:space="preserve">To further effectuate the intent of the parties as provided in the immediately preceding sentence, if it is held that the claims of the First Lien Claimholders and the Second Lien Claimholders in respect of the Collateral constitute only one secured claim (rather than separate classes of senior and junior secured claims), then each of the parties hereto hereby acknowledges and agrees that all distributions shall be made as if there were separate classes of senior and junior secured claims against the Grantors in respect of the Collateral (with the effect being that, to the extent that the aggregate value of the Collateral is sufficient (for this purpose ignoring all claims held by the Second Lien Claimholders), the First Lien Claimholders shall be entitled to receive, in addition to amounts distributed to them in respect of principal, pre-petition interest and other claims, all amounts owing (or that would be owing if there were such separate classes of senior and junior secured claims) in respect of Post-Petition Interest (including any additional interest payable pursuant to the First Lien Loan Documents arising from or related to a default, which is disallowed as a claim in any Insolvency or Liquidation Proceeding) before any distribution is made in respect of the claims held by the Second Lien Claimholders with respect to the Collateral, with the Second Lien Collateral Agent, on behalf of itself and each other Second Lien Claimholder, hereby acknowledging and agreeing to turn over to the First Lien Collateral Agent, on behalf of itself and each other First Lien Claimholder, Collateral or proceeds of Collateral otherwise received or receivable by them to the extent necessary to effectuate the intent of this sentence, even if such turnover has the effect of reducing the claim or recovery of the Second Lien Claimholders). </w:t>
      </w:r>
    </w:p>
    <w:p>
      <w:pPr>
        <w:pStyle w:val="TextBody"/>
        <w:bidi w:val="0"/>
        <w:spacing w:before="240" w:after="0"/>
        <w:jc w:val="left"/>
        <w:rPr>
          <w:rFonts w:ascii="Times New Roman" w:hAnsi="Times New Roman"/>
          <w:sz w:val="20"/>
        </w:rPr>
      </w:pPr>
      <w:bookmarkStart w:id="42" w:name="ex10_3toc60690_36"/>
      <w:bookmarkEnd w:id="42"/>
      <w:r>
        <w:rPr>
          <w:rFonts w:ascii="Times New Roman" w:hAnsi="Times New Roman"/>
          <w:sz w:val="20"/>
        </w:rPr>
        <w:t>6.11 </w:t>
      </w:r>
      <w:r>
        <w:rPr>
          <w:rFonts w:ascii="Times New Roman" w:hAnsi="Times New Roman"/>
          <w:sz w:val="20"/>
          <w:u w:val="single"/>
        </w:rPr>
        <w:t xml:space="preserve">Effectiveness in Insolvency or Liquidation Proceedings. </w:t>
      </w:r>
      <w:r>
        <w:rPr>
          <w:rFonts w:ascii="Times New Roman" w:hAnsi="Times New Roman"/>
          <w:sz w:val="20"/>
        </w:rPr>
        <w:t xml:space="preserve">The parties acknowledge that this Agreement is a “subordination agreement” under Section 510(a) of the Bankruptcy Code, which will be effective before, during and after the commencement of an Insolvency or Liquidation Proceeding. All references in this Agreement to any Grantor will include such Person as a debtor-in-possession and any receiver or trustee for such Person in an Insolvency or Liquidation Proceeding. </w:t>
      </w:r>
    </w:p>
    <w:p>
      <w:pPr>
        <w:pStyle w:val="TextBody"/>
        <w:bidi w:val="0"/>
        <w:spacing w:before="360" w:after="0"/>
        <w:jc w:val="left"/>
        <w:rPr>
          <w:rFonts w:ascii="Times New Roman" w:hAnsi="Times New Roman"/>
          <w:b/>
          <w:sz w:val="20"/>
        </w:rPr>
      </w:pPr>
      <w:bookmarkStart w:id="43" w:name="ex10_3toc60690_37"/>
      <w:bookmarkEnd w:id="43"/>
      <w:r>
        <w:rPr>
          <w:rFonts w:ascii="Times New Roman" w:hAnsi="Times New Roman"/>
          <w:b/>
          <w:sz w:val="20"/>
        </w:rPr>
        <w:t>Section 7. </w:t>
      </w:r>
      <w:r>
        <w:rPr>
          <w:rFonts w:ascii="Times New Roman" w:hAnsi="Times New Roman"/>
          <w:b/>
          <w:sz w:val="20"/>
          <w:u w:val="single"/>
        </w:rPr>
        <w:t>Reliance; Waivers; Etc.</w:t>
      </w:r>
      <w:r>
        <w:rPr>
          <w:rFonts w:ascii="Times New Roman" w:hAnsi="Times New Roman"/>
          <w:b/>
          <w:sz w:val="20"/>
        </w:rPr>
        <w:t xml:space="preserve"> </w:t>
      </w:r>
    </w:p>
    <w:p>
      <w:pPr>
        <w:pStyle w:val="TextBody"/>
        <w:bidi w:val="0"/>
        <w:spacing w:before="120" w:after="0"/>
        <w:jc w:val="left"/>
        <w:rPr>
          <w:rFonts w:ascii="Times New Roman" w:hAnsi="Times New Roman"/>
          <w:sz w:val="20"/>
        </w:rPr>
      </w:pPr>
      <w:bookmarkStart w:id="44" w:name="ex10_3toc60690_38"/>
      <w:bookmarkEnd w:id="44"/>
      <w:r>
        <w:rPr>
          <w:rFonts w:ascii="Times New Roman" w:hAnsi="Times New Roman"/>
          <w:sz w:val="20"/>
        </w:rPr>
        <w:t>7.1 </w:t>
      </w:r>
      <w:r>
        <w:rPr>
          <w:rFonts w:ascii="Times New Roman" w:hAnsi="Times New Roman"/>
          <w:sz w:val="20"/>
          <w:u w:val="single"/>
        </w:rPr>
        <w:t>Reliance</w:t>
      </w:r>
      <w:r>
        <w:rPr>
          <w:rFonts w:ascii="Times New Roman" w:hAnsi="Times New Roman"/>
          <w:sz w:val="20"/>
        </w:rPr>
        <w:t xml:space="preserve">. Other than any reliance on the terms of this Agreement, each First Lien Representative and each First Lien Collateral Agent, on behalf of itself and each other First Lien Claimholder represented by it, acknowledges that it and such First Lien Claimholders have, independently and without reliance on any Second Lien Representative, any Second Lien Collateral Agent or any other Second Lien Claimholder, and based on documents and information deemed by them appropriate, made their own credit analysis and decision to enter into each of the First Lien Loan Documents and be bound by the terms of this Agreement and they will continue to make their own credit decision in taking or not taking any action under the First Lien Loan Documents or this Agreement. Each Second Lien Representative and each Second Lien Collateral Agent, on behalf of itself and each other Second Lien Claimholder represented by it, acknowledges that the holders of Second Lien Debt have, independently and without reliance on any First Lien Representative, any First Lien Collateral Agent or any other First Lien Claimholder, and based on documents and information deemed by them appropriate, made their own credit analysis and decision to enter into each of the Second Lien Debt Documents and be bound by the terms of this Agreement and they will continue to make their own credit decision in taking or not taking any action under the Second Lien Debt Documents or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45" w:name="ex10_3toc60690_39"/>
      <w:bookmarkEnd w:id="45"/>
      <w:r>
        <w:rPr>
          <w:rFonts w:ascii="Times New Roman" w:hAnsi="Times New Roman"/>
          <w:sz w:val="20"/>
        </w:rPr>
        <w:t>7.2 </w:t>
      </w:r>
      <w:r>
        <w:rPr>
          <w:rFonts w:ascii="Times New Roman" w:hAnsi="Times New Roman"/>
          <w:sz w:val="20"/>
          <w:u w:val="single"/>
        </w:rPr>
        <w:t>No Warranties or Liability</w:t>
      </w:r>
      <w:r>
        <w:rPr>
          <w:rFonts w:ascii="Times New Roman" w:hAnsi="Times New Roman"/>
          <w:sz w:val="20"/>
        </w:rPr>
        <w:t xml:space="preserve">. Each First Lien Representative and each First Lien Collateral Agent, on behalf of itself and each other First Lien Claimholder represented by it, acknowledges and agrees that no Second Lien Representative or other Second Lien Claimholder has made any express or implied representation or warranty, including with respect to the execution, validity, legality, completeness, collectability or enforceability of any of the Second Lien Debt Documents, the ownership of any Collateral or the perfection or priority of any Liens thereon. Except as otherwise provided herein, the holders of Second Lien Debt will be entitled to manage and supervise their respective extensions of credit under the Second Lien Debt Documents in accordance with law and as they may otherwise, in their sole discretion, deem appropriate. Each Second Lien Representative and each Second Lien Collateral Agent, on behalf of itself and each other Second Lien Claimholder represented by it, acknowledges and agrees that no First Lien Representative or other First Lien Claimholder has made any express or implied representation or warranty, including with respect to the execution, validity, legality, completeness, collectability or enforceability of any of the First Lien Loan Documents, the ownership of any Collateral or the perfection or priority of any Liens thereon. Except as otherwise provided herein, the First Lien Claimholders will be entitled to manage and supervise their respective loans and extensions of credit under the First Lien Loan Documents in accordance with law and as they may otherwise, in their sole discretion, deem appropriate. The Second Lien Representatives, the Second Lien Collateral Agents and the other Second Lien Claimholders shall have no duty to the First Lien Representatives, the First Lien Collateral Agents or any of the other First Lien Claimholders, and the First Lien Representatives, the First Lien Collateral Agents and the other First Lien Claimholders shall have no duty to the Second Lien Representative, the Second Lien Collateral Agents or any of the other Second Lien Claimholders, to act or refrain from acting in a manner which allows, or results in, the occurrence or continuance of an event of default or default under any agreements with the Company or any other Grantor (including the First Lien Loan Documents and the Second Lien Debt Documents), regardless of any knowledge thereof which they may have or be charged with. </w:t>
      </w:r>
    </w:p>
    <w:p>
      <w:pPr>
        <w:pStyle w:val="TextBody"/>
        <w:bidi w:val="0"/>
        <w:spacing w:before="240" w:after="0"/>
        <w:jc w:val="left"/>
        <w:rPr>
          <w:rFonts w:ascii="Times New Roman" w:hAnsi="Times New Roman"/>
          <w:sz w:val="20"/>
        </w:rPr>
      </w:pPr>
      <w:bookmarkStart w:id="46" w:name="ex10_3toc60690_40"/>
      <w:bookmarkEnd w:id="46"/>
      <w:r>
        <w:rPr>
          <w:rFonts w:ascii="Times New Roman" w:hAnsi="Times New Roman"/>
          <w:sz w:val="20"/>
        </w:rPr>
        <w:t>7.3 </w:t>
      </w:r>
      <w:r>
        <w:rPr>
          <w:rFonts w:ascii="Times New Roman" w:hAnsi="Times New Roman"/>
          <w:sz w:val="20"/>
          <w:u w:val="single"/>
        </w:rPr>
        <w:t>No Waiver of Lien Priorities</w:t>
      </w:r>
      <w:r>
        <w:rPr>
          <w:rFonts w:ascii="Times New Roman" w:hAnsi="Times New Roman"/>
          <w:sz w:val="20"/>
        </w:rPr>
        <w:t xml:space="preserve">. No right of the First Lien Claimholders, the First Lien Representatives, the First Lien Collateral Agents or any of them to enforce any provision of this Agreement shall at any time in any way be prejudiced or impaired by any act or failure to act on the part of the Company or any other Grantor or by any act or failure to act by any First Lien Claimholder, First Lien Representative or First Lien Collateral Agent, or by any noncompliance by any Person with the terms, provisions and covenants of this Agreement, any of the First Lien Loan Documents or any of the Second Lien Debt Documents, regardless of any knowledge thereof which any First Lien Representative, First Lien Collateral Agent or any First Lien Claimholder, or any of them, may have or be otherwise charged with. </w:t>
      </w:r>
    </w:p>
    <w:p>
      <w:pPr>
        <w:pStyle w:val="TextBody"/>
        <w:bidi w:val="0"/>
        <w:spacing w:before="240" w:after="0"/>
        <w:jc w:val="left"/>
        <w:rPr>
          <w:rFonts w:ascii="Times New Roman" w:hAnsi="Times New Roman"/>
          <w:sz w:val="20"/>
        </w:rPr>
      </w:pPr>
      <w:bookmarkStart w:id="47" w:name="ex10_3toc60690_41"/>
      <w:bookmarkEnd w:id="47"/>
      <w:r>
        <w:rPr>
          <w:rFonts w:ascii="Times New Roman" w:hAnsi="Times New Roman"/>
          <w:sz w:val="20"/>
        </w:rPr>
        <w:t>7.4 </w:t>
      </w:r>
      <w:r>
        <w:rPr>
          <w:rFonts w:ascii="Times New Roman" w:hAnsi="Times New Roman"/>
          <w:sz w:val="20"/>
          <w:u w:val="single"/>
        </w:rPr>
        <w:t>Obligations Unconditional</w:t>
      </w:r>
      <w:r>
        <w:rPr>
          <w:rFonts w:ascii="Times New Roman" w:hAnsi="Times New Roman"/>
          <w:sz w:val="20"/>
        </w:rPr>
        <w:t xml:space="preserve">. All rights, interests, agreements and obligations of the First Lien Representatives, the First Lien Collateral Agents and the other First Lien Claimholders and the Second Lien Representatives, the Second Lien Collateral Agents and the other Second Lien Claimholders, respectively, hereunder shall remain in full force and effect irrespective of: </w:t>
      </w:r>
    </w:p>
    <w:p>
      <w:pPr>
        <w:pStyle w:val="TextBody"/>
        <w:bidi w:val="0"/>
        <w:spacing w:before="120" w:after="0"/>
        <w:jc w:val="left"/>
        <w:rPr>
          <w:rFonts w:ascii="Times New Roman" w:hAnsi="Times New Roman"/>
          <w:sz w:val="20"/>
        </w:rPr>
      </w:pPr>
      <w:r>
        <w:rPr>
          <w:rFonts w:ascii="Times New Roman" w:hAnsi="Times New Roman"/>
          <w:sz w:val="20"/>
        </w:rPr>
        <w:t xml:space="preserve">(a) any lack of validity or enforceability of any First Lien Loan Documents or any Second Lien Debt Documents; </w:t>
      </w:r>
    </w:p>
    <w:p>
      <w:pPr>
        <w:pStyle w:val="TextBody"/>
        <w:bidi w:val="0"/>
        <w:spacing w:before="120" w:after="0"/>
        <w:jc w:val="left"/>
        <w:rPr>
          <w:rFonts w:ascii="Times New Roman" w:hAnsi="Times New Roman"/>
          <w:sz w:val="20"/>
        </w:rPr>
      </w:pPr>
      <w:r>
        <w:rPr>
          <w:rFonts w:ascii="Times New Roman" w:hAnsi="Times New Roman"/>
          <w:sz w:val="20"/>
        </w:rPr>
        <w:t xml:space="preserve">(b) except as otherwise expressly set forth in this Agreement, any change in the time, manner or place of payment of, or in any other terms of, all or any of the First Lien Obligations or Second Lien Obligations, or any amendment or waiver or other modification, including any increase in the amount thereof, whether by course of conduct or otherwise, of the terms of any First Lien Loan Document or any Second Lien Debt Document; </w:t>
      </w:r>
    </w:p>
    <w:p>
      <w:pPr>
        <w:pStyle w:val="TextBody"/>
        <w:bidi w:val="0"/>
        <w:spacing w:before="120" w:after="0"/>
        <w:jc w:val="left"/>
        <w:rPr>
          <w:rFonts w:ascii="Times New Roman" w:hAnsi="Times New Roman"/>
          <w:sz w:val="20"/>
        </w:rPr>
      </w:pPr>
      <w:r>
        <w:rPr>
          <w:rFonts w:ascii="Times New Roman" w:hAnsi="Times New Roman"/>
          <w:sz w:val="20"/>
        </w:rPr>
        <w:t xml:space="preserve">(c) except as otherwise expressly set forth in this Agreement, any exchange of any security interest in any Collateral or any other collateral, or any amendment, waiver or other modification, whether in writing or by course of conduct or otherwise, of all or any of the First Lien Obligations or Second Lien Obligations or any guarantee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commencement of any Insolvency or Liquidation Proceeding in respect of the Company or any other Grantor; or </w:t>
      </w:r>
    </w:p>
    <w:p>
      <w:pPr>
        <w:pStyle w:val="TextBody"/>
        <w:bidi w:val="0"/>
        <w:spacing w:before="120" w:after="0"/>
        <w:jc w:val="left"/>
        <w:rPr>
          <w:rFonts w:ascii="Times New Roman" w:hAnsi="Times New Roman"/>
          <w:sz w:val="20"/>
        </w:rPr>
      </w:pPr>
      <w:r>
        <w:rPr>
          <w:rFonts w:ascii="Times New Roman" w:hAnsi="Times New Roman"/>
          <w:sz w:val="20"/>
        </w:rPr>
        <w:t xml:space="preserve">(e) any other circumstances which otherwise might constitute a defense available to, or a discharge of, in each case other than a Discharge, the Company or any other Grantor in respect of any First Lien Representative, any First Lien Collateral Agent, the First Lien Obligations, any First Lien Claimholder, any Second Lien Representative, any Second Lien Collateral Agent, the Second Lien Obligations or any Second Lien Claimholder in respect of this Agreement. </w:t>
      </w:r>
    </w:p>
    <w:p>
      <w:pPr>
        <w:pStyle w:val="TextBody"/>
        <w:bidi w:val="0"/>
        <w:spacing w:before="360" w:after="0"/>
        <w:jc w:val="left"/>
        <w:rPr>
          <w:rFonts w:ascii="Times New Roman" w:hAnsi="Times New Roman"/>
          <w:b/>
          <w:sz w:val="20"/>
        </w:rPr>
      </w:pPr>
      <w:bookmarkStart w:id="48" w:name="ex10_3toc60690_42"/>
      <w:bookmarkEnd w:id="48"/>
      <w:r>
        <w:rPr>
          <w:rFonts w:ascii="Times New Roman" w:hAnsi="Times New Roman"/>
          <w:b/>
          <w:sz w:val="20"/>
        </w:rPr>
        <w:t>Section 8. </w:t>
      </w:r>
      <w:r>
        <w:rPr>
          <w:rFonts w:ascii="Times New Roman" w:hAnsi="Times New Roman"/>
          <w:b/>
          <w:sz w:val="20"/>
          <w:u w:val="single"/>
        </w:rPr>
        <w:t>Miscellaneous.</w:t>
      </w:r>
      <w:r>
        <w:rPr>
          <w:rFonts w:ascii="Times New Roman" w:hAnsi="Times New Roman"/>
          <w:b/>
          <w:sz w:val="20"/>
        </w:rPr>
        <w:t xml:space="preserve"> </w:t>
      </w:r>
    </w:p>
    <w:p>
      <w:pPr>
        <w:pStyle w:val="TextBody"/>
        <w:bidi w:val="0"/>
        <w:spacing w:before="120" w:after="0"/>
        <w:jc w:val="left"/>
        <w:rPr>
          <w:rFonts w:ascii="Times New Roman" w:hAnsi="Times New Roman"/>
          <w:sz w:val="20"/>
        </w:rPr>
      </w:pPr>
      <w:bookmarkStart w:id="49" w:name="ex10_3toc60690_43"/>
      <w:bookmarkEnd w:id="49"/>
      <w:r>
        <w:rPr>
          <w:rFonts w:ascii="Times New Roman" w:hAnsi="Times New Roman"/>
          <w:sz w:val="20"/>
        </w:rPr>
        <w:t>8.1 </w:t>
      </w:r>
      <w:r>
        <w:rPr>
          <w:rFonts w:ascii="Times New Roman" w:hAnsi="Times New Roman"/>
          <w:sz w:val="20"/>
          <w:u w:val="single"/>
        </w:rPr>
        <w:t>Integration/Conflicts</w:t>
      </w:r>
      <w:r>
        <w:rPr>
          <w:rFonts w:ascii="Times New Roman" w:hAnsi="Times New Roman"/>
          <w:sz w:val="20"/>
        </w:rPr>
        <w:t xml:space="preserve">. This Agreement, the First Lien Loan Documents and the Second Lien Debt Documents represent the entire agreement of the Grantors, the First Lien Claimholders and the Second Lien Claimholders with respect to the subject matter hereof and thereof, and supersede any and all previous agreements and understandings, oral or written, relating to the subject matter hereof and thereof. There are no promises, undertakings, representations or warranties by any party hereto or any of the First Lien Claimholders or the Second Lien Claimholders relative to the subject matter hereof and thereof not expressly set forth or referred to herein or therein. In the event of any conflict between the provisions of this Agreement and the provisions of the First Lien Loan Documents or the Second Lien Debt Documents, the provisions of this Agreement shall govern and control; </w:t>
      </w:r>
      <w:r>
        <w:rPr>
          <w:rFonts w:ascii="Times New Roman" w:hAnsi="Times New Roman"/>
          <w:sz w:val="20"/>
          <w:u w:val="single"/>
        </w:rPr>
        <w:t>provided</w:t>
      </w:r>
      <w:r>
        <w:rPr>
          <w:rFonts w:ascii="Times New Roman" w:hAnsi="Times New Roman"/>
          <w:sz w:val="20"/>
        </w:rPr>
        <w:t xml:space="preserve"> that the foregoing shall not be construed to limit the relative rights and obligations as among the First Lien Claimholders or as among the Second Lien Claimholders; as among the First Lien Claimholders, such rights and obligations are governed by, and any provisions herein regarding them are therefore subject to, the provisions of the First Lien Pari Passu Intercreditor Agreement, and as among the Second Lien Claimholders, such rights and obligations are governed by, and any provisions herein regarding them are therefore subject to, the provisions of the Second Lien Pari Passu Intercreditor Agreement. </w:t>
      </w:r>
    </w:p>
    <w:p>
      <w:pPr>
        <w:pStyle w:val="TextBody"/>
        <w:bidi w:val="0"/>
        <w:spacing w:before="240" w:after="0"/>
        <w:jc w:val="left"/>
        <w:rPr>
          <w:rFonts w:ascii="Times New Roman" w:hAnsi="Times New Roman"/>
          <w:sz w:val="20"/>
        </w:rPr>
      </w:pPr>
      <w:bookmarkStart w:id="50" w:name="ex10_3toc60690_44"/>
      <w:bookmarkEnd w:id="50"/>
      <w:r>
        <w:rPr>
          <w:rFonts w:ascii="Times New Roman" w:hAnsi="Times New Roman"/>
          <w:sz w:val="20"/>
        </w:rPr>
        <w:t>8.2 </w:t>
      </w:r>
      <w:r>
        <w:rPr>
          <w:rFonts w:ascii="Times New Roman" w:hAnsi="Times New Roman"/>
          <w:sz w:val="20"/>
          <w:u w:val="single"/>
        </w:rPr>
        <w:t>Eﬀectiveness; Continuing Nature of this Agreement; Severability</w:t>
      </w:r>
      <w:r>
        <w:rPr>
          <w:rFonts w:ascii="Times New Roman" w:hAnsi="Times New Roman"/>
          <w:sz w:val="20"/>
        </w:rPr>
        <w:t xml:space="preserve">. This Agreement shall become eﬀective when executed and delivered by the parties hereto. This is a continuing agreement of lien and payment subordination and the First Lien Claimholders may continue, at any time and without notice to any Second Lien Representative or any other Second Lien Claimholder, to extend credit and other financial accommodations and lend monies to or for the benefit of the Company or any Grantor constituting First Lien Obligations in reliance hereon. Each Second Lien Representative and each Second Lien Collateral Agent, on behalf of itself and each other Second Lien Claimholder represented by it, hereby waives any right it may have under applicable law to revoke this Agreement or any of the provisions of this Agreement. The terms of this Agreement shall survive, and shall continue in full force and eﬀect, in any Insolvency or Liquidation Proceeding. Any provision of this Agreement that is prohibited or unenforceable in any jurisdiction shall, as to such jurisdiction, be ineﬀective to the extent of such prohibition or unenforceability without invalidating the remaining provisions hereof, and any such prohibition or unenforceability in any jurisdiction shall not invalidate or render unenforceable such provision in any other jurisdiction. The parties hereto shall endeavor in good faith negotiations to replace any invalid, illegal or unenforceable provisions with valid provisions the economic eﬀect of which comes as close as possible to those of the invalid, illegal or unenforceable provisions. All references to the Company or any other Grantor shall include the Company or such Grantor as debtor and debtor-in-possession and any receiver, trustee or similar Person for the Company or any other Grantor (as the case may be) in any Insolvency or Liquidation Proceeding. This Agreement shall terminate and be of no further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(a) with respect to any First Lien Representative and any First Lien Collateral Agent, the First Lien Claimholders represented by it and their First Lien Obligations, on the date on which the First Lien Obligations of such First Lien Claimholders are Discharged, subject to </w:t>
      </w:r>
      <w:r>
        <w:rPr>
          <w:rFonts w:ascii="Times New Roman" w:hAnsi="Times New Roman"/>
          <w:sz w:val="20"/>
          <w:u w:val="single"/>
        </w:rPr>
        <w:t>Section 6.5</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any Second Lien Representative and any Second Lien Collateral Agent, the Second Lien Claimholders represented by it and their Second Lien Obligations, on the date on which the Second Lien Obligations of such Second Lien Claimholders are Discharged, subject to </w:t>
      </w:r>
      <w:r>
        <w:rPr>
          <w:rFonts w:ascii="Times New Roman" w:hAnsi="Times New Roman"/>
          <w:sz w:val="20"/>
          <w:u w:val="single"/>
        </w:rPr>
        <w:t>Section 6.5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each case, such termination shall not relieve any such party of its obligations incurred hereunder prior to the date of such termination. </w:t>
      </w:r>
    </w:p>
    <w:p>
      <w:pPr>
        <w:pStyle w:val="TextBody"/>
        <w:bidi w:val="0"/>
        <w:spacing w:before="240" w:after="0"/>
        <w:jc w:val="left"/>
        <w:rPr>
          <w:rFonts w:ascii="Times New Roman" w:hAnsi="Times New Roman"/>
          <w:sz w:val="20"/>
        </w:rPr>
      </w:pPr>
      <w:bookmarkStart w:id="51" w:name="ex10_3toc60690_45"/>
      <w:bookmarkEnd w:id="51"/>
      <w:r>
        <w:rPr>
          <w:rFonts w:ascii="Times New Roman" w:hAnsi="Times New Roman"/>
          <w:sz w:val="20"/>
        </w:rPr>
        <w:t>8.3 </w:t>
      </w:r>
      <w:r>
        <w:rPr>
          <w:rFonts w:ascii="Times New Roman" w:hAnsi="Times New Roman"/>
          <w:sz w:val="20"/>
          <w:u w:val="single"/>
        </w:rPr>
        <w:t>Amendments; Waivers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amendment, modification or waiver of any of the provisions of this Agreement shall be deemed to be made unless the same shall be in writing signed on behalf of each party hereto or its authorized agent and each waiver, if any, shall be a waiver only with respect to the specific instance involved and shall in no way impair the rights of the parties making such waiver or the obligations of the other parties to such party in any other respect or at any other time. Notwithstanding the foregoing, the Company and the other Grantors shall not have any right to consent to or approve any amendment, modification or waiver of any provision of this Agreement, except with respect to any such amendment, modification or waiver (i) to </w:t>
      </w: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w:t>
      </w:r>
      <w:r>
        <w:rPr>
          <w:rFonts w:ascii="Times New Roman" w:hAnsi="Times New Roman"/>
          <w:sz w:val="20"/>
          <w:u w:val="single"/>
        </w:rPr>
        <w:t>Section 8.7</w:t>
      </w:r>
      <w:r>
        <w:rPr>
          <w:rFonts w:ascii="Times New Roman" w:hAnsi="Times New Roman"/>
          <w:sz w:val="20"/>
        </w:rPr>
        <w:t xml:space="preserve">, </w:t>
      </w:r>
      <w:r>
        <w:rPr>
          <w:rFonts w:ascii="Times New Roman" w:hAnsi="Times New Roman"/>
          <w:sz w:val="20"/>
          <w:u w:val="single"/>
        </w:rPr>
        <w:t>Section 8.18</w:t>
      </w:r>
      <w:r>
        <w:rPr>
          <w:rFonts w:ascii="Times New Roman" w:hAnsi="Times New Roman"/>
          <w:sz w:val="20"/>
        </w:rPr>
        <w:t xml:space="preserve">, </w:t>
      </w:r>
      <w:r>
        <w:rPr>
          <w:rFonts w:ascii="Times New Roman" w:hAnsi="Times New Roman"/>
          <w:sz w:val="20"/>
          <w:u w:val="single"/>
        </w:rPr>
        <w:t>Section 8.20</w:t>
      </w:r>
      <w:r>
        <w:rPr>
          <w:rFonts w:ascii="Times New Roman" w:hAnsi="Times New Roman"/>
          <w:sz w:val="20"/>
        </w:rPr>
        <w:t xml:space="preserve"> or this </w:t>
      </w:r>
      <w:r>
        <w:rPr>
          <w:rFonts w:ascii="Times New Roman" w:hAnsi="Times New Roman"/>
          <w:sz w:val="20"/>
          <w:u w:val="single"/>
        </w:rPr>
        <w:t>Section 8.3</w:t>
      </w:r>
      <w:r>
        <w:rPr>
          <w:rFonts w:ascii="Times New Roman" w:hAnsi="Times New Roman"/>
          <w:sz w:val="20"/>
        </w:rPr>
        <w:t xml:space="preserve">, or (ii) that increases the obligations or reduces the rights of, or otherwise adversely aﬀects, the Company or any other Grantor, which, in each case, shall require the consent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the foregoing, without the consent of any First Lien Claimholder or Second Lien Claimholder, any Representative and Collateral Agent may become a party hereto by execution and delivery of a Joinder Agreement in accordance with </w:t>
      </w:r>
      <w:r>
        <w:rPr>
          <w:rFonts w:ascii="Times New Roman" w:hAnsi="Times New Roman"/>
          <w:sz w:val="20"/>
          <w:u w:val="single"/>
        </w:rPr>
        <w:t>Section 8.7</w:t>
      </w:r>
      <w:r>
        <w:rPr>
          <w:rFonts w:ascii="Times New Roman" w:hAnsi="Times New Roman"/>
          <w:sz w:val="20"/>
        </w:rPr>
        <w:t xml:space="preserve"> and upon such execution and delivery, such Representative and Collateral Agent and the Additional Second Lien Claimholders and Additional Second Lien Obligations, as the case may be, of the Series for which such Representative and Collateral Agent are acting shall be subject to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foregoing, without the consent of any other Representative, Collateral Agent or Claimholder, the Designated First Lien Representative may eﬀect amendments and modifications to this Agreement to the extent necessary to reflect any incurrence of any Additional Second Lien Obligations in compliance with this Agreement. </w:t>
      </w:r>
    </w:p>
    <w:p>
      <w:pPr>
        <w:pStyle w:val="TextBody"/>
        <w:bidi w:val="0"/>
        <w:spacing w:before="240" w:after="0"/>
        <w:jc w:val="left"/>
        <w:rPr>
          <w:rFonts w:ascii="Times New Roman" w:hAnsi="Times New Roman"/>
          <w:sz w:val="20"/>
        </w:rPr>
      </w:pPr>
      <w:bookmarkStart w:id="52" w:name="ex10_3toc60690_46"/>
      <w:bookmarkEnd w:id="52"/>
      <w:r>
        <w:rPr>
          <w:rFonts w:ascii="Times New Roman" w:hAnsi="Times New Roman"/>
          <w:sz w:val="20"/>
        </w:rPr>
        <w:t>8.4 </w:t>
      </w:r>
      <w:r>
        <w:rPr>
          <w:rFonts w:ascii="Times New Roman" w:hAnsi="Times New Roman"/>
          <w:sz w:val="20"/>
          <w:u w:val="single"/>
        </w:rPr>
        <w:t>Information Concerning Financial Condition of the Grantors and their Subsidiaries</w:t>
      </w:r>
      <w:r>
        <w:rPr>
          <w:rFonts w:ascii="Times New Roman" w:hAnsi="Times New Roman"/>
          <w:sz w:val="20"/>
        </w:rPr>
        <w:t xml:space="preserve">. The First Lien Representatives, the First Lien Collateral Agents and the First Lien Claimholders, on the one hand, and the holders of Second Lien Debt, on the other hand, shall each be responsible for keeping themselves informed of (a) the financial condition of the Grantors and their Subsidiaries and all endorsers and/or guarantors of the First Lien Obligations or the Second Lien Obligations and (b) all other circumstances bearing upon the risk of nonpayment of the First Lien Obligations or the Second Lien Obligations. The First Lien Representatives, the First Lien Collateral Agents and the other First Lien Claimholders shall have no duty to advise the Second Lien Representatives, the Second Lien Collateral Agents or any other Second Lien Claimholder of information known to it or them regarding such condition or any such circumstances or otherwise. In the event the First Lien Representatives, the First Lien Collateral Agents or any of the other First Lien Claimholders, in its or their sole discretion, undertakes at any time or from time to time to provide any such information to any Second Lien Representative, any Second Lien Collateral Agent or any other Second Lien Claimholder, it or they shall be under no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(a) to make, and the First Lien Representatives, the First Lien Collateral Agents and the other First Lien Claimholders shall not make, any express or implied representation or warranty, including with respect to the accuracy, completeness, truthfulness or validity of any such information so provided; </w:t>
      </w:r>
    </w:p>
    <w:p>
      <w:pPr>
        <w:pStyle w:val="TextBody"/>
        <w:bidi w:val="0"/>
        <w:spacing w:before="120" w:after="0"/>
        <w:jc w:val="left"/>
        <w:rPr>
          <w:rFonts w:ascii="Times New Roman" w:hAnsi="Times New Roman"/>
          <w:sz w:val="20"/>
        </w:rPr>
      </w:pPr>
      <w:r>
        <w:rPr>
          <w:rFonts w:ascii="Times New Roman" w:hAnsi="Times New Roman"/>
          <w:sz w:val="20"/>
        </w:rPr>
        <w:t xml:space="preserve">(b) to provide any additional information or to provide any such information on any subsequent occasion; </w:t>
      </w:r>
    </w:p>
    <w:p>
      <w:pPr>
        <w:pStyle w:val="TextBody"/>
        <w:bidi w:val="0"/>
        <w:spacing w:before="120" w:after="0"/>
        <w:jc w:val="left"/>
        <w:rPr>
          <w:rFonts w:ascii="Times New Roman" w:hAnsi="Times New Roman"/>
          <w:sz w:val="20"/>
        </w:rPr>
      </w:pPr>
      <w:r>
        <w:rPr>
          <w:rFonts w:ascii="Times New Roman" w:hAnsi="Times New Roman"/>
          <w:sz w:val="20"/>
        </w:rPr>
        <w:t xml:space="preserve">(c) to undertake any investigation; or </w:t>
      </w:r>
    </w:p>
    <w:p>
      <w:pPr>
        <w:pStyle w:val="TextBody"/>
        <w:bidi w:val="0"/>
        <w:spacing w:before="120" w:after="0"/>
        <w:jc w:val="left"/>
        <w:rPr>
          <w:rFonts w:ascii="Times New Roman" w:hAnsi="Times New Roman"/>
          <w:sz w:val="20"/>
        </w:rPr>
      </w:pPr>
      <w:r>
        <w:rPr>
          <w:rFonts w:ascii="Times New Roman" w:hAnsi="Times New Roman"/>
          <w:sz w:val="20"/>
        </w:rPr>
        <w:t xml:space="preserve">(d) to disclose any information, which pursuant to accepted or reasonable commercial finance practices, such party wishes to maintain confidential or is otherwise required to maintain confidential. </w:t>
      </w:r>
    </w:p>
    <w:p>
      <w:pPr>
        <w:pStyle w:val="TextBody"/>
        <w:bidi w:val="0"/>
        <w:spacing w:before="240" w:after="0"/>
        <w:jc w:val="left"/>
        <w:rPr>
          <w:rFonts w:ascii="Times New Roman" w:hAnsi="Times New Roman"/>
          <w:sz w:val="20"/>
        </w:rPr>
      </w:pPr>
      <w:bookmarkStart w:id="53" w:name="ex10_3toc60690_47"/>
      <w:bookmarkEnd w:id="53"/>
      <w:r>
        <w:rPr>
          <w:rFonts w:ascii="Times New Roman" w:hAnsi="Times New Roman"/>
          <w:sz w:val="20"/>
        </w:rPr>
        <w:t>8.5 </w:t>
      </w:r>
      <w:r>
        <w:rPr>
          <w:rFonts w:ascii="Times New Roman" w:hAnsi="Times New Roman"/>
          <w:sz w:val="20"/>
          <w:u w:val="single"/>
        </w:rPr>
        <w:t>Subrogation</w:t>
      </w:r>
      <w:r>
        <w:rPr>
          <w:rFonts w:ascii="Times New Roman" w:hAnsi="Times New Roman"/>
          <w:sz w:val="20"/>
        </w:rPr>
        <w:t xml:space="preserve">. With respect to the value of any payments or distributions in cash, property or other assets that any of the Second Lien Representatives, the Second Lien Collateral Agents or the other Second Lien Claimholders pays over to any of the First Lien Representatives, the First Lien Collateral Agents or the other First Lien Claimholders under the terms of this Agreement, such Second Lien Claimholders, Second Lien Representatives and Second Lien Collateral Agents shall be subrogated to the rights of such First Lien Representatives, First Lien Collateral Agents and First Lien Claimholders; </w:t>
      </w:r>
      <w:r>
        <w:rPr>
          <w:rFonts w:ascii="Times New Roman" w:hAnsi="Times New Roman"/>
          <w:sz w:val="20"/>
          <w:u w:val="single"/>
        </w:rPr>
        <w:t>provided</w:t>
      </w:r>
      <w:r>
        <w:rPr>
          <w:rFonts w:ascii="Times New Roman" w:hAnsi="Times New Roman"/>
          <w:sz w:val="20"/>
        </w:rPr>
        <w:t xml:space="preserve"> that each Second Lien Representative and each Second Lien Collateral Agent, on behalf of itself and each other Second Lien Claimholder represented by it, hereby agrees not to assert or enforce any such rights of subrogation it may acquire as a result of any payment hereunder until the Discharge of First Lien Obligations has occurred. The Company and the other Grantors each acknowledges and agrees that the value of any payments or distributions in cash, property or other assets received by any Second Lien Representative, Second Lien Collateral Agent or other Second Lien Claimholder that are paid over to any First Lien Representative, First Lien Collateral Agent or other First Lien Claimholder pursuant to this Agreement shall not reduce any of the Second Lien Obligations. </w:t>
      </w:r>
    </w:p>
    <w:p>
      <w:pPr>
        <w:pStyle w:val="TextBody"/>
        <w:bidi w:val="0"/>
        <w:spacing w:before="240" w:after="0"/>
        <w:jc w:val="left"/>
        <w:rPr>
          <w:rFonts w:ascii="Times New Roman" w:hAnsi="Times New Roman"/>
          <w:sz w:val="20"/>
        </w:rPr>
      </w:pPr>
      <w:bookmarkStart w:id="54" w:name="ex10_3toc60690_48"/>
      <w:bookmarkEnd w:id="54"/>
      <w:r>
        <w:rPr>
          <w:rFonts w:ascii="Times New Roman" w:hAnsi="Times New Roman"/>
          <w:sz w:val="20"/>
        </w:rPr>
        <w:t>8.6 </w:t>
      </w:r>
      <w:r>
        <w:rPr>
          <w:rFonts w:ascii="Times New Roman" w:hAnsi="Times New Roman"/>
          <w:sz w:val="20"/>
          <w:u w:val="single"/>
        </w:rPr>
        <w:t>Application of Payments</w:t>
      </w:r>
      <w:r>
        <w:rPr>
          <w:rFonts w:ascii="Times New Roman" w:hAnsi="Times New Roman"/>
          <w:sz w:val="20"/>
        </w:rPr>
        <w:t xml:space="preserve">. All payments received by any First Lien Representative, First Lien Collateral Agent or other First Lien Claimholder may be applied, reversed and reapplied, in whole or in part, to such part of the First Lien Obligations provided for in the First Lien Loan Documents (subject to the First Lien Pari Passu Intercreditor Agreement, if then in eﬀect). Each Second Lien Representative and each Second Lien Collateral Agent, on behalf of itself and each other Second Lien Claimholder represented by it, agrees to any extension or postponement of the time of payment of the First Lien Obligations or any part thereof and to any other indulgence with respect thereto, to any substitution, exchange or release of any Lien which may at any time secure any part of the First Lien Obligations and to the addition or release of any other Person primarily or secondarily liable therefor. </w:t>
      </w:r>
    </w:p>
    <w:p>
      <w:pPr>
        <w:pStyle w:val="TextBody"/>
        <w:bidi w:val="0"/>
        <w:spacing w:before="240" w:after="0"/>
        <w:jc w:val="left"/>
        <w:rPr>
          <w:rFonts w:ascii="Times New Roman" w:hAnsi="Times New Roman"/>
          <w:sz w:val="20"/>
        </w:rPr>
      </w:pPr>
      <w:bookmarkStart w:id="55" w:name="ex10_3toc60690_49"/>
      <w:bookmarkEnd w:id="55"/>
      <w:r>
        <w:rPr>
          <w:rFonts w:ascii="Times New Roman" w:hAnsi="Times New Roman"/>
          <w:sz w:val="20"/>
        </w:rPr>
        <w:t>8.7 </w:t>
      </w:r>
      <w:r>
        <w:rPr>
          <w:rFonts w:ascii="Times New Roman" w:hAnsi="Times New Roman"/>
          <w:sz w:val="20"/>
          <w:u w:val="single"/>
        </w:rPr>
        <w:t>Additional Debt Facilities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(a) To the extent, but only to the extent, permitted by the provisions of the First Lien Loan Documents and the Second Lien Debt Documents and </w:t>
      </w:r>
      <w:r>
        <w:rPr>
          <w:rFonts w:ascii="Times New Roman" w:hAnsi="Times New Roman"/>
          <w:sz w:val="20"/>
          <w:u w:val="single"/>
        </w:rPr>
        <w:t>Section 5.3</w:t>
      </w:r>
      <w:r>
        <w:rPr>
          <w:rFonts w:ascii="Times New Roman" w:hAnsi="Times New Roman"/>
          <w:sz w:val="20"/>
        </w:rPr>
        <w:t>, the Company and the other Grantors may incur (or issue and sell), secure and guarantee one or more series or classes of Indebtedness that the Company designates as Additional Second Lien Debt (each, “</w:t>
      </w:r>
      <w:r>
        <w:rPr>
          <w:rFonts w:ascii="Times New Roman" w:hAnsi="Times New Roman"/>
          <w:b/>
          <w:sz w:val="20"/>
        </w:rPr>
        <w:t>Additional Debt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such series or class of Additional Second Lien Debt may be secured by a junior-priority, subordinated Lien on the Collateral, in each case under and pursuant to the relevant Second Lien Collateral Documents for such Series of Additional Second Lien Debt, if and subject to the condition, unless such Indebtedness is part of an existing Series of Additional Second Lien Debt represented by a Second Lien Representative and Second Lien Collateral Agent already party to this Agreement and the Second Lien Pari Passu Intercreditor Agreement, the Additional Second Lien Representative and Additional Second Lien Collateral Agent of any such Additional Second Lien Debt each becomes a party to this Agreement and the Second Lien Pari Passu Intercreditor Agreement by satisfying the conditions set forth in clauses (1) and (2) of </w:t>
      </w:r>
      <w:r>
        <w:rPr>
          <w:rFonts w:ascii="Times New Roman" w:hAnsi="Times New Roman"/>
          <w:sz w:val="20"/>
          <w:u w:val="single"/>
        </w:rPr>
        <w:t>Section 8.7(b</w:t>
      </w:r>
      <w:r>
        <w:rPr>
          <w:rFonts w:ascii="Times New Roman" w:hAnsi="Times New Roman"/>
          <w:sz w:val="20"/>
        </w:rPr>
        <w:t xml:space="preserve">), in each case with the consent of the First Lien Collateral Agent. Upon any Additional Second Lien Representative and Additional Second Lien Collateral Agent so becoming a party hereto and becoming a party to the Second Lien Pari Passu Intercreditor Agreement in accordance with the terms thereof, all Additional Second Lien Obligations of such Series shall also be entitled to be so secured by a subordinated Lien on the Collateral in accordance with the terms hereof and thereof. </w:t>
      </w:r>
    </w:p>
    <w:p>
      <w:pPr>
        <w:pStyle w:val="TextBody"/>
        <w:bidi w:val="0"/>
        <w:spacing w:before="120" w:after="0"/>
        <w:jc w:val="left"/>
        <w:rPr>
          <w:rFonts w:ascii="Times New Roman" w:hAnsi="Times New Roman"/>
          <w:sz w:val="20"/>
        </w:rPr>
      </w:pPr>
      <w:r>
        <w:rPr>
          <w:rFonts w:ascii="Times New Roman" w:hAnsi="Times New Roman"/>
          <w:sz w:val="20"/>
        </w:rPr>
        <w:t xml:space="preserve">(b) In order for an Additional Representative and an Additional Collateral Agent to become a party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(1) such Additional Representative and such Additional Collateral Agent shall have executed and delivered to the then-existing Designated First Lien Representative and the then-existing Designated Second Lien Representative a Joinder Agreement substantially in the form of </w:t>
      </w:r>
      <w:r>
        <w:rPr>
          <w:rFonts w:ascii="Times New Roman" w:hAnsi="Times New Roman"/>
          <w:sz w:val="20"/>
          <w:u w:val="single"/>
        </w:rPr>
        <w:t>Exhibit A</w:t>
      </w:r>
      <w:r>
        <w:rPr>
          <w:rFonts w:ascii="Times New Roman" w:hAnsi="Times New Roman"/>
          <w:sz w:val="20"/>
        </w:rPr>
        <w:t xml:space="preserve"> hereto (if such Representative is an Additional Second Lien Representative and such Collateral Agent is an Additional Second Lien Collateral Agent) (with such changes as may be reasonably approved by the Designated First Lien Representative and such Representative and such Collateral Agent) pursuant to which such Additional Representative becomes a Representative hereunder, such Additional Collateral Agent becomes a Collateral Agent hereunder and the related First Lien Claimholders or Second Lien Claimholders, as applicable, become subject hereto and bound hereby; and </w:t>
      </w:r>
    </w:p>
    <w:p>
      <w:pPr>
        <w:pStyle w:val="TextBody"/>
        <w:bidi w:val="0"/>
        <w:spacing w:before="120" w:after="0"/>
        <w:jc w:val="left"/>
        <w:rPr>
          <w:rFonts w:ascii="Times New Roman" w:hAnsi="Times New Roman"/>
          <w:sz w:val="20"/>
        </w:rPr>
      </w:pPr>
      <w:r>
        <w:rPr>
          <w:rFonts w:ascii="Times New Roman" w:hAnsi="Times New Roman"/>
          <w:sz w:val="20"/>
        </w:rPr>
        <w:t xml:space="preserve">(2) the Company shall have delivered a Designation to the then-existing Designated First Lien Collateral Agent and the then-existing Designated Second Lien Collateral Agent substantially in the form of </w:t>
      </w:r>
      <w:r>
        <w:rPr>
          <w:rFonts w:ascii="Times New Roman" w:hAnsi="Times New Roman"/>
          <w:sz w:val="20"/>
          <w:u w:val="single"/>
        </w:rPr>
        <w:t>Exhibit C</w:t>
      </w:r>
      <w:r>
        <w:rPr>
          <w:rFonts w:ascii="Times New Roman" w:hAnsi="Times New Roman"/>
          <w:sz w:val="20"/>
        </w:rPr>
        <w:t xml:space="preserve"> hereto, pursuant to which a Senior Oﬃcer shall identify the Indebtedness to be designated as Additional Second Lien Obligations, as applicable, and the initial aggregate principal amount of such Indebtedness, specify the name and address of the applicable Additional Representative and Additional Collateral Agent, certify that such Additional Debt is permitted to be incurred, secured and guaranteed by each First Lien Loan Document and Second Lien Debt Document and that the conditions set forth in this </w:t>
      </w:r>
      <w:r>
        <w:rPr>
          <w:rFonts w:ascii="Times New Roman" w:hAnsi="Times New Roman"/>
          <w:sz w:val="20"/>
          <w:u w:val="single"/>
        </w:rPr>
        <w:t>Section 8.7</w:t>
      </w:r>
      <w:r>
        <w:rPr>
          <w:rFonts w:ascii="Times New Roman" w:hAnsi="Times New Roman"/>
          <w:sz w:val="20"/>
        </w:rPr>
        <w:t xml:space="preserve"> are satisfied with respect to such Additional Debt and attach to such Designation true and complete copies of each of the First Lien Loan Documents or Second Lien Debt Documents, as applicable, relating to such Additional Second Lien Debt certified as being true and correct by a Senior Officer. </w:t>
      </w:r>
    </w:p>
    <w:p>
      <w:pPr>
        <w:pStyle w:val="TextBody"/>
        <w:bidi w:val="0"/>
        <w:spacing w:before="120" w:after="0"/>
        <w:jc w:val="left"/>
        <w:rPr>
          <w:rFonts w:ascii="Times New Roman" w:hAnsi="Times New Roman"/>
          <w:sz w:val="20"/>
        </w:rPr>
      </w:pPr>
      <w:r>
        <w:rPr>
          <w:rFonts w:ascii="Times New Roman" w:hAnsi="Times New Roman"/>
          <w:sz w:val="20"/>
        </w:rPr>
        <w:t xml:space="preserve">(c) The Additional Second Lien Debt Documents relating to such Additional Second Lien Obligations shall provide that each of the applicable Claimholders with respect to such Additional Second Lien Obligations will be subject to and bound by the provisions of this Agreement in its capacity as a holder of such Additional Second Lien Obligations.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(e) With respect to any incurrence, issuance or sale of Indebtedness after the date hereof under the Additional Second Lien Debt Documents of a Series of Additional Second Lien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Debt whose Representative and Collateral Agent are already each a party to this Agreement and the Second Lien Pari Passu Intercreditor Agreement, the requirements of </w:t>
      </w:r>
      <w:r>
        <w:rPr>
          <w:rFonts w:ascii="Times New Roman" w:hAnsi="Times New Roman"/>
          <w:sz w:val="20"/>
          <w:u w:val="single"/>
        </w:rPr>
        <w:t>Section 8.7(b)</w:t>
      </w:r>
      <w:r>
        <w:rPr>
          <w:rFonts w:ascii="Times New Roman" w:hAnsi="Times New Roman"/>
          <w:sz w:val="20"/>
        </w:rPr>
        <w:t xml:space="preserve"> shall not be applicable and such Indebtedness shall automatically constitute Additional Second Lien Debt so long as such Indebtedness is permitted to be incurred, secured and guaranteed by each First Lien Loan Document and Second Lien Debt Document and the provisions of </w:t>
      </w:r>
      <w:r>
        <w:rPr>
          <w:rFonts w:ascii="Times New Roman" w:hAnsi="Times New Roman"/>
          <w:sz w:val="20"/>
          <w:u w:val="single"/>
        </w:rPr>
        <w:t>Section 8.7(b)(2)</w:t>
      </w:r>
      <w:r>
        <w:rPr>
          <w:rFonts w:ascii="Times New Roman" w:hAnsi="Times New Roman"/>
          <w:sz w:val="20"/>
        </w:rPr>
        <w:t xml:space="preserve"> have been complied with;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however, that with respect to any such Indebtedness incurred, issued or sold pursuant to the terms of any Additional Second Lien Debt Documents of such existing Series of Additional Second Lien Debt as such terms existed on the date the Representative and Collateral Agent for such Series of Additional Second Lien Debt executed the Joinder Agreement, the requirements of this </w:t>
      </w:r>
      <w:r>
        <w:rPr>
          <w:rFonts w:ascii="Times New Roman" w:hAnsi="Times New Roman"/>
          <w:sz w:val="20"/>
          <w:u w:val="single"/>
        </w:rPr>
        <w:t>Section 8.7(e)</w:t>
      </w:r>
      <w:r>
        <w:rPr>
          <w:rFonts w:ascii="Times New Roman" w:hAnsi="Times New Roman"/>
          <w:sz w:val="20"/>
        </w:rPr>
        <w:t xml:space="preserve"> shall be tested only as of the date of execution of such Joinder Agreement, if pursuant to a commitment entered into at the time of such Joinder Agreement and with respect to any later commitment or amendment to those terms to permit such Indebtedness, as of the date of such commitment and/or amendment. </w:t>
      </w:r>
    </w:p>
    <w:p>
      <w:pPr>
        <w:pStyle w:val="TextBody"/>
        <w:bidi w:val="0"/>
        <w:spacing w:before="240" w:after="0"/>
        <w:jc w:val="left"/>
        <w:rPr>
          <w:rFonts w:ascii="Times New Roman" w:hAnsi="Times New Roman"/>
          <w:sz w:val="20"/>
        </w:rPr>
      </w:pPr>
      <w:bookmarkStart w:id="56" w:name="ex10_3toc60690_50"/>
      <w:bookmarkEnd w:id="56"/>
      <w:r>
        <w:rPr>
          <w:rFonts w:ascii="Times New Roman" w:hAnsi="Times New Roman"/>
          <w:sz w:val="20"/>
        </w:rPr>
        <w:t>8.8 </w:t>
      </w:r>
      <w:r>
        <w:rPr>
          <w:rFonts w:ascii="Times New Roman" w:hAnsi="Times New Roman"/>
          <w:sz w:val="20"/>
          <w:u w:val="single"/>
        </w:rPr>
        <w:t>Agency Capacities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expressly provided herein, Unprocessed Foods is acting in the capacity of First Lien Representative and First Lien Collateral Agent solely for the First Lien Claimholders, Wilmington Trust, National Association is acting in the capacity of Initial Second Lien Representative and Initial Second Lien Collateral Agent solely for the Initial Second Lien Claimholders, Unprocessed Foods is acting in the capacity of Designated First Lien Representative and Designated First Lien Collateral Agent solely for the First Lien Claimholders and Wilmington Trust, National Association is acting in the capacity of Designated Second Lien Representative and Designated Second Lien Collateral Agent solely for the Second Lien Claimholders. Except as expressly provided herein, each other Representative and Collateral Agent is acting in the capacity of Representative and Collateral Agent, respectively, solely for the Claimholders under the First Lien Loan Documents or Second Lien Debt Documents for which it is the named Representative or Collateral Agent, as the case may be, in the applicable Joinder Agreement. Wilmington Trust, National Association, in acting in its capacities as Initial Second Lien Representative, Initial Second Lien Collateral Agent, Designated Second Lien Representative and Designated Second Lien Collateral Agent, shall be entitled to the rights, immunities, indemnities, benefits, privileges and other protections of the Initial Second Lien Indenture when acting hereunder. </w:t>
      </w:r>
    </w:p>
    <w:p>
      <w:pPr>
        <w:pStyle w:val="TextBody"/>
        <w:bidi w:val="0"/>
        <w:spacing w:before="120" w:after="0"/>
        <w:jc w:val="left"/>
        <w:rPr>
          <w:rFonts w:ascii="Times New Roman" w:hAnsi="Times New Roman"/>
          <w:sz w:val="20"/>
        </w:rPr>
      </w:pPr>
      <w:r>
        <w:rPr>
          <w:rFonts w:ascii="Times New Roman" w:hAnsi="Times New Roman"/>
          <w:sz w:val="20"/>
        </w:rPr>
        <w:t xml:space="preserve">(b) Each of the First Lien Representative and First Lien Collateral Agent is executing and delivering this Agreement solely in its capacity as such and pursuant to directions set forth in the First Lien Loan Agreement; and in doing so, neither shall be responsible for the terms or suﬃciency of this Agreement for any purpose. Each of the First Lien Representative and First Lien Collateral Agent shall not have duties or obligations under or pursuant to this Agreement other than such duties expressly set forth in this Agreement as duties on its part to be performed or observed. In entering into this Agreement, or in taking (or forbearing from) any action under or pursuant to this Agreement, each of the First Lien Representative and First Lien Collateral Agent shall have and be protected by all of the rights, immunities, indemnities and other protections granted it to under the First Lien Loan Documents,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(c) Each of the Initial Second Lien Representative and Initial Second Lien Collateral Agent is executing and delivering this Agreement solely in its capacity as such and pursuant to directions set forth in the Initial Second Lien Debt Document; and in doing so, neither shall be responsible for the terms or suﬃciency of this Agreement for any purpose. Each of the Initial Second Lien Representative and Initial Second Lien Collateral Agent shall not have duties or obligations under or pursuant to this Agreement other than such duties expressly set forth in this Agreement as duties on its part to be performed or observed. In entering into this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taking (or forbearing from) any action under or pursuant to this Agreement, each of the Initial Second Lien Representative and Initial Second Lien Collateral Agent shall have and be protected by all of the rights, immunities, indemnities, benefits, privileges and other protections granted it to under the Initial Second Lien Debt Documents,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(d) Each of the above clauses (b) and (c), as applicable, shall apply to each Additional Collateral Agent and Additional Representative, mutatis mutandis, and they shall have the same protections aﬀorded them by the applicable Additional Second Lien Debt Documents. </w:t>
      </w:r>
    </w:p>
    <w:p>
      <w:pPr>
        <w:pStyle w:val="TextBody"/>
        <w:bidi w:val="0"/>
        <w:spacing w:before="240" w:after="0"/>
        <w:jc w:val="left"/>
        <w:rPr>
          <w:rFonts w:ascii="Times New Roman" w:hAnsi="Times New Roman"/>
          <w:sz w:val="20"/>
        </w:rPr>
      </w:pPr>
      <w:bookmarkStart w:id="57" w:name="ex10_3toc60690_51"/>
      <w:bookmarkEnd w:id="57"/>
      <w:r>
        <w:rPr>
          <w:rFonts w:ascii="Times New Roman" w:hAnsi="Times New Roman"/>
          <w:sz w:val="20"/>
        </w:rPr>
        <w:t>8.9 </w:t>
      </w:r>
      <w:r>
        <w:rPr>
          <w:rFonts w:ascii="Times New Roman" w:hAnsi="Times New Roman"/>
          <w:sz w:val="20"/>
          <w:u w:val="single"/>
        </w:rPr>
        <w:t>Submission to Jurisdiction; Certain Waivers</w:t>
      </w:r>
      <w:r>
        <w:rPr>
          <w:rFonts w:ascii="Times New Roman" w:hAnsi="Times New Roman"/>
          <w:sz w:val="20"/>
        </w:rPr>
        <w:t xml:space="preserve">. Each of the Company, each other Grantor, and each Representative and each Collateral Agent, on behalf of itself and each other applicable Claimholder represented by it, hereby irrevocably and unconditionally: </w:t>
      </w:r>
    </w:p>
    <w:p>
      <w:pPr>
        <w:pStyle w:val="TextBody"/>
        <w:bidi w:val="0"/>
        <w:spacing w:before="120" w:after="0"/>
        <w:jc w:val="left"/>
        <w:rPr>
          <w:rFonts w:ascii="Times New Roman" w:hAnsi="Times New Roman"/>
          <w:sz w:val="20"/>
        </w:rPr>
      </w:pPr>
      <w:r>
        <w:rPr>
          <w:rFonts w:ascii="Times New Roman" w:hAnsi="Times New Roman"/>
          <w:sz w:val="20"/>
        </w:rPr>
        <w:t xml:space="preserve">(a) submits for itself and its property in any legal action or proceeding relating to this Agreement and the Collateral Documents (whether arising in contract, tort or otherwise) to which it is a party, or for recognition and enforcement of any judgment in respect thereof, to the exclusive general jurisdiction of the courts of the State of New York sitting in the Borough of Manhattan, the courts of the United States for the Southern District of New York sitting in the Borough of Manhattan, and appellate courts from any thereof; </w:t>
      </w:r>
    </w:p>
    <w:p>
      <w:pPr>
        <w:pStyle w:val="TextBody"/>
        <w:bidi w:val="0"/>
        <w:spacing w:before="120" w:after="0"/>
        <w:jc w:val="left"/>
        <w:rPr>
          <w:rFonts w:ascii="Times New Roman" w:hAnsi="Times New Roman"/>
          <w:sz w:val="20"/>
        </w:rPr>
      </w:pPr>
      <w:r>
        <w:rPr>
          <w:rFonts w:ascii="Times New Roman" w:hAnsi="Times New Roman"/>
          <w:sz w:val="20"/>
        </w:rPr>
        <w:t xml:space="preserve">(b) agrees that all claims in respect of any such action or proceeding shall be heard and determined in such New York state court or, to the fullest extent permitted by applicable law, in such federal court; </w:t>
      </w:r>
    </w:p>
    <w:p>
      <w:pPr>
        <w:pStyle w:val="TextBody"/>
        <w:bidi w:val="0"/>
        <w:spacing w:before="120" w:after="0"/>
        <w:jc w:val="left"/>
        <w:rPr>
          <w:rFonts w:ascii="Times New Roman" w:hAnsi="Times New Roman"/>
          <w:sz w:val="20"/>
        </w:rPr>
      </w:pPr>
      <w:r>
        <w:rPr>
          <w:rFonts w:ascii="Times New Roman" w:hAnsi="Times New Roman"/>
          <w:sz w:val="20"/>
        </w:rPr>
        <w:t xml:space="preserve">(c) agrees that a final judgment in any such action or proceeding shall be conclusive and may be enforced in other jurisdictions by suit on the judgment or in any other manner provided by law and that nothing in this Agreement or any other First Lien Loan Document or Second Lien Debt Document shall aﬀect any right that any Claimholder may otherwise have to bring any action or proceeding relating to this Agreement or any other First Lien Loan Document or Second Lien Debt Document against such Grantor or any of its assets in the courts of any jurisdiction; </w:t>
      </w:r>
    </w:p>
    <w:p>
      <w:pPr>
        <w:pStyle w:val="TextBody"/>
        <w:bidi w:val="0"/>
        <w:spacing w:before="120" w:after="0"/>
        <w:jc w:val="left"/>
        <w:rPr>
          <w:rFonts w:ascii="Times New Roman" w:hAnsi="Times New Roman"/>
          <w:sz w:val="20"/>
        </w:rPr>
      </w:pPr>
      <w:r>
        <w:rPr>
          <w:rFonts w:ascii="Times New Roman" w:hAnsi="Times New Roman"/>
          <w:sz w:val="20"/>
        </w:rPr>
        <w:t xml:space="preserve">(d) waives, to the fullest extent permitted by applicable law, any objection that it may now or hereafter have to the laying of venue of any action or proceeding arising out of or relating to this Agreement or any other Collateral Document in any court referred to in </w:t>
      </w:r>
      <w:r>
        <w:rPr>
          <w:rFonts w:ascii="Times New Roman" w:hAnsi="Times New Roman"/>
          <w:sz w:val="20"/>
          <w:u w:val="single"/>
        </w:rPr>
        <w:t>Section 8.9(a)</w:t>
      </w:r>
      <w:r>
        <w:rPr>
          <w:rFonts w:ascii="Times New Roman" w:hAnsi="Times New Roman"/>
          <w:sz w:val="20"/>
        </w:rPr>
        <w:t xml:space="preserve"> (and irrevocably waives to the fullest extent permitted by applicable law the defense of an inconvenient forum to the maintenance of such action or proceeding in any such court); </w:t>
      </w:r>
    </w:p>
    <w:p>
      <w:pPr>
        <w:pStyle w:val="TextBody"/>
        <w:bidi w:val="0"/>
        <w:spacing w:before="120" w:after="0"/>
        <w:jc w:val="left"/>
        <w:rPr>
          <w:rFonts w:ascii="Times New Roman" w:hAnsi="Times New Roman"/>
          <w:sz w:val="20"/>
        </w:rPr>
      </w:pPr>
      <w:r>
        <w:rPr>
          <w:rFonts w:ascii="Times New Roman" w:hAnsi="Times New Roman"/>
          <w:sz w:val="20"/>
        </w:rPr>
        <w:t xml:space="preserve">(e) consents to service of process in any such proceeding in any such court by registered or certified mail, return receipt requested, to the applicable party at its address provided in accordance with </w:t>
      </w:r>
      <w:r>
        <w:rPr>
          <w:rFonts w:ascii="Times New Roman" w:hAnsi="Times New Roman"/>
          <w:sz w:val="20"/>
          <w:u w:val="single"/>
        </w:rPr>
        <w:t>Section 8.11</w:t>
      </w:r>
      <w:r>
        <w:rPr>
          <w:rFonts w:ascii="Times New Roman" w:hAnsi="Times New Roman"/>
          <w:sz w:val="20"/>
        </w:rPr>
        <w:t xml:space="preserve"> (and agrees that nothing in this Agreement will aﬀect the right of any party hereto to serve process in any other manner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(f) agrees that service as provided in </w:t>
      </w:r>
      <w:r>
        <w:rPr>
          <w:rFonts w:ascii="Times New Roman" w:hAnsi="Times New Roman"/>
          <w:sz w:val="20"/>
          <w:u w:val="single"/>
        </w:rPr>
        <w:t>Section 8.9(e)</w:t>
      </w:r>
      <w:r>
        <w:rPr>
          <w:rFonts w:ascii="Times New Roman" w:hAnsi="Times New Roman"/>
          <w:sz w:val="20"/>
        </w:rPr>
        <w:t xml:space="preserve"> is suﬃcient to confer personal jurisdiction over the applicable party in any such proceeding in any such court, and otherwise constitutes eﬀective and binding service in every respect; and </w:t>
      </w:r>
    </w:p>
    <w:p>
      <w:pPr>
        <w:pStyle w:val="TextBody"/>
        <w:bidi w:val="0"/>
        <w:spacing w:before="120" w:after="0"/>
        <w:jc w:val="left"/>
        <w:rPr>
          <w:rFonts w:ascii="Times New Roman" w:hAnsi="Times New Roman"/>
          <w:sz w:val="20"/>
        </w:rPr>
      </w:pPr>
      <w:r>
        <w:rPr>
          <w:rFonts w:ascii="Times New Roman" w:hAnsi="Times New Roman"/>
          <w:sz w:val="20"/>
        </w:rPr>
        <w:t xml:space="preserve">(g) waives, to the maximum extent not prohibited by law, any right it may have to claim or recover any special, exemplary, punitive or consequential damages. </w:t>
      </w:r>
    </w:p>
    <w:p>
      <w:pPr>
        <w:pStyle w:val="TextBody"/>
        <w:bidi w:val="0"/>
        <w:spacing w:before="240" w:after="0"/>
        <w:jc w:val="left"/>
        <w:rPr>
          <w:rFonts w:ascii="Times New Roman" w:hAnsi="Times New Roman"/>
          <w:sz w:val="20"/>
        </w:rPr>
      </w:pPr>
      <w:bookmarkStart w:id="58" w:name="ex10_3toc60690_52"/>
      <w:bookmarkEnd w:id="58"/>
      <w:r>
        <w:rPr>
          <w:rFonts w:ascii="Times New Roman" w:hAnsi="Times New Roman"/>
          <w:sz w:val="20"/>
        </w:rPr>
        <w:t>8.10 </w:t>
      </w:r>
      <w:r>
        <w:rPr>
          <w:rFonts w:ascii="Times New Roman" w:hAnsi="Times New Roman"/>
          <w:sz w:val="20"/>
          <w:u w:val="single"/>
        </w:rPr>
        <w:t>WAIVER OF JURY TRIAL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EACH PARTY HERETO, AND THE COMPANY AND THE OTHER GRANTORS HEREBY IRREVOCABLY WAIVES, TO THE FULLEST EXTENT PERMITTED BY APPLICABLE LAW, ANY RIGHT IT MAY HAVE TO A TRIAL BY JURY IN ANY LEGAL PROCEEDING DIRECTLY OR INDIRECTLY ARISING OUT OF OR RELATING TO THIS AGREEMENT OR THE TRANSACTIONS CONTEMPLATED HEREBY OR THEREBY (WHETHER BASED ON CONTRACT, TORT, BREACH OF DUTY, COMMON LAW, STATUTE OR ANY OTHER THEORY). EACH PARTY HERETO AND THE COMPANY AND THE OTHER GRANTORS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BY, AMONG OTHER THINGS, THE MUTUAL WAIVERS AND CERTIFICATIONS IN THIS SECTION. EACH PARTY HERETO AND THE COMPANY AND THE OTHER GRANTORS FURTHER REPRESENTS AND WARRANTS THAT IT HAS REVIEWED THIS WAIVER WITH ITS LEGAL COUNSEL AND THAT IT KNOWINGLY AND VOLUNTARILY WAIVES ITS JURY TRIAL RIGHTS FOLLOWING CONSULTATION WITH LEGAL COUNSEL. </w:t>
      </w:r>
    </w:p>
    <w:p>
      <w:pPr>
        <w:pStyle w:val="TextBody"/>
        <w:bidi w:val="0"/>
        <w:spacing w:before="240" w:after="0"/>
        <w:jc w:val="left"/>
        <w:rPr>
          <w:rFonts w:ascii="Times New Roman" w:hAnsi="Times New Roman"/>
          <w:sz w:val="20"/>
        </w:rPr>
      </w:pPr>
      <w:bookmarkStart w:id="59" w:name="ex10_3toc60690_53"/>
      <w:bookmarkEnd w:id="59"/>
      <w:r>
        <w:rPr>
          <w:rFonts w:ascii="Times New Roman" w:hAnsi="Times New Roman"/>
          <w:sz w:val="20"/>
        </w:rPr>
        <w:t>8.11 </w:t>
      </w:r>
      <w:r>
        <w:rPr>
          <w:rFonts w:ascii="Times New Roman" w:hAnsi="Times New Roman"/>
          <w:sz w:val="20"/>
          <w:u w:val="single"/>
        </w:rPr>
        <w:t>Notices</w:t>
      </w:r>
      <w:r>
        <w:rPr>
          <w:rFonts w:ascii="Times New Roman" w:hAnsi="Times New Roman"/>
          <w:sz w:val="20"/>
        </w:rPr>
        <w:t xml:space="preserve">. All notices to the Second Lien Claimholders and the First Lien Claimholders permitted or required under this Agreement shall be sent to the applicable Second Lien Representative and the applicable First Lien Representative, respectively. Unless otherwise specifically provided herein, any notice hereunder shall be in writing and may be personally served or sent by telefacsimile, electronic mail or United States mail or courier service and shall be deemed to have been given when delivered in person or by courier service and signed for against receipt thereof, upon receipt of telefacsimile or electronic mail, or three Business Days after depositing it in the United States mail with postage prepaid and properly addressed. For the purposes hereof, the addresses of the parties hereto shall be as set forth below or in the Joinder Agreement pursuant to which it becomes a party hereto, or, as to each party, at such other address as may be designated by such party in a written notice to all of the other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UNPROCESSED FOODS, LLC, as First Lien Representative and as First Lien Collateral Agent: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Unprocessed Foods, LLC </w:t>
      </w:r>
    </w:p>
    <w:p>
      <w:pPr>
        <w:pStyle w:val="TextBody"/>
        <w:bidi w:val="0"/>
        <w:spacing w:before="0" w:after="0"/>
        <w:jc w:val="left"/>
        <w:rPr>
          <w:rFonts w:ascii="Times New Roman" w:hAnsi="Times New Roman"/>
          <w:sz w:val="20"/>
        </w:rPr>
      </w:pPr>
      <w:r>
        <w:rPr>
          <w:rFonts w:ascii="Times New Roman" w:hAnsi="Times New Roman"/>
          <w:sz w:val="20"/>
        </w:rPr>
        <w:t xml:space="preserve">1908 Thomas Avenue, Suite 12227 </w:t>
      </w:r>
    </w:p>
    <w:p>
      <w:pPr>
        <w:pStyle w:val="TextBody"/>
        <w:bidi w:val="0"/>
        <w:spacing w:before="0" w:after="0"/>
        <w:jc w:val="left"/>
        <w:rPr>
          <w:rFonts w:ascii="Times New Roman" w:hAnsi="Times New Roman"/>
          <w:sz w:val="20"/>
        </w:rPr>
      </w:pPr>
      <w:r>
        <w:rPr>
          <w:rFonts w:ascii="Times New Roman" w:hAnsi="Times New Roman"/>
          <w:sz w:val="20"/>
        </w:rPr>
        <w:t xml:space="preserve">Cheyenne, WY 82001 </w:t>
      </w:r>
    </w:p>
    <w:p>
      <w:pPr>
        <w:pStyle w:val="TextBody"/>
        <w:bidi w:val="0"/>
        <w:spacing w:before="0" w:after="0"/>
        <w:jc w:val="left"/>
        <w:rPr>
          <w:rFonts w:ascii="Times New Roman" w:hAnsi="Times New Roman"/>
          <w:sz w:val="20"/>
        </w:rPr>
      </w:pPr>
      <w:r>
        <w:rPr>
          <w:rFonts w:ascii="Times New Roman" w:hAnsi="Times New Roman"/>
          <w:sz w:val="20"/>
        </w:rPr>
        <w:t xml:space="preserve">Attention: Shaleen Shah </w:t>
      </w:r>
    </w:p>
    <w:p>
      <w:pPr>
        <w:pStyle w:val="TextBody"/>
        <w:bidi w:val="0"/>
        <w:spacing w:before="0" w:after="0"/>
        <w:jc w:val="left"/>
        <w:rPr>
          <w:rFonts w:ascii="Times New Roman" w:hAnsi="Times New Roman"/>
          <w:sz w:val="20"/>
        </w:rPr>
      </w:pPr>
      <w:r>
        <w:rPr>
          <w:rFonts w:ascii="Times New Roman" w:hAnsi="Times New Roman"/>
          <w:sz w:val="20"/>
        </w:rPr>
        <w:t xml:space="preserve">E-mail: shaleen@ahimsafdn.org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DLA Piper LLP (US) </w:t>
      </w:r>
    </w:p>
    <w:p>
      <w:pPr>
        <w:pStyle w:val="TextBody"/>
        <w:bidi w:val="0"/>
        <w:spacing w:before="0" w:after="0"/>
        <w:jc w:val="left"/>
        <w:rPr>
          <w:rFonts w:ascii="Times New Roman" w:hAnsi="Times New Roman"/>
          <w:sz w:val="20"/>
        </w:rPr>
      </w:pPr>
      <w:r>
        <w:rPr>
          <w:rFonts w:ascii="Times New Roman" w:hAnsi="Times New Roman"/>
          <w:sz w:val="20"/>
        </w:rPr>
        <w:t xml:space="preserve">2000 Avenue of the Stars </w:t>
      </w:r>
    </w:p>
    <w:p>
      <w:pPr>
        <w:pStyle w:val="TextBody"/>
        <w:bidi w:val="0"/>
        <w:spacing w:before="0" w:after="0"/>
        <w:jc w:val="left"/>
        <w:rPr>
          <w:rFonts w:ascii="Times New Roman" w:hAnsi="Times New Roman"/>
          <w:sz w:val="20"/>
        </w:rPr>
      </w:pPr>
      <w:r>
        <w:rPr>
          <w:rFonts w:ascii="Times New Roman" w:hAnsi="Times New Roman"/>
          <w:sz w:val="20"/>
        </w:rPr>
        <w:t xml:space="preserve">Suite 400 North Tower </w:t>
      </w:r>
    </w:p>
    <w:p>
      <w:pPr>
        <w:pStyle w:val="TextBody"/>
        <w:bidi w:val="0"/>
        <w:spacing w:before="0" w:after="0"/>
        <w:jc w:val="left"/>
        <w:rPr>
          <w:rFonts w:ascii="Times New Roman" w:hAnsi="Times New Roman"/>
          <w:sz w:val="20"/>
        </w:rPr>
      </w:pPr>
      <w:r>
        <w:rPr>
          <w:rFonts w:ascii="Times New Roman" w:hAnsi="Times New Roman"/>
          <w:sz w:val="20"/>
        </w:rPr>
        <w:t xml:space="preserve">Los Angeles, CA 90067-4704 </w:t>
      </w:r>
    </w:p>
    <w:p>
      <w:pPr>
        <w:pStyle w:val="TextBody"/>
        <w:bidi w:val="0"/>
        <w:spacing w:before="0" w:after="0"/>
        <w:jc w:val="left"/>
        <w:rPr>
          <w:rFonts w:ascii="Times New Roman" w:hAnsi="Times New Roman"/>
          <w:sz w:val="20"/>
        </w:rPr>
      </w:pPr>
      <w:r>
        <w:rPr>
          <w:rFonts w:ascii="Times New Roman" w:hAnsi="Times New Roman"/>
          <w:sz w:val="20"/>
        </w:rPr>
        <w:t xml:space="preserve">Attn: Eric Goldberg and Shmuel Klahr </w:t>
      </w:r>
    </w:p>
    <w:p>
      <w:pPr>
        <w:pStyle w:val="TextBody"/>
        <w:bidi w:val="0"/>
        <w:spacing w:before="0" w:after="0"/>
        <w:jc w:val="left"/>
        <w:rPr>
          <w:rFonts w:ascii="Times New Roman" w:hAnsi="Times New Roman"/>
          <w:sz w:val="20"/>
        </w:rPr>
      </w:pPr>
      <w:r>
        <w:rPr>
          <w:rFonts w:ascii="Times New Roman" w:hAnsi="Times New Roman"/>
          <w:sz w:val="20"/>
        </w:rPr>
        <w:t xml:space="preserve">Email: eric.goldberg@us.dlapiper.com and shmuel.klahr@us.dlapiper.com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Wilmington Trust, National Association, as Initial Second Lien Representative and as Initial Second Lien Collateral Agent: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 19890 Attention: Beyond Meat Administrator </w:t>
      </w:r>
    </w:p>
    <w:p>
      <w:pPr>
        <w:pStyle w:val="TextBody"/>
        <w:bidi w:val="0"/>
        <w:spacing w:before="0" w:after="0"/>
        <w:jc w:val="left"/>
        <w:rPr>
          <w:rFonts w:ascii="Times New Roman" w:hAnsi="Times New Roman"/>
          <w:sz w:val="20"/>
        </w:rPr>
      </w:pPr>
      <w:r>
        <w:rPr>
          <w:rFonts w:ascii="Times New Roman" w:hAnsi="Times New Roman"/>
          <w:sz w:val="20"/>
        </w:rPr>
        <w:t xml:space="preserve">Email: WTCorporateDebtTeam@WilmingtonTrust.com </w:t>
      </w:r>
    </w:p>
    <w:p>
      <w:pPr>
        <w:pStyle w:val="TextBody"/>
        <w:bidi w:val="0"/>
        <w:spacing w:before="0" w:after="0"/>
        <w:jc w:val="left"/>
        <w:rPr>
          <w:rFonts w:ascii="Times New Roman" w:hAnsi="Times New Roman"/>
          <w:sz w:val="20"/>
        </w:rPr>
      </w:pPr>
      <w:r>
        <w:rPr>
          <w:rFonts w:ascii="Times New Roman" w:hAnsi="Times New Roman"/>
          <w:sz w:val="20"/>
        </w:rPr>
        <w:t xml:space="preserve">Facsimile: (302) 636-4149 </w:t>
      </w:r>
    </w:p>
    <w:p>
      <w:pPr>
        <w:pStyle w:val="TextBody"/>
        <w:bidi w:val="0"/>
        <w:spacing w:before="240" w:after="0"/>
        <w:jc w:val="left"/>
        <w:rPr>
          <w:rFonts w:ascii="Times New Roman" w:hAnsi="Times New Roman"/>
          <w:sz w:val="20"/>
        </w:rPr>
      </w:pPr>
      <w:bookmarkStart w:id="60" w:name="ex10_3toc60690_54"/>
      <w:bookmarkEnd w:id="60"/>
      <w:r>
        <w:rPr>
          <w:rFonts w:ascii="Times New Roman" w:hAnsi="Times New Roman"/>
          <w:sz w:val="20"/>
        </w:rPr>
        <w:t>8.12 </w:t>
      </w:r>
      <w:r>
        <w:rPr>
          <w:rFonts w:ascii="Times New Roman" w:hAnsi="Times New Roman"/>
          <w:sz w:val="20"/>
          <w:u w:val="single"/>
        </w:rPr>
        <w:t>Further Assurances</w:t>
      </w:r>
      <w:r>
        <w:rPr>
          <w:rFonts w:ascii="Times New Roman" w:hAnsi="Times New Roman"/>
          <w:sz w:val="20"/>
        </w:rPr>
        <w:t xml:space="preserve">. Each First Lien Representative and each First Lien Collateral Agent, on behalf of itself and each other First Lien Claimholder represented by it, each Second Lien Representative and each Second Lien Collateral Agent, on behalf of itself and each other Second Lien Claimholder represented by it, and the Company and each other Grantor, agree that each of them shall take such further action and shall execute and deliver such additional documents and instruments (in recordable form, if requested) as any First Lien Representative and First Lien Collateral Agent or any Second Lien Representative and Second Lien Collateral Agent may reasonably request to eﬀectuate the terms of and the Lien priorities contemplated by this Agreement. </w:t>
      </w:r>
    </w:p>
    <w:p>
      <w:pPr>
        <w:pStyle w:val="TextBody"/>
        <w:bidi w:val="0"/>
        <w:spacing w:before="240" w:after="0"/>
        <w:jc w:val="left"/>
        <w:rPr>
          <w:rFonts w:ascii="Times New Roman" w:hAnsi="Times New Roman"/>
          <w:sz w:val="20"/>
        </w:rPr>
      </w:pPr>
      <w:bookmarkStart w:id="61" w:name="ex10_3toc60690_55"/>
      <w:bookmarkEnd w:id="61"/>
      <w:r>
        <w:rPr>
          <w:rFonts w:ascii="Times New Roman" w:hAnsi="Times New Roman"/>
          <w:sz w:val="20"/>
        </w:rPr>
        <w:t>8.13 </w:t>
      </w:r>
      <w:r>
        <w:rPr>
          <w:rFonts w:ascii="Times New Roman" w:hAnsi="Times New Roman"/>
          <w:sz w:val="20"/>
          <w:u w:val="single"/>
        </w:rPr>
        <w:t>APPLICABLE LAW</w:t>
      </w:r>
      <w:r>
        <w:rPr>
          <w:rFonts w:ascii="Times New Roman" w:hAnsi="Times New Roman"/>
          <w:sz w:val="20"/>
        </w:rPr>
        <w:t xml:space="preserve">. </w:t>
      </w:r>
      <w:r>
        <w:rPr>
          <w:rFonts w:ascii="Times New Roman" w:hAnsi="Times New Roman"/>
          <w:b/>
          <w:sz w:val="20"/>
        </w:rPr>
        <w:t>THIS AGREEMENT, AND ANY DISPUTE, CLAIM OR CONTROVERSY ARISING OUT OF OR RELATING TO THIS AGREEMENT (WHETHER ARISING IN CONTRACT, TORT OR OTHERWISE) SHALL BE GOVERNED BY, AND CONSTRUED AND INTERPRETED IN ACCORDANCE WITH, THE LAW OF THE STATE OF NEW YORK WITHOUT REGARD TO CONFLICTS OF LAW RULES THAT WOULD RESULT IN THE APPLICATION OF A DIFFERENT GOVERNING LAW (OTHER THAN ANY MANDATORY PROVISIONS OF THE UCC RELATING TO THE LAW GOVERNING PERFECTION AND THE EFFECT OF PERFECTION OR PRIORITY OF THE SECURITY INTERESTS IN THE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62" w:name="ex10_3toc60690_56"/>
      <w:bookmarkEnd w:id="62"/>
      <w:r>
        <w:rPr>
          <w:rFonts w:ascii="Times New Roman" w:hAnsi="Times New Roman"/>
          <w:sz w:val="20"/>
        </w:rPr>
        <w:t>8.14 </w:t>
      </w:r>
      <w:r>
        <w:rPr>
          <w:rFonts w:ascii="Times New Roman" w:hAnsi="Times New Roman"/>
          <w:sz w:val="20"/>
          <w:u w:val="single"/>
        </w:rPr>
        <w:t>Binding on Successors and Assigns</w:t>
      </w:r>
      <w:r>
        <w:rPr>
          <w:rFonts w:ascii="Times New Roman" w:hAnsi="Times New Roman"/>
          <w:sz w:val="20"/>
        </w:rPr>
        <w:t xml:space="preserve">. This Agreement shall be binding upon the First Lien Representatives, the First Lien Collateral Agents, the other First Lien Claimholders, the Second Lien Representatives, the Second Lien Collateral Agents, the other Second Lien Claimholders, the Company and the other Grantors, and their respective successors and assigns from time to time. If any of the First Lien Representatives, the First Lien Collateral Agents, the Second Lien Representatives or the Second Lien Collateral Agents resigns or is replaced pursuant to the First Lien Loan Documents or the Second Lien Debt Documents, as applicable, its successor shall be deemed to be a party to this Agreement and shall have all the rights of, and be subject to all the obligations of, this Agreement. No provision of this Agreement will inure to the benefit of a bankruptcy trustee, creditor trust or other representative of an estate or creditor of any Grantor, including where any such trustee, creditor trust or other representative of an estate is the beneficiary of a Lien securing Collateral by virtue of the avoidance of such Lien in an Insolvency or Liquidation Proceeding. </w:t>
      </w:r>
    </w:p>
    <w:p>
      <w:pPr>
        <w:pStyle w:val="TextBody"/>
        <w:bidi w:val="0"/>
        <w:spacing w:before="240" w:after="0"/>
        <w:jc w:val="left"/>
        <w:rPr>
          <w:rFonts w:ascii="Times New Roman" w:hAnsi="Times New Roman"/>
          <w:sz w:val="20"/>
        </w:rPr>
      </w:pPr>
      <w:bookmarkStart w:id="63" w:name="ex10_3toc60690_57"/>
      <w:bookmarkEnd w:id="63"/>
      <w:r>
        <w:rPr>
          <w:rFonts w:ascii="Times New Roman" w:hAnsi="Times New Roman"/>
          <w:sz w:val="20"/>
        </w:rPr>
        <w:t>8.15 </w:t>
      </w:r>
      <w:r>
        <w:rPr>
          <w:rFonts w:ascii="Times New Roman" w:hAnsi="Times New Roman"/>
          <w:sz w:val="20"/>
          <w:u w:val="single"/>
        </w:rPr>
        <w:t>Section Headings</w:t>
      </w:r>
      <w:r>
        <w:rPr>
          <w:rFonts w:ascii="Times New Roman" w:hAnsi="Times New Roman"/>
          <w:sz w:val="20"/>
        </w:rPr>
        <w:t xml:space="preserve">. The section headings and the table of contents used in this Agreement are included herein for convenience of reference only and shall not constitute a part of this Agreement for any other purpose, be given any substantive eﬀect, aﬀect the construction hereof or be taken into consideration in the interpretation hereof. </w:t>
      </w:r>
    </w:p>
    <w:p>
      <w:pPr>
        <w:pStyle w:val="TextBody"/>
        <w:bidi w:val="0"/>
        <w:spacing w:before="240" w:after="0"/>
        <w:jc w:val="left"/>
        <w:rPr>
          <w:rFonts w:ascii="Times New Roman" w:hAnsi="Times New Roman"/>
          <w:sz w:val="20"/>
        </w:rPr>
      </w:pPr>
      <w:bookmarkStart w:id="64" w:name="ex10_3toc60690_58"/>
      <w:bookmarkEnd w:id="64"/>
      <w:r>
        <w:rPr>
          <w:rFonts w:ascii="Times New Roman" w:hAnsi="Times New Roman"/>
          <w:sz w:val="20"/>
        </w:rPr>
        <w:t>8.16 </w:t>
      </w:r>
      <w:r>
        <w:rPr>
          <w:rFonts w:ascii="Times New Roman" w:hAnsi="Times New Roman"/>
          <w:sz w:val="20"/>
          <w:u w:val="single"/>
        </w:rPr>
        <w:t>Counterparts</w:t>
      </w:r>
      <w:r>
        <w:rPr>
          <w:rFonts w:ascii="Times New Roman" w:hAnsi="Times New Roman"/>
          <w:sz w:val="20"/>
        </w:rPr>
        <w:t xml:space="preserve">.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(e.g. “pdf” or “tif” format) shall be eﬀective as delivery of a manually executed counterpart hereof. The words “execution,” “execute”, “signed,” “signature,” and words of like import in or related to any document to be signed in connection with this Agreement and the transactions contemplated hereby (including, without limitation, amendments, joinders,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waivers, consents or other modifications) shall be deemed to include electronic signatures, the electronic matching of assignment terms and contract formations on electronic platforms approved by the Representatives and Collateral Agents, or the keeping of records in electronic form, each of which shall be of the same legal eﬀect,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bookmarkStart w:id="65" w:name="ex10_3toc60690_59"/>
      <w:bookmarkEnd w:id="65"/>
      <w:r>
        <w:rPr>
          <w:rFonts w:ascii="Times New Roman" w:hAnsi="Times New Roman"/>
          <w:sz w:val="20"/>
        </w:rPr>
        <w:t>8.17 </w:t>
      </w:r>
      <w:r>
        <w:rPr>
          <w:rFonts w:ascii="Times New Roman" w:hAnsi="Times New Roman"/>
          <w:sz w:val="20"/>
          <w:u w:val="single"/>
        </w:rPr>
        <w:t>Authorization</w:t>
      </w:r>
      <w:r>
        <w:rPr>
          <w:rFonts w:ascii="Times New Roman" w:hAnsi="Times New Roman"/>
          <w:sz w:val="20"/>
        </w:rPr>
        <w:t xml:space="preserve">. By its signature, each Person executing this Agreement, on behalf of such Person but not in his or her personal capacity as a signatory, represents and warrants to the other parties hereto that it is duly authorized to execute this Agreement. </w:t>
      </w:r>
    </w:p>
    <w:p>
      <w:pPr>
        <w:pStyle w:val="TextBody"/>
        <w:bidi w:val="0"/>
        <w:spacing w:before="240" w:after="0"/>
        <w:jc w:val="left"/>
        <w:rPr>
          <w:rFonts w:ascii="Times New Roman" w:hAnsi="Times New Roman"/>
          <w:sz w:val="20"/>
        </w:rPr>
      </w:pPr>
      <w:bookmarkStart w:id="66" w:name="ex10_3toc60690_60"/>
      <w:bookmarkEnd w:id="66"/>
      <w:r>
        <w:rPr>
          <w:rFonts w:ascii="Times New Roman" w:hAnsi="Times New Roman"/>
          <w:sz w:val="20"/>
        </w:rPr>
        <w:t>8.18 </w:t>
      </w:r>
      <w:r>
        <w:rPr>
          <w:rFonts w:ascii="Times New Roman" w:hAnsi="Times New Roman"/>
          <w:sz w:val="20"/>
          <w:u w:val="single"/>
        </w:rPr>
        <w:t>No Third Party Beneficiaries; Provisions Solely to Define Relative Rights</w:t>
      </w:r>
      <w:r>
        <w:rPr>
          <w:rFonts w:ascii="Times New Roman" w:hAnsi="Times New Roman"/>
          <w:sz w:val="20"/>
        </w:rPr>
        <w:t xml:space="preserve">. This Agreement and the rights and benefits hereof shall inure to the benefit of each of the First Lien Claimholders and the Second Lien Claimholders and their respective successors and assigns. The provisions of this Agreement are and are intended solely for the purpose of defining the relative rights of the First Lien Representatives, the First Lien Collateral Agents and the other First Lien Claimholders on the one hand and the Second Lien Representatives, the Second Lien Collateral Agents and the other Second Lien Claimholders on the other hand. Nothing herein shall be construed to limit the relative rights and obligations as among the First Lien Claimholders or as among the Second Lien Claimholders; as among the First Lien Claimholders, such rights and obligations are governed by, and any provisions herein regarding them are therefore subject to, the provisions of the First Lien Pari Passu Intercreditor Agreement and as among the Second Lien Claimholders, such rights and obligations are governed by, and any provisions herein regarding them are therefore subject to, the provisions of the Second Lien Pari Passu Intercreditor Agreement. Other than as set forth in </w:t>
      </w: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w:t>
      </w:r>
      <w:r>
        <w:rPr>
          <w:rFonts w:ascii="Times New Roman" w:hAnsi="Times New Roman"/>
          <w:sz w:val="20"/>
          <w:u w:val="single"/>
        </w:rPr>
        <w:t>Section 8.3</w:t>
      </w:r>
      <w:r>
        <w:rPr>
          <w:rFonts w:ascii="Times New Roman" w:hAnsi="Times New Roman"/>
          <w:sz w:val="20"/>
        </w:rPr>
        <w:t xml:space="preserve">, </w:t>
      </w:r>
      <w:r>
        <w:rPr>
          <w:rFonts w:ascii="Times New Roman" w:hAnsi="Times New Roman"/>
          <w:sz w:val="20"/>
          <w:u w:val="single"/>
        </w:rPr>
        <w:t>Section 8.7</w:t>
      </w:r>
      <w:r>
        <w:rPr>
          <w:rFonts w:ascii="Times New Roman" w:hAnsi="Times New Roman"/>
          <w:sz w:val="20"/>
        </w:rPr>
        <w:t xml:space="preserve"> or </w:t>
      </w:r>
      <w:r>
        <w:rPr>
          <w:rFonts w:ascii="Times New Roman" w:hAnsi="Times New Roman"/>
          <w:sz w:val="20"/>
          <w:u w:val="single"/>
        </w:rPr>
        <w:t>Section 8.20</w:t>
      </w:r>
      <w:r>
        <w:rPr>
          <w:rFonts w:ascii="Times New Roman" w:hAnsi="Times New Roman"/>
          <w:sz w:val="20"/>
        </w:rPr>
        <w:t xml:space="preserve">, none of the Company, any other Grantor or any other creditor shall have any rights hereunder and neither the Company nor any Grantor nor any other creditor may rely on the terms hereof. Nothing in this Agreement is intended to or shall impair the obligations of the Company or any other Grantor, which are absolute and unconditional, to pay the First Lien Obligations and the Second Lien Obligations as and when the same shall become due and payable in accordance with their terms. </w:t>
      </w:r>
    </w:p>
    <w:p>
      <w:pPr>
        <w:pStyle w:val="TextBody"/>
        <w:bidi w:val="0"/>
        <w:spacing w:before="240" w:after="0"/>
        <w:jc w:val="left"/>
        <w:rPr>
          <w:rFonts w:ascii="Times New Roman" w:hAnsi="Times New Roman"/>
          <w:sz w:val="20"/>
        </w:rPr>
      </w:pPr>
      <w:bookmarkStart w:id="67" w:name="ex10_3toc60690_61"/>
      <w:bookmarkEnd w:id="67"/>
      <w:r>
        <w:rPr>
          <w:rFonts w:ascii="Times New Roman" w:hAnsi="Times New Roman"/>
          <w:sz w:val="20"/>
        </w:rPr>
        <w:t>8.19 </w:t>
      </w:r>
      <w:r>
        <w:rPr>
          <w:rFonts w:ascii="Times New Roman" w:hAnsi="Times New Roman"/>
          <w:sz w:val="20"/>
          <w:u w:val="single"/>
        </w:rPr>
        <w:t>No Indirect Actions</w:t>
      </w:r>
      <w:r>
        <w:rPr>
          <w:rFonts w:ascii="Times New Roman" w:hAnsi="Times New Roman"/>
          <w:sz w:val="20"/>
        </w:rPr>
        <w:t xml:space="preserve">. Unless otherwise expressly stated, if a party may not take an action under this Agreement, then it may not take that action indirectly, or support any other Person in taking that action directly or indirectly. “Taking an action indirectly” means taking an action that is not expressly prohibited for the party but is intended to have substantially the same effects as the prohibited action. </w:t>
      </w:r>
    </w:p>
    <w:p>
      <w:pPr>
        <w:pStyle w:val="TextBody"/>
        <w:bidi w:val="0"/>
        <w:spacing w:before="240" w:after="0"/>
        <w:jc w:val="left"/>
        <w:rPr>
          <w:rFonts w:ascii="Times New Roman" w:hAnsi="Times New Roman"/>
          <w:sz w:val="20"/>
        </w:rPr>
      </w:pPr>
      <w:bookmarkStart w:id="68" w:name="ex10_3toc60690_62"/>
      <w:bookmarkEnd w:id="68"/>
      <w:r>
        <w:rPr>
          <w:rFonts w:ascii="Times New Roman" w:hAnsi="Times New Roman"/>
          <w:sz w:val="20"/>
        </w:rPr>
        <w:t>8.20 </w:t>
      </w:r>
      <w:r>
        <w:rPr>
          <w:rFonts w:ascii="Times New Roman" w:hAnsi="Times New Roman"/>
          <w:sz w:val="20"/>
          <w:u w:val="single"/>
        </w:rPr>
        <w:t>Additional Grantors</w:t>
      </w:r>
      <w:r>
        <w:rPr>
          <w:rFonts w:ascii="Times New Roman" w:hAnsi="Times New Roman"/>
          <w:sz w:val="20"/>
        </w:rPr>
        <w:t xml:space="preserve">. Each of the Company and the other Grantors agrees that it shall ensure that each of the Company’s Subsidiaries that is or is to become a party to any First Lien Loan Document or Second Lien Debt Document shall either execute this Agreement on the date hereof or shall confirm that it is a Grantor hereunder pursuant to a Joinder Agreement substantially in the form attached hereto as </w:t>
      </w:r>
      <w:r>
        <w:rPr>
          <w:rFonts w:ascii="Times New Roman" w:hAnsi="Times New Roman"/>
          <w:sz w:val="20"/>
          <w:u w:val="single"/>
        </w:rPr>
        <w:t>Exhibit D</w:t>
      </w:r>
      <w:r>
        <w:rPr>
          <w:rFonts w:ascii="Times New Roman" w:hAnsi="Times New Roman"/>
          <w:sz w:val="20"/>
        </w:rPr>
        <w:t xml:space="preserve"> that is executed and delivered by such Subsidiary prior to or concurrently with its execution and delivery of such First Lien Loan Document or such Second Lien Debt Document. </w:t>
      </w:r>
    </w:p>
    <w:p>
      <w:pPr>
        <w:pStyle w:val="TextBody"/>
        <w:bidi w:val="0"/>
        <w:spacing w:before="360" w:after="0"/>
        <w:jc w:val="left"/>
        <w:rPr>
          <w:rFonts w:ascii="Times New Roman" w:hAnsi="Times New Roman"/>
          <w:b/>
          <w:sz w:val="20"/>
        </w:rPr>
      </w:pPr>
      <w:bookmarkStart w:id="69" w:name="ex10_3toc60690_63"/>
      <w:bookmarkEnd w:id="69"/>
      <w:r>
        <w:rPr>
          <w:rFonts w:ascii="Times New Roman" w:hAnsi="Times New Roman"/>
          <w:b/>
          <w:sz w:val="20"/>
        </w:rPr>
        <w:t>Section 9. </w:t>
      </w:r>
      <w:r>
        <w:rPr>
          <w:rFonts w:ascii="Times New Roman" w:hAnsi="Times New Roman"/>
          <w:b/>
          <w:sz w:val="20"/>
          <w:u w:val="single"/>
        </w:rPr>
        <w:t>Parallel Liability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Company and each Grantor irrevocably and unconditionally undertakes to pay to the First Lien Collateral Agent and the Second Lien Collateral Agent an amount equal to the aggregate amount of its Corresponding Liabilities (as these may exist from time to time).</w:t>
      </w:r>
    </w:p>
    <w:p>
      <w:pPr>
        <w:pStyle w:val="TextBody"/>
        <w:bidi w:val="0"/>
        <w:spacing w:before="240" w:after="0"/>
        <w:jc w:val="left"/>
        <w:rPr>
          <w:rFonts w:ascii="Times New Roman" w:hAnsi="Times New Roman"/>
          <w:sz w:val="20"/>
        </w:rPr>
      </w:pPr>
      <w:r>
        <w:rPr>
          <w:rFonts w:ascii="Times New Roman" w:hAnsi="Times New Roman"/>
          <w:sz w:val="20"/>
        </w:rPr>
        <w:t>The parties agree that:</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and each other Grantor’s Parallel Liability is due and payable at the same time as, for the same amount of and in the same currency as its Corresponding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and each other Grantor’s Parallel Liability is decreased to the extent that its Corresponding Liabilities have been irrevocably paid or discharged and its Corresponding Liabilities are decreased to the extent that its Parallel Liability has been irrevocably paid or discharged;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and each other Grantor’s Parallel Liability is independent and separate from, and without prejudice to, its Corresponding Liabilities, and constitutes a single obligation of that party to the First Lien Collateral Agent and/or Second Lien Collateral Agent (as applicable) (even though that party may owe more than one Corresponding Liability to the creditors under the First Lien Loan Documents and/or Second Lien Debt Documents) and an independent and separate claim of the First Lien Collateral Agent or Second Lien Collateral Agent (as applicable) to receive payment of that Parallel Liability (in its capacity as the independent and separate creditor of that Parallel Liability and not as a co-creditor in respect of the Corresponding Liabilities);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9</w:t>
            </w:r>
            <w:r>
              <w:rPr>
                <w:rFonts w:ascii="Times New Roman" w:hAnsi="Times New Roman"/>
                <w:sz w:val="20"/>
              </w:rPr>
              <w:t xml:space="preserve">, the First Lien Collateral Agent and/or Second Lien Collateral Agent (as applicable) acts in its own name and not as agent, representative or trustee of the relevant creditors and accordingly holds neither its claim resulting from a Parallel Liability nor any Lien securing a Parallel Liability on trust.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[Remainder of this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Intercreditor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60"/>
        <w:gridCol w:w="3327"/>
      </w:tblGrid>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UNPROCESSED FOODS, LLC,</w:t>
            </w:r>
          </w:p>
        </w:tc>
      </w:tr>
      <w:tr>
        <w:trPr/>
        <w:tc>
          <w:tcPr>
            <w:tcW w:w="4082" w:type="dxa"/>
            <w:gridSpan w:val="3"/>
            <w:tcBorders/>
          </w:tcPr>
          <w:p>
            <w:pPr>
              <w:pStyle w:val="TableContents"/>
              <w:bidi w:val="0"/>
              <w:spacing w:before="0" w:after="283"/>
              <w:jc w:val="left"/>
              <w:rPr/>
            </w:pPr>
            <w:r>
              <w:rPr/>
              <w:t>as First Lien Representative and as First Lien Collateral Agent</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Shaleen Shah</w:t>
            </w:r>
          </w:p>
        </w:tc>
      </w:tr>
      <w:tr>
        <w:trPr/>
        <w:tc>
          <w:tcPr>
            <w:tcW w:w="69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Shaleen Shah</w:t>
            </w:r>
          </w:p>
        </w:tc>
      </w:tr>
      <w:tr>
        <w:trPr/>
        <w:tc>
          <w:tcPr>
            <w:tcW w:w="69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Intercreditor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4"/>
        <w:gridCol w:w="60"/>
        <w:gridCol w:w="3328"/>
      </w:tblGrid>
      <w:tr>
        <w:trPr/>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WILMINGTON TRUST, NATIONAL ASSOCIATION,</w:t>
            </w:r>
          </w:p>
        </w:tc>
      </w:tr>
      <w:tr>
        <w:trPr/>
        <w:tc>
          <w:tcPr>
            <w:tcW w:w="4082" w:type="dxa"/>
            <w:gridSpan w:val="3"/>
            <w:tcBorders/>
          </w:tcPr>
          <w:p>
            <w:pPr>
              <w:pStyle w:val="TableContents"/>
              <w:bidi w:val="0"/>
              <w:spacing w:before="0" w:after="283"/>
              <w:jc w:val="left"/>
              <w:rPr/>
            </w:pPr>
            <w:r>
              <w:rPr/>
              <w:t>as Initial Second Lien Representative</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Karen Ferry</w:t>
            </w:r>
          </w:p>
        </w:tc>
      </w:tr>
      <w:tr>
        <w:trPr/>
        <w:tc>
          <w:tcPr>
            <w:tcW w:w="69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Karen Ferry</w:t>
            </w:r>
          </w:p>
        </w:tc>
      </w:tr>
      <w:tr>
        <w:trPr/>
        <w:tc>
          <w:tcPr>
            <w:tcW w:w="69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WILMINGTON TRUST, NATIONAL ASSOCIATION,</w:t>
            </w:r>
          </w:p>
        </w:tc>
      </w:tr>
      <w:tr>
        <w:trPr/>
        <w:tc>
          <w:tcPr>
            <w:tcW w:w="4082" w:type="dxa"/>
            <w:gridSpan w:val="3"/>
            <w:tcBorders/>
          </w:tcPr>
          <w:p>
            <w:pPr>
              <w:pStyle w:val="TableContents"/>
              <w:bidi w:val="0"/>
              <w:spacing w:before="0" w:after="283"/>
              <w:jc w:val="left"/>
              <w:rPr/>
            </w:pPr>
            <w:r>
              <w:rPr/>
              <w:t>as Initial Second Lien Collateral Agent</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Karen Ferry</w:t>
            </w:r>
          </w:p>
        </w:tc>
      </w:tr>
      <w:tr>
        <w:trPr/>
        <w:tc>
          <w:tcPr>
            <w:tcW w:w="69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Karen Ferry</w:t>
            </w:r>
          </w:p>
        </w:tc>
      </w:tr>
      <w:tr>
        <w:trPr/>
        <w:tc>
          <w:tcPr>
            <w:tcW w:w="69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Intercreditor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Acknowledged and Agreed to by: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GRANTORS: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BEYOND MEAT,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Ethan Brown</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Ethan Brown</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Intercreditor Agreement] </w:t>
      </w:r>
    </w:p>
    <w:p>
      <w:pPr>
        <w:pStyle w:val="TextBody"/>
        <w:bidi w:val="0"/>
        <w:spacing w:before="0" w:after="0"/>
        <w:jc w:val="right"/>
        <w:rPr>
          <w:rFonts w:ascii="Times New Roman" w:hAnsi="Times New Roman"/>
          <w:b/>
          <w:sz w:val="20"/>
        </w:rPr>
      </w:pPr>
      <w:bookmarkStart w:id="70" w:name="d60690dex104.htm"/>
      <w:bookmarkStart w:id="71" w:name="ksd60690dex104"/>
      <w:bookmarkEnd w:id="70"/>
      <w:bookmarkEnd w:id="71"/>
      <w:r>
        <w:rPr>
          <w:rFonts w:ascii="Times New Roman" w:hAnsi="Times New Roman"/>
          <w:b/>
          <w:sz w:val="20"/>
        </w:rPr>
        <w:t xml:space="preserve">Exhibit 10.4 </w:t>
      </w:r>
      <w:r>
        <w:br w:type="page"/>
      </w:r>
    </w:p>
    <w:p>
      <w:pPr>
        <w:pStyle w:val="TextBody"/>
        <w:bidi w:val="0"/>
        <w:spacing w:before="240" w:after="0"/>
        <w:jc w:val="right"/>
        <w:rPr>
          <w:rFonts w:ascii="Times New Roman" w:hAnsi="Times New Roman"/>
          <w:i/>
          <w:sz w:val="20"/>
        </w:rPr>
      </w:pPr>
      <w:r>
        <w:rPr>
          <w:rFonts w:ascii="Times New Roman" w:hAnsi="Times New Roman"/>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FIRST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w:t>
      </w:r>
    </w:p>
    <w:p>
      <w:pPr>
        <w:pStyle w:val="TextBody"/>
        <w:bidi w:val="0"/>
        <w:spacing w:before="0" w:after="0"/>
        <w:jc w:val="center"/>
        <w:rPr>
          <w:rFonts w:ascii="Times New Roman" w:hAnsi="Times New Roman"/>
          <w:b/>
          <w:sz w:val="20"/>
        </w:rPr>
      </w:pPr>
      <w:r>
        <w:rPr>
          <w:rFonts w:ascii="Times New Roman" w:hAnsi="Times New Roman"/>
          <w:b/>
          <w:sz w:val="20"/>
        </w:rPr>
        <w:t xml:space="preserve">LOAN AND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FIRST AMENDMENT TO LOAN AND SECURITY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xml:space="preserve">”) is entered into as of October 15, 2025, by and among </w:t>
      </w:r>
      <w:r>
        <w:rPr>
          <w:rFonts w:ascii="Times New Roman" w:hAnsi="Times New Roman"/>
          <w:b/>
          <w:sz w:val="20"/>
        </w:rPr>
        <w:t>UNPROCESSED FOODS, LLC</w:t>
      </w:r>
      <w:r>
        <w:rPr>
          <w:rFonts w:ascii="Times New Roman" w:hAnsi="Times New Roman"/>
          <w:sz w:val="20"/>
        </w:rPr>
        <w:t>, a Wyoming limited liability company (“</w:t>
      </w:r>
      <w:r>
        <w:rPr>
          <w:rFonts w:ascii="Times New Roman" w:hAnsi="Times New Roman"/>
          <w:b/>
          <w:sz w:val="20"/>
        </w:rPr>
        <w:t>UF</w:t>
      </w:r>
      <w:r>
        <w:rPr>
          <w:rFonts w:ascii="Times New Roman" w:hAnsi="Times New Roman"/>
          <w:sz w:val="20"/>
        </w:rPr>
        <w:t xml:space="preserve">”), as the sole Lender, and </w:t>
      </w:r>
      <w:r>
        <w:rPr>
          <w:rFonts w:ascii="Times New Roman" w:hAnsi="Times New Roman"/>
          <w:b/>
          <w:sz w:val="20"/>
        </w:rPr>
        <w:t>BEYOND MEAT, INC.</w:t>
      </w:r>
      <w:r>
        <w:rPr>
          <w:rFonts w:ascii="Times New Roman" w:hAnsi="Times New Roman"/>
          <w:sz w:val="20"/>
        </w:rPr>
        <w:t>, a Delaware corporation (“</w:t>
      </w:r>
      <w:r>
        <w:rPr>
          <w:rFonts w:ascii="Times New Roman" w:hAnsi="Times New Roman"/>
          <w:b/>
          <w:sz w:val="20"/>
        </w:rPr>
        <w:t>Borrower</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Borrower, the Guarantors from time to time party thereto, UF and the other Lenders from time to time party thereto have entered into that certain Loan and Security Agreement, dated as of May 7, 2025 (as the same may from time to time be amended, restated, amended and restated, supplemented or otherwise modified from time to time, the “</w:t>
      </w:r>
      <w:r>
        <w:rPr>
          <w:rFonts w:ascii="Times New Roman" w:hAnsi="Times New Roman"/>
          <w:b/>
          <w:sz w:val="20"/>
        </w:rPr>
        <w:t>Loan Agreement</w:t>
      </w:r>
      <w:r>
        <w:rPr>
          <w:rFonts w:ascii="Times New Roman" w:hAnsi="Times New Roman"/>
          <w:sz w:val="20"/>
        </w:rPr>
        <w:t xml:space="preserve">”). Lenders have extended credit to Borrower for the purposes permitted in the Loan Agreement.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Borrower and certain subsidiaries of the Borrower have entered into that certain Indenture, dated as of October 15, 2025 (as the same may from time to time be amended, restated, amended and restated, supplemented or otherwise modified from time to time, the “</w:t>
      </w:r>
      <w:r>
        <w:rPr>
          <w:rFonts w:ascii="Times New Roman" w:hAnsi="Times New Roman"/>
          <w:b/>
          <w:sz w:val="20"/>
        </w:rPr>
        <w:t>Indenture</w:t>
      </w:r>
      <w:r>
        <w:rPr>
          <w:rFonts w:ascii="Times New Roman" w:hAnsi="Times New Roman"/>
          <w:sz w:val="20"/>
        </w:rPr>
        <w:t xml:space="preserve">”), and in connection therewith, the Borrower, the Lender and Wilmington Trust, National Association, among others, have entered into that certain Intercreditor Agreement (as defined in the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Borrower has requested that Lenders amend the Loan Agreement to make certain revisions to the Loan Agreement as more fully set forth herein. The Lenders have agreed to so amend certain provisions of the Loan Agreement, but only to the extent, in accordance with the terms, subject to the conditions and in reliance upon the representations and warranties set forth below.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recitals and other good and valuable consideration, the receipt and adequacy of which is hereby acknowledged, and intending to be legally bound, the parties hereto agree as follows: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Capitalized terms used but not defined in this Agreement shall have the meanings given to them in the Loan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2. Amendments to Loan Agreement.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Section 13.3 Definitions</w:t>
      </w:r>
      <w:r>
        <w:rPr>
          <w:rFonts w:ascii="Times New Roman" w:hAnsi="Times New Roman"/>
          <w:sz w:val="20"/>
        </w:rPr>
        <w:t xml:space="preserve">. The definition of “Intercreditor Agreement” is amended and restated in its entirety to read as follows: </w:t>
      </w:r>
    </w:p>
    <w:p>
      <w:pPr>
        <w:pStyle w:val="TextBody"/>
        <w:bidi w:val="0"/>
        <w:spacing w:before="120" w:after="0"/>
        <w:jc w:val="left"/>
        <w:rPr/>
      </w:pPr>
      <w:r>
        <w:rPr/>
        <w:t>“</w:t>
      </w:r>
      <w:r>
        <w:rPr>
          <w:rFonts w:ascii="Times New Roman" w:hAnsi="Times New Roman"/>
          <w:b/>
          <w:sz w:val="20"/>
        </w:rPr>
        <w:t>Intercreditor Agreement</w:t>
      </w:r>
      <w:r>
        <w:rPr>
          <w:rFonts w:ascii="Times New Roman" w:hAnsi="Times New Roman"/>
          <w:sz w:val="20"/>
        </w:rPr>
        <w:t xml:space="preserve">” means, to the extent executed in connection with any incurrence of Indebtedness secured by Liens on the Collateral that are intended to rank junior in priority to the Liens securing the Obligations, any customary intercreditor agreement in form and substance reasonably acceptable to the Required Lenders and Borrower, which agreement shall provide that (x) the Liens on the Collateral securing such Indebtedness shall rank junior to the Liens on the Collateral securing the Obligations and (y) Borrower may pay Junior Debt Service in accordance with Section 6.10; </w:t>
      </w:r>
      <w:r>
        <w:rPr>
          <w:rFonts w:ascii="Times New Roman" w:hAnsi="Times New Roman"/>
          <w:sz w:val="20"/>
          <w:u w:val="single"/>
        </w:rPr>
        <w:t>provided</w:t>
      </w:r>
      <w:r>
        <w:rPr>
          <w:rFonts w:ascii="Times New Roman" w:hAnsi="Times New Roman"/>
          <w:sz w:val="20"/>
        </w:rPr>
        <w:t xml:space="preserve"> that the Second Lien Intercreditor Agreement is deemed to be in a form and substance reasonably acceptable to the Required Lenders and the Borrower together with any customary changes required to deal with the new incurrence of indebtedness.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Section 13.3 Definitions</w:t>
      </w:r>
      <w:r>
        <w:rPr>
          <w:rFonts w:ascii="Times New Roman" w:hAnsi="Times New Roman"/>
          <w:sz w:val="20"/>
        </w:rPr>
        <w:t xml:space="preserve">. Section 13.3 (Definitions) is hereby modified or supplemented, as applicable, by adding the following definitions in appropriate alphabetical order: </w:t>
      </w:r>
    </w:p>
    <w:p>
      <w:pPr>
        <w:pStyle w:val="TextBody"/>
        <w:bidi w:val="0"/>
        <w:spacing w:before="120" w:after="0"/>
        <w:jc w:val="left"/>
        <w:rPr/>
      </w:pPr>
      <w:r>
        <w:rPr/>
        <w:t>“</w:t>
      </w:r>
      <w:r>
        <w:rPr>
          <w:rFonts w:ascii="Times New Roman" w:hAnsi="Times New Roman"/>
          <w:b/>
          <w:sz w:val="20"/>
        </w:rPr>
        <w:t>Second Lien Debt</w:t>
      </w:r>
      <w:r>
        <w:rPr>
          <w:rFonts w:ascii="Times New Roman" w:hAnsi="Times New Roman"/>
          <w:sz w:val="20"/>
        </w:rPr>
        <w:t xml:space="preserve">” means the “Second Lien Debt” as defined in the Intercreditor Agreement.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Second Lien</w:t>
      </w:r>
      <w:r>
        <w:rPr>
          <w:rFonts w:ascii="Times New Roman" w:hAnsi="Times New Roman"/>
          <w:sz w:val="20"/>
        </w:rPr>
        <w:t xml:space="preserve"> </w:t>
      </w:r>
      <w:r>
        <w:rPr>
          <w:rFonts w:ascii="Times New Roman" w:hAnsi="Times New Roman"/>
          <w:b/>
          <w:sz w:val="20"/>
        </w:rPr>
        <w:t>Intercreditor Agreement</w:t>
      </w:r>
      <w:r>
        <w:rPr>
          <w:rFonts w:ascii="Times New Roman" w:hAnsi="Times New Roman"/>
          <w:sz w:val="20"/>
        </w:rPr>
        <w:t xml:space="preserve">” means that certain Intercreditor Agreement, dated as of October 15, 2025, by and among UF, Wilmington Trust, National Association and the other parties from time to time thereto as acknowledged by the Borrower.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rPr>
        <w:t>Section 7.5 Other Agreements</w:t>
      </w:r>
      <w:r>
        <w:rPr>
          <w:rFonts w:ascii="Times New Roman" w:hAnsi="Times New Roman"/>
          <w:sz w:val="20"/>
        </w:rPr>
        <w:t xml:space="preserve">. Section 7.5 of the Loan Agreement is hereby amended and restated in its entirety to read as follows: </w:t>
      </w:r>
    </w:p>
    <w:p>
      <w:pPr>
        <w:pStyle w:val="TextBody"/>
        <w:bidi w:val="0"/>
        <w:spacing w:before="120" w:after="0"/>
        <w:jc w:val="left"/>
        <w:rPr/>
      </w:pPr>
      <w:r>
        <w:rPr/>
        <w:t>“</w:t>
      </w:r>
      <w:r>
        <w:rPr>
          <w:rFonts w:ascii="Times New Roman" w:hAnsi="Times New Roman"/>
          <w:b/>
          <w:sz w:val="20"/>
        </w:rPr>
        <w:t>7.5</w:t>
      </w:r>
      <w:r>
        <w:rPr>
          <w:rFonts w:ascii="Times New Roman" w:hAnsi="Times New Roman"/>
          <w:sz w:val="20"/>
        </w:rPr>
        <w:t xml:space="preserve"> </w:t>
      </w:r>
      <w:r>
        <w:rPr>
          <w:rFonts w:ascii="Times New Roman" w:hAnsi="Times New Roman"/>
          <w:b/>
          <w:sz w:val="20"/>
        </w:rPr>
        <w:t>Other Agreements</w:t>
      </w:r>
      <w:r>
        <w:rPr>
          <w:rFonts w:ascii="Times New Roman" w:hAnsi="Times New Roman"/>
          <w:sz w:val="20"/>
        </w:rPr>
        <w:t xml:space="preserve">. (i) An event of default shall have occurred and be continuing with respect to any secured Second Lien Debt, and such event of default is not (x) cured within any applicable grace period provided therein or (y) waived by the applicable agents, lenders or noteholders party to the agreement governing such Second Lien Debt, (ii) an event of default shall have occurred and be continuing with respect to the observance or performance of any agreement or condition relating to any secured debt for borrowed money with a principal amount in excess of $10,000,000 (excluding any Term Loan Advances or other Obligations under this Agreement, and excluding any Second Lien Debt), the effect of which event of default is to cause, or to permit the holder or holders of such debt for borrowed money (or a trustee or agent on behalf of such holder or holders) to cause (determined without regard to whether any notice is required), any such debt for borrowed money to become due prior to its stated maturity, and such event of default is not (x) cured within any applicable grace period provided therein or (y) waived by the applicable agents, lenders or noteholders party to the agreement governing such debt for borrowed money, (iii) any Loan Party fails to make any payment of principal or interest in respect of debt for borrowed money (excluding any Term Loan Advances or other Obligations under this Agreement) when and as the same shall become due and payable (taking into account any applicable grace and cure periods), or (iv) each of the following occurs: (A) any Loan Party is in material default under a Specified Contract, (B) such Loan Party receives a written notice of such default from the counterparty to such Specified Contract and (C) such material default remains unremedied for sixty (60) days after such receipt of written notice thereof;” </w:t>
      </w:r>
    </w:p>
    <w:p>
      <w:pPr>
        <w:pStyle w:val="TextBody"/>
        <w:bidi w:val="0"/>
        <w:spacing w:before="240" w:after="0"/>
        <w:jc w:val="left"/>
        <w:rPr>
          <w:rFonts w:ascii="Times New Roman" w:hAnsi="Times New Roman"/>
          <w:sz w:val="20"/>
        </w:rPr>
      </w:pPr>
      <w:r>
        <w:rPr>
          <w:rFonts w:ascii="Times New Roman" w:hAnsi="Times New Roman"/>
          <w:b/>
          <w:sz w:val="20"/>
        </w:rPr>
        <w:t>3. Limitation of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This Agreement is effective for the purposes set forth herein and shall be limited precisely as written and shall not be deemed to (a) be a consent to any amendment, waiver or modification of any other term or condition of any Loan Document, or (b) otherwise prejudice any right or remedy which the Lenders may now have or may have in the future under or in connection with any Loan Document. </w:t>
      </w:r>
    </w:p>
    <w:p>
      <w:pPr>
        <w:pStyle w:val="TextBody"/>
        <w:bidi w:val="0"/>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This Agreement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Representations and Warranties.</w:t>
      </w:r>
      <w:r>
        <w:rPr>
          <w:rFonts w:ascii="Times New Roman" w:hAnsi="Times New Roman"/>
          <w:sz w:val="20"/>
        </w:rPr>
        <w:t xml:space="preserve"> To induce Lenders to enter into this Agreement, Borrower hereby represents and warrants to the Lenders as follows: </w:t>
      </w:r>
    </w:p>
    <w:p>
      <w:pPr>
        <w:pStyle w:val="TextBody"/>
        <w:bidi w:val="0"/>
        <w:spacing w:before="12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Immediately after giving effect to this Agreement (a) the representations and warranties contained in the Loan Documents are true and correct in all material respects as of the date hereof (except to the extent such representations and warranties relate to an earlier date, in which case they are true and correct as of such date), and (b) no Default or Event of Default has occurred and is continuing; </w:t>
      </w:r>
    </w:p>
    <w:p>
      <w:pPr>
        <w:pStyle w:val="TextBody"/>
        <w:bidi w:val="0"/>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Borrower has the power and authority to execute and deliver this Agreement and to perform its obligations under the Loan Agreement, as amended by this Agreement; </w:t>
      </w:r>
    </w:p>
    <w:p>
      <w:pPr>
        <w:pStyle w:val="TextBody"/>
        <w:bidi w:val="0"/>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The organizational documents of Borrower delivered to Lenders on the Effective Date remain true, accurate and complete and have not been amended, supplemented or restated and are and continue to be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4.4</w:t>
      </w:r>
      <w:r>
        <w:rPr>
          <w:rFonts w:ascii="Times New Roman" w:hAnsi="Times New Roman"/>
          <w:sz w:val="20"/>
        </w:rPr>
        <w:t xml:space="preserve"> The execution and delivery by Borrower of this Agreement and the performance by Borrower of its obligations under the Loan Agreement, as amended by this Agreement, have been duly authorized by all necessary action on the part of Borrower; </w:t>
      </w:r>
    </w:p>
    <w:p>
      <w:pPr>
        <w:pStyle w:val="TextBody"/>
        <w:bidi w:val="0"/>
        <w:spacing w:before="240" w:after="0"/>
        <w:jc w:val="left"/>
        <w:rPr>
          <w:rFonts w:ascii="Times New Roman" w:hAnsi="Times New Roman"/>
          <w:sz w:val="20"/>
        </w:rPr>
      </w:pPr>
      <w:r>
        <w:rPr>
          <w:rFonts w:ascii="Times New Roman" w:hAnsi="Times New Roman"/>
          <w:b/>
          <w:sz w:val="20"/>
        </w:rPr>
        <w:t>4.5</w:t>
      </w:r>
      <w:r>
        <w:rPr>
          <w:rFonts w:ascii="Times New Roman" w:hAnsi="Times New Roman"/>
          <w:sz w:val="20"/>
        </w:rPr>
        <w:t xml:space="preserve"> The execution and delivery by Borrower of this Agreement and the performance by Borrower of its obligations under the Loan Agreement, as amended by this Agreement, do not (a) violate any Applicable Law applicable to the Borrower, (b) violate or result in a default under any Specified Contract by which the Borrower is bound, in each case except as could not reasonably be expected to result in a Material Adverse Change, (c) require any action by, filing, registration, or qualification with, or Governmental Approval from, any Governmental Authority (except (A) such Governmental Approvals which have already been obtained and are in full force and effect and (B) filings necessary to perfect Liens created pursuant to the Loan Documents), or (d) conflict with the organizational documents of Borrower; </w:t>
      </w:r>
    </w:p>
    <w:p>
      <w:pPr>
        <w:pStyle w:val="TextBody"/>
        <w:bidi w:val="0"/>
        <w:spacing w:before="240" w:after="0"/>
        <w:jc w:val="left"/>
        <w:rPr>
          <w:rFonts w:ascii="Times New Roman" w:hAnsi="Times New Roman"/>
          <w:sz w:val="20"/>
        </w:rPr>
      </w:pPr>
      <w:r>
        <w:rPr>
          <w:rFonts w:ascii="Times New Roman" w:hAnsi="Times New Roman"/>
          <w:b/>
          <w:sz w:val="20"/>
        </w:rPr>
        <w:t>4.6</w:t>
      </w:r>
      <w:r>
        <w:rPr>
          <w:rFonts w:ascii="Times New Roman" w:hAnsi="Times New Roman"/>
          <w:sz w:val="20"/>
        </w:rPr>
        <w:t xml:space="preserve"> This Agreement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Prior Agreement</w:t>
      </w:r>
      <w:r>
        <w:rPr>
          <w:rFonts w:ascii="Times New Roman" w:hAnsi="Times New Roman"/>
          <w:sz w:val="20"/>
        </w:rPr>
        <w:t xml:space="preserve">. The Loan Documents are hereby ratified and reaffirmed and shall remain in full force and effect. Borrower hereby ratifies, confirms, and reaffirms all terms and conditions of all security or other collateral granted to UF, and confirms that the indebtedness secured thereby includes, without limitation, the Obligations. This Agreement is not a novation and the terms and conditions of this Agreement shall be in addition to and supplemental to all terms and conditions set forth in the Loan Documents. In the event of any conflict or inconsistency between this Agreement and the terms of such documents, the terms of this Agreement shall be controlling, but such document shall not otherwise be affected or the rights therein impaired.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Integration</w:t>
      </w:r>
      <w:r>
        <w:rPr>
          <w:rFonts w:ascii="Times New Roman" w:hAnsi="Times New Roman"/>
          <w:sz w:val="20"/>
        </w:rPr>
        <w:t xml:space="preserve">. Except as expressly modified pursuant to this Agreement, the terms of the Loan Documents remain unchanged and in full force and effect. 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Conditions to Effectiveness</w:t>
      </w:r>
      <w:r>
        <w:rPr>
          <w:rFonts w:ascii="Times New Roman" w:hAnsi="Times New Roman"/>
          <w:sz w:val="20"/>
        </w:rPr>
        <w:t xml:space="preserve">. The parties agree that the obligations of Lenders herein shall be effective upon the satisfaction of each of the following conditions precedent, each in form and substance satisfactory to UF in its sole discretion, on or prior to the date first listed above: </w:t>
      </w:r>
    </w:p>
    <w:p>
      <w:pPr>
        <w:pStyle w:val="TextBody"/>
        <w:bidi w:val="0"/>
        <w:spacing w:before="240" w:after="0"/>
        <w:jc w:val="left"/>
        <w:rPr>
          <w:rFonts w:ascii="Times New Roman" w:hAnsi="Times New Roman"/>
          <w:sz w:val="20"/>
        </w:rPr>
      </w:pPr>
      <w:r>
        <w:rPr>
          <w:rFonts w:ascii="Times New Roman" w:hAnsi="Times New Roman"/>
          <w:b/>
          <w:sz w:val="20"/>
        </w:rPr>
        <w:t>8.1</w:t>
      </w:r>
      <w:r>
        <w:rPr>
          <w:rFonts w:ascii="Times New Roman" w:hAnsi="Times New Roman"/>
          <w:sz w:val="20"/>
        </w:rPr>
        <w:t xml:space="preserve"> the due execution and delivery to UF of this Agreement by each party hereto; </w:t>
      </w:r>
    </w:p>
    <w:p>
      <w:pPr>
        <w:pStyle w:val="TextBody"/>
        <w:bidi w:val="0"/>
        <w:spacing w:before="240" w:after="0"/>
        <w:jc w:val="left"/>
        <w:rPr>
          <w:rFonts w:ascii="Times New Roman" w:hAnsi="Times New Roman"/>
          <w:sz w:val="20"/>
        </w:rPr>
      </w:pPr>
      <w:r>
        <w:rPr>
          <w:rFonts w:ascii="Times New Roman" w:hAnsi="Times New Roman"/>
          <w:b/>
          <w:sz w:val="20"/>
        </w:rPr>
        <w:t>8.2</w:t>
      </w:r>
      <w:r>
        <w:rPr>
          <w:rFonts w:ascii="Times New Roman" w:hAnsi="Times New Roman"/>
          <w:sz w:val="20"/>
        </w:rPr>
        <w:t xml:space="preserve"> the reimbursement or payment of all reasonably incurred fees and expenses in connection with this Amendment, the Intercreditor Agreement and any other reasonable and documented out-of-pocket expenses required to be reimbursed or paid by the Loan Parties under any Loan Document; and </w:t>
      </w:r>
    </w:p>
    <w:p>
      <w:pPr>
        <w:pStyle w:val="TextBody"/>
        <w:bidi w:val="0"/>
        <w:spacing w:before="240" w:after="0"/>
        <w:jc w:val="left"/>
        <w:rPr>
          <w:rFonts w:ascii="Times New Roman" w:hAnsi="Times New Roman"/>
          <w:sz w:val="20"/>
        </w:rPr>
      </w:pPr>
      <w:r>
        <w:rPr>
          <w:rFonts w:ascii="Times New Roman" w:hAnsi="Times New Roman"/>
          <w:b/>
          <w:sz w:val="20"/>
        </w:rPr>
        <w:t>8.3</w:t>
      </w:r>
      <w:r>
        <w:rPr>
          <w:rFonts w:ascii="Times New Roman" w:hAnsi="Times New Roman"/>
          <w:sz w:val="20"/>
        </w:rPr>
        <w:t xml:space="preserve"> the reimbursement or payment of all reasonably incurred fees and expenses payable to DLA Piper LLP (US) in connection with this Amendment, the Intercreditor Agreement and any other reasonable and documented out-of-pocket expenses required to be reimbursed or paid by the Loan Parties under any Loan Document;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no Loan Party shall be required to pay or reimburse Lenders (or cause Lenders to be paid or reimbursed) in an amount exceeding $387,600 in the aggregate for any fees and expenses set forth in Section 8.2 and Section 8.3 or otherwise as set forth in the Loan Documents, collectively, in connection with this Agreement and/or the Second Lien Intercreditor Agreement on the closing date thereof (other than amendments, modifications or waivers of the provisions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9. Miscellaneous. </w:t>
      </w:r>
    </w:p>
    <w:p>
      <w:pPr>
        <w:pStyle w:val="TextBody"/>
        <w:bidi w:val="0"/>
        <w:spacing w:before="120" w:after="0"/>
        <w:jc w:val="left"/>
        <w:rPr>
          <w:rFonts w:ascii="Times New Roman" w:hAnsi="Times New Roman"/>
          <w:sz w:val="20"/>
        </w:rPr>
      </w:pPr>
      <w:r>
        <w:rPr>
          <w:rFonts w:ascii="Times New Roman" w:hAnsi="Times New Roman"/>
          <w:b/>
          <w:sz w:val="20"/>
        </w:rPr>
        <w:t>9.1</w:t>
      </w:r>
      <w:r>
        <w:rPr>
          <w:rFonts w:ascii="Times New Roman" w:hAnsi="Times New Roman"/>
          <w:sz w:val="20"/>
        </w:rPr>
        <w:t xml:space="preserve"> This Agreement shall constitute a “Loan Document” under the Loan Agreement and all obligations included in this Agreement (including, without limitation, all obligations for the payment of principal, interest, fees, and other amounts and expenses) shall constitute obligations under the Loan Agreement and secured by the Collateral. </w:t>
      </w:r>
    </w:p>
    <w:p>
      <w:pPr>
        <w:pStyle w:val="TextBody"/>
        <w:bidi w:val="0"/>
        <w:spacing w:before="240" w:after="0"/>
        <w:jc w:val="left"/>
        <w:rPr>
          <w:rFonts w:ascii="Times New Roman" w:hAnsi="Times New Roman"/>
          <w:sz w:val="20"/>
        </w:rPr>
      </w:pPr>
      <w:r>
        <w:rPr>
          <w:rFonts w:ascii="Times New Roman" w:hAnsi="Times New Roman"/>
          <w:b/>
          <w:sz w:val="20"/>
        </w:rPr>
        <w:t>9.2</w:t>
      </w:r>
      <w:r>
        <w:rPr>
          <w:rFonts w:ascii="Times New Roman" w:hAnsi="Times New Roman"/>
          <w:sz w:val="20"/>
        </w:rPr>
        <w:t xml:space="preserve"> If any provision of this Agreement, or the application of any such provision to any Person or circumstance, shall be held invalid or unenforceable in whole or in part, such invalidity or unenforceability shall attach only to such provision or part thereof and the remaining part of such provision and this Agreement shall continue in full force and effect so long as the economic or legal substance of the transactions contemplated hereby is not affected in any manner materially adverse to any party hereto. Upon any such determination of invalidity, the parties hereto shall negotiate in good faith to modify this Agreement so as to effect the original intent of the parties as closely as possible in a reasonably acceptable manner in order that the transactions contemplated hereby are consummated as originally contemplated to the greatest extent possible. </w:t>
      </w:r>
    </w:p>
    <w:p>
      <w:pPr>
        <w:pStyle w:val="TextBody"/>
        <w:bidi w:val="0"/>
        <w:spacing w:before="240" w:after="0"/>
        <w:jc w:val="left"/>
        <w:rPr>
          <w:rFonts w:ascii="Times New Roman" w:hAnsi="Times New Roman"/>
          <w:sz w:val="20"/>
        </w:rPr>
      </w:pPr>
      <w:r>
        <w:rPr>
          <w:rFonts w:ascii="Times New Roman" w:hAnsi="Times New Roman"/>
          <w:b/>
          <w:sz w:val="20"/>
        </w:rPr>
        <w:t>9.3</w:t>
      </w:r>
      <w:r>
        <w:rPr>
          <w:rFonts w:ascii="Times New Roman" w:hAnsi="Times New Roman"/>
          <w:sz w:val="20"/>
        </w:rPr>
        <w:t xml:space="preserve"> This Agreement may be executed in any number of counterparts, each of which will be an original, and all of which, when taken together, will constitute one agreement. Minor variations in the form of the signature page to this Agreement or any agreement or instrument contemplated hereby, including footers from earlier versions of this Agreement or any such other document, will be disregarded in determining the effectiveness of such signature. Delivery of an executed counterpart of this Agreement by facsimile or portable document format (PDF) will be effective as delivery of a manually executed counterpart of this Agreement. </w:t>
      </w:r>
    </w:p>
    <w:p>
      <w:pPr>
        <w:pStyle w:val="TextBody"/>
        <w:bidi w:val="0"/>
        <w:spacing w:before="240" w:after="0"/>
        <w:jc w:val="left"/>
        <w:rPr>
          <w:rFonts w:ascii="Times New Roman" w:hAnsi="Times New Roman"/>
          <w:sz w:val="20"/>
        </w:rPr>
      </w:pPr>
      <w:r>
        <w:rPr>
          <w:rFonts w:ascii="Times New Roman" w:hAnsi="Times New Roman"/>
          <w:b/>
          <w:sz w:val="20"/>
        </w:rPr>
        <w:t>9.4</w:t>
      </w:r>
      <w:r>
        <w:rPr>
          <w:rFonts w:ascii="Times New Roman" w:hAnsi="Times New Roman"/>
          <w:sz w:val="20"/>
        </w:rPr>
        <w:t xml:space="preserve"> Section 10 of the Loan Agreement applies to this Agreement,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9.5</w:t>
      </w:r>
      <w:r>
        <w:rPr>
          <w:rFonts w:ascii="Times New Roman" w:hAnsi="Times New Roman"/>
          <w:sz w:val="20"/>
        </w:rPr>
        <w:t xml:space="preserve"> This Agreement and the rights and obligations of the parties hereto shall be interpreted in accordance with and governed in all respects by the laws of the State of New York, without regard to conflicts of laws principles.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duly executed and delivered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BORROWER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BEYOND MEAT, INC.</w:t>
            </w:r>
            <w:r>
              <w:rPr/>
              <w:t>, a Delaware corporation</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20" w:type="dxa"/>
            <w:tcBorders>
              <w:bottom w:val="single" w:sz="2" w:space="0" w:color="000000"/>
            </w:tcBorders>
            <w:tcMar>
              <w:bottom w:w="28" w:type="dxa"/>
            </w:tcMar>
          </w:tcPr>
          <w:p>
            <w:pPr>
              <w:pStyle w:val="TableContents"/>
              <w:bidi w:val="0"/>
              <w:spacing w:before="0" w:after="283"/>
              <w:jc w:val="left"/>
              <w:rPr/>
            </w:pPr>
            <w:r>
              <w:rPr/>
              <w:t>/s/ Ethan Brown</w:t>
            </w:r>
          </w:p>
        </w:tc>
      </w:tr>
    </w:tbl>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Ethan Brown</w:t>
            </w:r>
          </w:p>
        </w:tc>
      </w:tr>
      <w:tr>
        <w:trPr/>
        <w:tc>
          <w:tcPr>
            <w:tcW w:w="4082" w:type="dxa"/>
            <w:gridSpan w:val="3"/>
            <w:tcBorders/>
          </w:tcPr>
          <w:p>
            <w:pPr>
              <w:pStyle w:val="TableContents"/>
              <w:bidi w:val="0"/>
              <w:spacing w:before="0" w:after="283"/>
              <w:jc w:val="left"/>
              <w:rPr/>
            </w:pPr>
            <w:r>
              <w:rPr/>
              <w:t>Title: President and 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First Amendment to Loan and Security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LENDER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UNPROCESSED FOODS,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Shaleen Shah</w:t>
            </w:r>
          </w:p>
        </w:tc>
      </w:tr>
    </w:tbl>
    <w:tbl>
      <w:tblPr>
        <w:tblW w:w="2000" w:type="pct"/>
        <w:jc w:val="right"/>
        <w:tblInd w:w="0" w:type="dxa"/>
        <w:tblLayout w:type="fixed"/>
        <w:tblCellMar>
          <w:top w:w="0" w:type="dxa"/>
          <w:left w:w="0" w:type="dxa"/>
          <w:bottom w:w="0" w:type="dxa"/>
          <w:right w:w="0" w:type="dxa"/>
        </w:tblCellMar>
      </w:tblPr>
      <w:tblGrid>
        <w:gridCol w:w="673"/>
        <w:gridCol w:w="60"/>
        <w:gridCol w:w="3349"/>
      </w:tblGrid>
      <w:tr>
        <w:trPr/>
        <w:tc>
          <w:tcPr>
            <w:tcW w:w="6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67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Shaleen Shah</w:t>
            </w:r>
          </w:p>
        </w:tc>
      </w:tr>
      <w:tr>
        <w:trPr/>
        <w:tc>
          <w:tcPr>
            <w:tcW w:w="4082" w:type="dxa"/>
            <w:gridSpan w:val="3"/>
            <w:tcBorders/>
          </w:tcPr>
          <w:p>
            <w:pPr>
              <w:pStyle w:val="TableContents"/>
              <w:bidi w:val="0"/>
              <w:spacing w:before="0" w:after="283"/>
              <w:jc w:val="left"/>
              <w:rPr/>
            </w:pPr>
            <w:r>
              <w:rPr/>
              <w:t>Title: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First Amendment to Loan and Security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72" w:name="d60690dex105.htm"/>
      <w:bookmarkStart w:id="73" w:name="ksd60690dex105"/>
      <w:bookmarkEnd w:id="72"/>
      <w:bookmarkEnd w:id="73"/>
      <w:r>
        <w:rPr>
          <w:rFonts w:ascii="Times New Roman" w:hAnsi="Times New Roman"/>
          <w:b/>
          <w:sz w:val="20"/>
        </w:rPr>
        <w:t xml:space="preserve">Exhibit 10.5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left"/>
        <w:rPr>
          <w:rFonts w:ascii="Times New Roman" w:hAnsi="Times New Roman"/>
          <w:sz w:val="20"/>
        </w:rPr>
      </w:pPr>
      <w:r>
        <w:rPr>
          <w:rFonts w:ascii="Times New Roman" w:hAnsi="Times New Roman"/>
          <w:sz w:val="20"/>
        </w:rPr>
        <w:t>THIS FIRST SUPPLEMENTAL INDENTURE (the “</w:t>
      </w:r>
      <w:r>
        <w:rPr>
          <w:rFonts w:ascii="Times New Roman" w:hAnsi="Times New Roman"/>
          <w:sz w:val="20"/>
          <w:u w:val="single"/>
        </w:rPr>
        <w:t>First Supplemental Indenture</w:t>
      </w:r>
      <w:r>
        <w:rPr>
          <w:rFonts w:ascii="Times New Roman" w:hAnsi="Times New Roman"/>
          <w:sz w:val="20"/>
        </w:rPr>
        <w:t>”), dated as of October 15, 2025 (the “</w:t>
      </w:r>
      <w:r>
        <w:rPr>
          <w:rFonts w:ascii="Times New Roman" w:hAnsi="Times New Roman"/>
          <w:sz w:val="20"/>
          <w:u w:val="single"/>
        </w:rPr>
        <w:t>Effective Date</w:t>
      </w:r>
      <w:r>
        <w:rPr>
          <w:rFonts w:ascii="Times New Roman" w:hAnsi="Times New Roman"/>
          <w:sz w:val="20"/>
        </w:rPr>
        <w:t>”), is entered into by and between Beyond Meat, Inc., a Delaware corporation (the “</w:t>
      </w:r>
      <w:r>
        <w:rPr>
          <w:rFonts w:ascii="Times New Roman" w:hAnsi="Times New Roman"/>
          <w:sz w:val="20"/>
          <w:u w:val="single"/>
        </w:rPr>
        <w:t>Company</w:t>
      </w:r>
      <w:r>
        <w:rPr>
          <w:rFonts w:ascii="Times New Roman" w:hAnsi="Times New Roman"/>
          <w:sz w:val="20"/>
        </w:rPr>
        <w:t>”), and U.S. Bank Trust Company, National Association, as successor in interest to U.S. Bank National Association, as trustee under the Indenture(the “</w:t>
      </w:r>
      <w:r>
        <w:rPr>
          <w:rFonts w:ascii="Times New Roman" w:hAnsi="Times New Roman"/>
          <w:sz w:val="20"/>
          <w:u w:val="single"/>
        </w:rPr>
        <w:t>Trustee</w:t>
      </w:r>
      <w:r>
        <w:rPr>
          <w:rFonts w:ascii="Times New Roman" w:hAnsi="Times New Roman"/>
          <w:sz w:val="20"/>
        </w:rPr>
        <w:t xml:space="preserve">”). Capitalized terms used herein and not otherwise defined herein shall have the meanings ascribed thereto in the Indenture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Company and the Trustee are parties to an Indenture, dated as of March 5, 2021 (the “</w:t>
      </w:r>
      <w:r>
        <w:rPr>
          <w:rFonts w:ascii="Times New Roman" w:hAnsi="Times New Roman"/>
          <w:sz w:val="20"/>
          <w:u w:val="single"/>
        </w:rPr>
        <w:t>Original</w:t>
      </w:r>
      <w:r>
        <w:rPr>
          <w:rFonts w:ascii="Times New Roman" w:hAnsi="Times New Roman"/>
          <w:sz w:val="20"/>
        </w:rPr>
        <w:t xml:space="preserve"> </w:t>
      </w:r>
      <w:r>
        <w:rPr>
          <w:rFonts w:ascii="Times New Roman" w:hAnsi="Times New Roman"/>
          <w:sz w:val="20"/>
          <w:u w:val="single"/>
        </w:rPr>
        <w:t>Indenture</w:t>
      </w:r>
      <w:r>
        <w:rPr>
          <w:rFonts w:ascii="Times New Roman" w:hAnsi="Times New Roman"/>
          <w:sz w:val="20"/>
        </w:rPr>
        <w:t>” and, as amended by this First Supplemental Indenture, the “</w:t>
      </w:r>
      <w:r>
        <w:rPr>
          <w:rFonts w:ascii="Times New Roman" w:hAnsi="Times New Roman"/>
          <w:sz w:val="20"/>
          <w:u w:val="single"/>
        </w:rPr>
        <w:t>Indenture</w:t>
      </w:r>
      <w:r>
        <w:rPr>
          <w:rFonts w:ascii="Times New Roman" w:hAnsi="Times New Roman"/>
          <w:sz w:val="20"/>
        </w:rPr>
        <w:t>”), which Indenture governs the 0% Convertible Senior Notes due 2027 issued by the Company (the “</w:t>
      </w:r>
      <w:r>
        <w:rPr>
          <w:rFonts w:ascii="Times New Roman" w:hAnsi="Times New Roman"/>
          <w:sz w:val="20"/>
          <w:u w:val="single"/>
        </w:rPr>
        <w:t>2027 Notes</w:t>
      </w:r>
      <w:r>
        <w:rPr>
          <w:rFonts w:ascii="Times New Roman" w:hAnsi="Times New Roman"/>
          <w:sz w:val="20"/>
        </w:rPr>
        <w:t xml:space="preserve">”) under and in accordance with the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8.02 of the Original Indenture provides that the Company and the Trustee may enter into a supplemental indenture to the Indenture for the purpose of amending or supplementing the Indenture or the 2027 Notes or waiving compliance with the provisions of the Indenture or the 2027 Notes with the written consent of the Holders of at least a majority of the aggregate principal amount of the 2027 Notes then outstanding; </w:t>
      </w:r>
    </w:p>
    <w:p>
      <w:pPr>
        <w:pStyle w:val="TextBody"/>
        <w:bidi w:val="0"/>
        <w:spacing w:before="240" w:after="0"/>
        <w:jc w:val="left"/>
        <w:rPr>
          <w:rFonts w:ascii="Times New Roman" w:hAnsi="Times New Roman"/>
          <w:sz w:val="20"/>
        </w:rPr>
      </w:pPr>
      <w:r>
        <w:rPr>
          <w:rFonts w:ascii="Times New Roman" w:hAnsi="Times New Roman"/>
          <w:sz w:val="20"/>
        </w:rPr>
        <w:t>WHEREAS, on September 29, 2025, the Company commenced an exchange offer (the “</w:t>
      </w:r>
      <w:r>
        <w:rPr>
          <w:rFonts w:ascii="Times New Roman" w:hAnsi="Times New Roman"/>
          <w:sz w:val="20"/>
          <w:u w:val="single"/>
        </w:rPr>
        <w:t>Exchange Offer</w:t>
      </w:r>
      <w:r>
        <w:rPr>
          <w:rFonts w:ascii="Times New Roman" w:hAnsi="Times New Roman"/>
          <w:sz w:val="20"/>
        </w:rPr>
        <w:t>”) pursuant to which it offered to exchange any and all outstanding 2027 Notes for new 7.00% Convertible Senior Secured Second Lien PIK Toggle Notes due 2030 issued by the Company (the “</w:t>
      </w:r>
      <w:r>
        <w:rPr>
          <w:rFonts w:ascii="Times New Roman" w:hAnsi="Times New Roman"/>
          <w:sz w:val="20"/>
          <w:u w:val="single"/>
        </w:rPr>
        <w:t>New Notes</w:t>
      </w:r>
      <w:r>
        <w:rPr>
          <w:rFonts w:ascii="Times New Roman" w:hAnsi="Times New Roman"/>
          <w:sz w:val="20"/>
        </w:rPr>
        <w:t>”) and shares of its common stock, par value $0.0001 per share (the “</w:t>
      </w:r>
      <w:r>
        <w:rPr>
          <w:rFonts w:ascii="Times New Roman" w:hAnsi="Times New Roman"/>
          <w:sz w:val="20"/>
          <w:u w:val="single"/>
        </w:rPr>
        <w:t>New Shares</w:t>
      </w:r>
      <w:r>
        <w:rPr>
          <w:rFonts w:ascii="Times New Roman" w:hAnsi="Times New Roman"/>
          <w:sz w:val="20"/>
        </w:rPr>
        <w:t>” and, together with the New Notes, the “</w:t>
      </w:r>
      <w:r>
        <w:rPr>
          <w:rFonts w:ascii="Times New Roman" w:hAnsi="Times New Roman"/>
          <w:sz w:val="20"/>
          <w:u w:val="single"/>
        </w:rPr>
        <w:t>Offered Securities</w:t>
      </w:r>
      <w:r>
        <w:rPr>
          <w:rFonts w:ascii="Times New Roman" w:hAnsi="Times New Roman"/>
          <w:sz w:val="20"/>
        </w:rPr>
        <w:t>”), upon the terms and subject to the conditions set forth in an exchange offer memorandum and consent solicitation statement, dated as of September 29, 2025 (the “</w:t>
      </w:r>
      <w:r>
        <w:rPr>
          <w:rFonts w:ascii="Times New Roman" w:hAnsi="Times New Roman"/>
          <w:sz w:val="20"/>
          <w:u w:val="single"/>
        </w:rPr>
        <w:t>Offering Memorandum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Exchange Offer, the Company solicited consents from the Holders of the 2027 Notes to certain proposed amendments (the “</w:t>
      </w:r>
      <w:r>
        <w:rPr>
          <w:rFonts w:ascii="Times New Roman" w:hAnsi="Times New Roman"/>
          <w:sz w:val="20"/>
          <w:u w:val="single"/>
        </w:rPr>
        <w:t>Proposed Amendments</w:t>
      </w:r>
      <w:r>
        <w:rPr>
          <w:rFonts w:ascii="Times New Roman" w:hAnsi="Times New Roman"/>
          <w:sz w:val="20"/>
        </w:rPr>
        <w:t xml:space="preserve">”) to the Original Indenture and the 2027 Notes, as described in the Offering Memorandum and set forth in Section 1.01 of this First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has received and caused to be delivered to the Trustee evidence of the consent to the Proposed Amendments received from Holders of a majority of the aggregate principal amount of the outstanding 2027 Notes (the “Requisite Consents”); </w:t>
      </w:r>
    </w:p>
    <w:p>
      <w:pPr>
        <w:pStyle w:val="TextBody"/>
        <w:bidi w:val="0"/>
        <w:spacing w:before="240" w:after="0"/>
        <w:jc w:val="left"/>
        <w:rPr>
          <w:rFonts w:ascii="Times New Roman" w:hAnsi="Times New Roman"/>
          <w:sz w:val="20"/>
        </w:rPr>
      </w:pPr>
      <w:r>
        <w:rPr>
          <w:rFonts w:ascii="Times New Roman" w:hAnsi="Times New Roman"/>
          <w:sz w:val="20"/>
        </w:rPr>
        <w:t>WHEREAS, the Company and the Trustee desire to enter into this First Supplemental Indenture on the Effective Date in order to give effect to the Proposed Amendments, which shall become operative immediately following the issuance of the Offered Securities on the settlement date of the Exchange Offer (the “</w:t>
      </w:r>
      <w:r>
        <w:rPr>
          <w:rFonts w:ascii="Times New Roman" w:hAnsi="Times New Roman"/>
          <w:sz w:val="20"/>
          <w:u w:val="single"/>
        </w:rPr>
        <w:t>Operative Date</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acts and requirements necessary to make this First Supplemental Indenture, when executed by the parties hereto, a legal, valid and binding supplement to the Original Indenture, according to its terms and the terms of the Original Indenture, have been done and performed.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parties hereto covenant and agree for the benefit of all Holders of the 2027 Notes,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ONE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Certain Amendments to the Indenture and the 2027 Notes</w:t>
      </w:r>
      <w:r>
        <w:rPr>
          <w:rFonts w:ascii="Times New Roman" w:hAnsi="Times New Roman"/>
          <w:sz w:val="20"/>
        </w:rPr>
        <w:t xml:space="preserve">. Effective on the Operative Date, the Indenture and the 2027 Notes, as applicable, are hereby amended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Section 3.02—Exchange Act Reports, Section 3.03—Rule144A Information, Section 3.05—Compliance and Default Certificates, Article 6—Successors (merger covenant), Section 7.01(A)(v)—Events of Default (failure to comply with Article 6) and Section 7.01(A)(vii)—Events of Default (cross defaults) of the Original Indenture shall be deleted in their entirety and replaced with “RESERVED.” For the avoidance of doubt, on and after the Operative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the failure to comply with the terms of any of the foregoing Sections or Article 6 of the Original Indenture and the corresponding provisions of the 2027 Notes shall no longer constitute a Default or an Event of Default under the Indenture or the 2027 Notes and shall no longer have any consequence under the Indenture or the 2027 Notes.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any definitions set forth in Section 1.01 of the Original Indenture or elsewhere are solely used in the Sections deleted pursuant to subsection (a) above or Article 6, such definitions shall no longer apply or have any consequence in the interpretation of the Indenture or the 2027 Notes. </w:t>
      </w:r>
    </w:p>
    <w:p>
      <w:pPr>
        <w:pStyle w:val="TextBody"/>
        <w:bidi w:val="0"/>
        <w:spacing w:before="240" w:after="0"/>
        <w:jc w:val="left"/>
        <w:rPr>
          <w:rFonts w:ascii="Times New Roman" w:hAnsi="Times New Roman"/>
          <w:sz w:val="20"/>
        </w:rPr>
      </w:pPr>
      <w:r>
        <w:rPr>
          <w:rFonts w:ascii="Times New Roman" w:hAnsi="Times New Roman"/>
          <w:sz w:val="20"/>
        </w:rPr>
        <w:t xml:space="preserve">(d) All other provisions of the Indenture, including the terms of the 2027 Notes set forth in Exhibit A to the Original Indenture, and all certificates representing all outstanding 2027 Notes, will be deemed to be amended to reflect the amendments set forth above in this Section 1.01, </w:t>
      </w:r>
      <w:r>
        <w:rPr>
          <w:rFonts w:ascii="Times New Roman" w:hAnsi="Times New Roman"/>
          <w:i/>
          <w:sz w:val="20"/>
        </w:rPr>
        <w:t>mutatis mutandis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TWO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2.01 </w:t>
      </w:r>
      <w:r>
        <w:rPr>
          <w:rFonts w:ascii="Times New Roman" w:hAnsi="Times New Roman"/>
          <w:sz w:val="20"/>
          <w:u w:val="single"/>
        </w:rPr>
        <w:t>Relation to Original Indenture; Effectiveness; and 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Full Force and Effect</w:t>
      </w:r>
      <w:r>
        <w:rPr>
          <w:rFonts w:ascii="Times New Roman" w:hAnsi="Times New Roman"/>
          <w:sz w:val="20"/>
        </w:rPr>
        <w:t xml:space="preserve">. This First Supplemental Indenture supplements the Original Indenture and shall be a part of and subject to all terms thereof. Except as supplemented hereby, all of the terms, provisions and conditions of the Original Indenture and the 2027 Notes issued thereunder shall continue in full force and effect. In the event of a conflict between the terms and conditions of the Original Indenture and the terms and conditions of this First Supplemental Indenture, the terms and conditions of this First Supplemental Indenture shall prevail. For the avoidance of doubt, all references to sections of the Original Indenture amended by this First Supplemental Indenture shall be to such sections as amended by this First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Effectiveness of Amendments</w:t>
      </w:r>
      <w:r>
        <w:rPr>
          <w:rFonts w:ascii="Times New Roman" w:hAnsi="Times New Roman"/>
          <w:sz w:val="20"/>
        </w:rPr>
        <w:t xml:space="preserve">. Upon the execution and delivery of this First Supplemental Indenture on the Effective Date, this First Supplemental Indenture shall be effective. Notwithstanding the foregoing, the amendments set forth in Section 1.01 above shall not become operative until the Operative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GOVERNING LAW; WAIVER OF JURY TRIAL</w:t>
      </w:r>
      <w:r>
        <w:rPr>
          <w:rFonts w:ascii="Times New Roman" w:hAnsi="Times New Roman"/>
          <w:sz w:val="20"/>
        </w:rPr>
        <w:t xml:space="preserve">. THIS FIRST SUPPLEMENTAL INDENTURE, AND ANY CLAIM, CONTROVERSY OR DISPUTE ARISING UNDER OR RELATED TO THIS FIRST SUPPLEMENTAL INDENTURE,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THIS FIRST SUPPLEMENTAL INDENTURE OR THE TRANSACTIONS CONTEMPLATED BY THIS FIRST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Separability Clause</w:t>
      </w:r>
      <w:r>
        <w:rPr>
          <w:rFonts w:ascii="Times New Roman" w:hAnsi="Times New Roman"/>
          <w:sz w:val="20"/>
        </w:rPr>
        <w:t xml:space="preserve">. If any provision of this First Supplemental Indenture is invalid, illegal or unenforceable, then the validity, legality and enforceability of the remaining provisions of this First Supplemental Indenture will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Confirmation of Indenture</w:t>
      </w:r>
      <w:r>
        <w:rPr>
          <w:rFonts w:ascii="Times New Roman" w:hAnsi="Times New Roman"/>
          <w:sz w:val="20"/>
        </w:rPr>
        <w:t xml:space="preserve">. Except as amended and supplemented hereby, the Original Indenture is hereby ratified, confirmed and reaffirmed in all respects. The Original Indenture and this First Supplemental Indenture shall be read, taken and construed as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Counterparts</w:t>
      </w:r>
      <w:r>
        <w:rPr>
          <w:rFonts w:ascii="Times New Roman" w:hAnsi="Times New Roman"/>
          <w:sz w:val="20"/>
        </w:rPr>
        <w:t xml:space="preserve">. The parties may sign any number of copies of this First Supplemental Indenture. Each signed copy will be an original, and all of them together represent the same agreement. Delivery of an executed counterpart of this First Supplemental Indenture by facsimile, electronically in portable document format or in any other format will be effective as delivery of a manually executed counterpart. The Company agrees to assume all risks arising out of its use of digital signatures and electronic methods to submit communications to the Trustee, including the risk of the Trustee acting on unauthorized instructions and the risk of interception and misuse by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Successors</w:t>
      </w:r>
      <w:r>
        <w:rPr>
          <w:rFonts w:ascii="Times New Roman" w:hAnsi="Times New Roman"/>
          <w:sz w:val="20"/>
        </w:rPr>
        <w:t xml:space="preserve">. All agreements of the Company in this First Supplemental Indenture will bind its successors. All agreements of the Trustee in this First Supplemental Indenture will bind its successors.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Headings</w:t>
      </w:r>
      <w:r>
        <w:rPr>
          <w:rFonts w:ascii="Times New Roman" w:hAnsi="Times New Roman"/>
          <w:sz w:val="20"/>
        </w:rPr>
        <w:t xml:space="preserve">. The headings of the Articles and Sections of this First Supplemental Indenture have been inserted for convenience of reference only, are not to be considered a part of this First Supplemental Indenture and will in no way modify or restrict any of the terms or provisions of this First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Trustee Makes No Representation</w:t>
      </w:r>
      <w:r>
        <w:rPr>
          <w:rFonts w:ascii="Times New Roman" w:hAnsi="Times New Roman"/>
          <w:sz w:val="20"/>
        </w:rPr>
        <w:t xml:space="preserve">. The recitals contained herein are made by the Company and not by the Trustee, and the Trustee assumes no responsibility for the correctness thereof. The Trustee makes no representation as to the validity or sufficiency of this First Supplemental Indenture. All rights, protections, privileges, indemnities and benefits granted or afforded to the Trustee under the Indenture shall be deemed incorporated herein by this reference and shall be deemed applicable to all actions taken, suffered or omitted by the Trustee. The Trustee is executing this First Supplemental Indenture pursuant to the Requisite Consents, which consent is deemed a direction to the Trustee to execute and deliver this First Supplemental Indenture, and in reliance on the Officer’s Certificate and Opinion of Counsel delivered to it concurrently herewith.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First Supplemental Indenture to be duly executed all as of the date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5"/>
        <w:gridCol w:w="60"/>
        <w:gridCol w:w="660"/>
        <w:gridCol w:w="60"/>
        <w:gridCol w:w="2937"/>
      </w:tblGrid>
      <w:tr>
        <w:trPr/>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vAlign w:val="bottom"/>
          </w:tcPr>
          <w:p>
            <w:pPr>
              <w:pStyle w:val="TableContents"/>
              <w:bidi w:val="0"/>
              <w:spacing w:before="0" w:after="283"/>
              <w:jc w:val="left"/>
              <w:rPr>
                <w:b/>
              </w:rPr>
            </w:pPr>
            <w:r>
              <w:rPr>
                <w:b/>
              </w:rPr>
              <w:t>BEYOND MEAT, INC.</w:t>
            </w:r>
          </w:p>
        </w:tc>
      </w:tr>
      <w:tr>
        <w:trPr>
          <w:trHeight w:val="240" w:hRule="atLeast"/>
        </w:trPr>
        <w:tc>
          <w:tcPr>
            <w:tcW w:w="365" w:type="dxa"/>
            <w:tcBorders/>
            <w:vAlign w:val="center"/>
          </w:tcPr>
          <w:p>
            <w:pPr>
              <w:pStyle w:val="TableContents"/>
              <w:bidi w:val="0"/>
              <w:spacing w:before="0" w:after="283"/>
              <w:jc w:val="left"/>
              <w:rPr>
                <w:sz w:val="4"/>
                <w:szCs w:val="4"/>
              </w:rPr>
            </w:pPr>
            <w:r>
              <w:rPr>
                <w:sz w:val="4"/>
                <w:szCs w:val="4"/>
              </w:rPr>
            </w:r>
          </w:p>
        </w:tc>
        <w:tc>
          <w:tcPr>
            <w:tcW w:w="3717"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7" w:type="dxa"/>
            <w:gridSpan w:val="3"/>
            <w:tcBorders>
              <w:bottom w:val="single" w:sz="2" w:space="0" w:color="000000"/>
            </w:tcBorders>
            <w:tcMar>
              <w:bottom w:w="28" w:type="dxa"/>
            </w:tcMar>
            <w:vAlign w:val="bottom"/>
          </w:tcPr>
          <w:p>
            <w:pPr>
              <w:pStyle w:val="TableContents"/>
              <w:bidi w:val="0"/>
              <w:spacing w:before="0" w:after="283"/>
              <w:jc w:val="left"/>
              <w:rPr/>
            </w:pPr>
            <w:r>
              <w:rPr/>
              <w:t>/s/ Lubi Kutua</w:t>
            </w:r>
          </w:p>
        </w:tc>
      </w:tr>
      <w:tr>
        <w:trPr/>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7" w:type="dxa"/>
            <w:tcBorders/>
            <w:vAlign w:val="bottom"/>
          </w:tcPr>
          <w:p>
            <w:pPr>
              <w:pStyle w:val="TableContents"/>
              <w:bidi w:val="0"/>
              <w:spacing w:before="0" w:after="283"/>
              <w:jc w:val="left"/>
              <w:rPr/>
            </w:pPr>
            <w:r>
              <w:rPr/>
              <w:t>Lubi Kutua</w:t>
            </w:r>
          </w:p>
        </w:tc>
      </w:tr>
      <w:tr>
        <w:trPr/>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7" w:type="dxa"/>
            <w:tcBorders/>
            <w:vAlign w:val="bottom"/>
          </w:tcPr>
          <w:p>
            <w:pPr>
              <w:pStyle w:val="TableContents"/>
              <w:bidi w:val="0"/>
              <w:spacing w:before="0" w:after="283"/>
              <w:jc w:val="left"/>
              <w:rPr/>
            </w:pPr>
            <w:r>
              <w:rPr/>
              <w:t>Chief Financial Officer and Treasurer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3"/>
        <w:gridCol w:w="60"/>
        <w:gridCol w:w="659"/>
        <w:gridCol w:w="60"/>
        <w:gridCol w:w="2940"/>
      </w:tblGrid>
      <w:tr>
        <w:trPr/>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U.S. BANK TRUST COMPANY, NATIONAL ASSOCIATION,</w:t>
            </w:r>
          </w:p>
          <w:p>
            <w:pPr>
              <w:pStyle w:val="TableContents"/>
              <w:bidi w:val="0"/>
              <w:spacing w:before="0" w:after="20"/>
              <w:jc w:val="left"/>
              <w:rPr>
                <w:rFonts w:ascii="Times New Roman" w:hAnsi="Times New Roman"/>
                <w:sz w:val="20"/>
              </w:rPr>
            </w:pPr>
            <w:r>
              <w:rPr>
                <w:rFonts w:ascii="Times New Roman" w:hAnsi="Times New Roman"/>
                <w:sz w:val="20"/>
              </w:rPr>
              <w:t>as Trustee.</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9" w:type="dxa"/>
            <w:gridSpan w:val="3"/>
            <w:tcBorders>
              <w:bottom w:val="single" w:sz="2" w:space="0" w:color="000000"/>
            </w:tcBorders>
            <w:tcMar>
              <w:bottom w:w="28" w:type="dxa"/>
            </w:tcMar>
            <w:vAlign w:val="bottom"/>
          </w:tcPr>
          <w:p>
            <w:pPr>
              <w:pStyle w:val="TableContents"/>
              <w:bidi w:val="0"/>
              <w:spacing w:before="0" w:after="283"/>
              <w:jc w:val="left"/>
              <w:rPr/>
            </w:pPr>
            <w:r>
              <w:rPr/>
              <w:t>/s/ Bradley E. Scarbrough</w:t>
            </w:r>
          </w:p>
        </w:tc>
      </w:tr>
      <w:tr>
        <w:trPr/>
        <w:tc>
          <w:tcPr>
            <w:tcW w:w="3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0" w:type="dxa"/>
            <w:tcBorders/>
            <w:vAlign w:val="bottom"/>
          </w:tcPr>
          <w:p>
            <w:pPr>
              <w:pStyle w:val="TableContents"/>
              <w:bidi w:val="0"/>
              <w:spacing w:before="0" w:after="283"/>
              <w:jc w:val="left"/>
              <w:rPr/>
            </w:pPr>
            <w:r>
              <w:rPr/>
              <w:t>Bradley E. Scarbrough</w:t>
            </w:r>
          </w:p>
        </w:tc>
      </w:tr>
      <w:tr>
        <w:trPr/>
        <w:tc>
          <w:tcPr>
            <w:tcW w:w="3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0" w:type="dxa"/>
            <w:tcBorders/>
            <w:vAlign w:val="bottom"/>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 First Supplemental Indenture] </w:t>
      </w:r>
    </w:p>
    <w:p>
      <w:pPr>
        <w:pStyle w:val="TextBody"/>
        <w:bidi w:val="0"/>
        <w:spacing w:before="0" w:after="0"/>
        <w:jc w:val="right"/>
        <w:rPr>
          <w:rFonts w:ascii="Times New Roman" w:hAnsi="Times New Roman"/>
          <w:b/>
          <w:sz w:val="20"/>
        </w:rPr>
      </w:pPr>
      <w:bookmarkStart w:id="74" w:name="d60690dex991.htm"/>
      <w:bookmarkStart w:id="75" w:name="ksd60690dex991"/>
      <w:bookmarkEnd w:id="74"/>
      <w:bookmarkEnd w:id="75"/>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Beyond Meat Announces Early Tender Results and Early Settlement for </w:t>
      </w:r>
    </w:p>
    <w:p>
      <w:pPr>
        <w:pStyle w:val="TextBody"/>
        <w:bidi w:val="0"/>
        <w:spacing w:before="0" w:after="0"/>
        <w:jc w:val="center"/>
        <w:rPr>
          <w:rFonts w:ascii="Times New Roman" w:hAnsi="Times New Roman"/>
          <w:b/>
          <w:sz w:val="20"/>
        </w:rPr>
      </w:pPr>
      <w:r>
        <w:rPr>
          <w:rFonts w:ascii="Times New Roman" w:hAnsi="Times New Roman"/>
          <w:b/>
          <w:sz w:val="20"/>
        </w:rPr>
        <w:t xml:space="preserve">Exchange Offer and Consent Solicitation with Respect to Existing Convertible Notes </w:t>
      </w:r>
    </w:p>
    <w:p>
      <w:pPr>
        <w:pStyle w:val="TextBody"/>
        <w:bidi w:val="0"/>
        <w:spacing w:before="240" w:after="0"/>
        <w:jc w:val="left"/>
        <w:rPr>
          <w:rFonts w:ascii="Times New Roman" w:hAnsi="Times New Roman"/>
          <w:sz w:val="20"/>
        </w:rPr>
      </w:pPr>
      <w:r>
        <w:rPr>
          <w:rFonts w:ascii="Times New Roman" w:hAnsi="Times New Roman"/>
          <w:b/>
          <w:sz w:val="20"/>
        </w:rPr>
        <w:t xml:space="preserve">El Segundo, California. (October 13, 2025) — </w:t>
      </w:r>
      <w:r>
        <w:rPr>
          <w:rFonts w:ascii="Times New Roman" w:hAnsi="Times New Roman"/>
          <w:sz w:val="20"/>
        </w:rPr>
        <w:t xml:space="preserve">Beyond Meat, Inc. (NASDAQ: BYND) (the “Company” or “Beyond Meat”), a leader in plant-based meat, today announced the early tender results of its previously announced exchange offer (the “Exchange Offer”) to exchange any and all of its 0% Convertible Senior Notes due 2027 (the “Existing Convertible Notes”) for a pro rata portion of (i) up to $202.5 million in aggregate principal amount of its new 7.00% Convertible Senior Secured Second Lien PIK Toggle Notes due 2030 (the “New Convertible Notes”) and (ii) up to 326,190,370 shares of its common stock (the “New Shares” and, together with the New Convertible Notes,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As of 5:00 p.m., New York City time, on October 10, 2025 (the “Early Tender Date”), based on information provided by MacKenzie Partners, Inc., which is acting as the exchange agent and information agent for the Exchange Offer (the “Exchange Agent”), $1,114,603,000 in aggregate principal amount of Existing Convertible Notes was validly tendered in the Exchange Offer and not validly withdrawn (such notes, the “Tendered Notes”) and related consents to the Proposed Amendments (as defined below) were validly delivered and not validly withdrawn as of such time. It was a condition to the Exchange Offer that a minimum of 85% of the aggregate principal amount of Existing Convertible Notes shall have been validly tendered (and, if applicable, not validly withdrawn). The Tendered Notes represent 96.92% of the aggregate outstanding principal amount of Existing Convertible Notes. As a result, the Company also announced that it will consummate the early settlement with respect to the Tendered Notes (the “Early Settlement”), which is expected to occur on October 15, 2025 (the “Early Settlement Date”), the second business day immediately following the Early Tender Date. </w:t>
      </w:r>
    </w:p>
    <w:p>
      <w:pPr>
        <w:pStyle w:val="TextBody"/>
        <w:bidi w:val="0"/>
        <w:spacing w:before="240" w:after="0"/>
        <w:jc w:val="left"/>
        <w:rPr>
          <w:rFonts w:ascii="Times New Roman" w:hAnsi="Times New Roman"/>
          <w:sz w:val="20"/>
        </w:rPr>
      </w:pPr>
      <w:r>
        <w:rPr>
          <w:rFonts w:ascii="Times New Roman" w:hAnsi="Times New Roman"/>
          <w:sz w:val="20"/>
        </w:rPr>
        <w:t xml:space="preserve">Beyond Meat President and CEO Ethan Brown commented, “We are pleased to announce this Early Settlement of the Exchange Offer for our Existing Convertible Notes, which marks a meaningful next step towards our goal of reducing leverage and extending debt maturity for Beyond Meat.”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describes the early tender results at 5:00 p.m., New York City time, on October 10, 2025 (which is the Early Tender Date of the Exchange Offer and the Consent Solicitation, as defined below) as well as the Offered Securities expected to be issued at the Early Settlement: </w:t>
      </w:r>
    </w:p>
    <w:p>
      <w:pPr>
        <w:pStyle w:val="TextBody"/>
        <w:bidi w:val="0"/>
        <w:spacing w:before="0" w:after="0"/>
        <w:jc w:val="left"/>
        <w:rPr/>
      </w:pPr>
      <w:r>
        <w:rPr/>
        <w:t> </w:t>
      </w:r>
    </w:p>
    <w:tbl>
      <w:tblPr>
        <w:tblW w:w="11085" w:type="dxa"/>
        <w:jc w:val="center"/>
        <w:tblInd w:w="0" w:type="dxa"/>
        <w:tblLayout w:type="fixed"/>
        <w:tblCellMar>
          <w:top w:w="0" w:type="dxa"/>
          <w:left w:w="0" w:type="dxa"/>
          <w:bottom w:w="0" w:type="dxa"/>
          <w:right w:w="0" w:type="dxa"/>
        </w:tblCellMar>
      </w:tblPr>
      <w:tblGrid>
        <w:gridCol w:w="545"/>
        <w:gridCol w:w="120"/>
        <w:gridCol w:w="271"/>
        <w:gridCol w:w="2719"/>
        <w:gridCol w:w="60"/>
        <w:gridCol w:w="120"/>
        <w:gridCol w:w="238"/>
        <w:gridCol w:w="2227"/>
        <w:gridCol w:w="275"/>
        <w:gridCol w:w="60"/>
        <w:gridCol w:w="256"/>
        <w:gridCol w:w="2239"/>
        <w:gridCol w:w="60"/>
        <w:gridCol w:w="120"/>
        <w:gridCol w:w="80"/>
        <w:gridCol w:w="1635"/>
        <w:gridCol w:w="60"/>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29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Principal Amount</w:t>
              <w:br/>
              <w:t>of Existing Convertible Notes</w:t>
              <w:br/>
              <w:t>Tendered and Accepted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 Existing</w:t>
              <w:br/>
              <w:t>Convertible Notes</w:t>
              <w:br/>
              <w:t>Tendered and Accepted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Principal</w:t>
              <w:br/>
              <w:t>Amount of New</w:t>
              <w:br/>
              <w:t>Convertible Notes</w:t>
              <w:br/>
              <w:t>Expected to be Issued(1)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New</w:t>
              <w:br/>
              <w:t>Shares Expected</w:t>
              <w:br/>
              <w:t>to be Issued</w:t>
            </w:r>
          </w:p>
        </w:tc>
        <w:tc>
          <w:tcPr>
            <w:tcW w:w="60" w:type="dxa"/>
            <w:tcBorders/>
            <w:vAlign w:val="bottom"/>
          </w:tcPr>
          <w:p>
            <w:pPr>
              <w:pStyle w:val="TableContents"/>
              <w:bidi w:val="0"/>
              <w:spacing w:before="0" w:after="283"/>
              <w:jc w:val="left"/>
              <w:rPr/>
            </w:pPr>
            <w:r>
              <w:rPr/>
              <w:t> </w:t>
            </w:r>
          </w:p>
        </w:tc>
      </w:tr>
      <w:tr>
        <w:trPr/>
        <w:tc>
          <w:tcPr>
            <w:tcW w:w="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 Convertible Senior Notes due 2027</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2719" w:type="dxa"/>
            <w:tcBorders/>
            <w:shd w:fill="CCEEFF" w:val="clear"/>
            <w:vAlign w:val="bottom"/>
          </w:tcPr>
          <w:p>
            <w:pPr>
              <w:pStyle w:val="TableContents"/>
              <w:bidi w:val="0"/>
              <w:spacing w:before="0" w:after="283"/>
              <w:jc w:val="right"/>
              <w:rPr/>
            </w:pPr>
            <w:r>
              <w:rPr/>
              <w:t>1,114,603,000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227" w:type="dxa"/>
            <w:tcBorders/>
            <w:shd w:fill="CCEEFF" w:val="clear"/>
            <w:vAlign w:val="bottom"/>
          </w:tcPr>
          <w:p>
            <w:pPr>
              <w:pStyle w:val="TableContents"/>
              <w:bidi w:val="0"/>
              <w:spacing w:before="0" w:after="283"/>
              <w:jc w:val="right"/>
              <w:rPr/>
            </w:pPr>
            <w:r>
              <w:rPr/>
              <w:t>96.92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2239" w:type="dxa"/>
            <w:tcBorders/>
            <w:shd w:fill="CCEEFF" w:val="clear"/>
            <w:vAlign w:val="bottom"/>
          </w:tcPr>
          <w:p>
            <w:pPr>
              <w:pStyle w:val="TableContents"/>
              <w:bidi w:val="0"/>
              <w:spacing w:before="0" w:after="283"/>
              <w:jc w:val="right"/>
              <w:rPr/>
            </w:pPr>
            <w:r>
              <w:rPr/>
              <w:t>196,217,000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316,150,176</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include the SteerCo Premium as defined and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agreed in the transaction support agreement (the “Transaction Support Agreement”), dated September 29, 2025, among the Company and certain beneficial owners or nominees, investment managers or advisors for beneficial holders of the Existing Convertible Notes (the “Supporting Noteholders”) who held approximately 47% of the aggregate principal amount of the Existing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Convertible Notes as of the effective date of the Transaction Support Agreement, to pay or cause to be paid to the Supporting Noteholders, in proportion to the principal amount of Existing Notes held by each such Supporting Noteholder, a non-refundable amount equal to $12.5 million in aggregate principal amount of New Convertible Notes on the initial settlement date of the New Convertible Notes (the “SteerCo Premium”). As a result, the SteerCo Premium is expected to be issued on the Early Settlement Date, and a total of $208,717,000 in aggregate principal amount of New Convertible Notes is expected to be outstanding immediately following the Early Settlement Date. </w:t>
      </w:r>
    </w:p>
    <w:p>
      <w:pPr>
        <w:pStyle w:val="TextBody"/>
        <w:bidi w:val="0"/>
        <w:spacing w:before="240" w:after="0"/>
        <w:jc w:val="left"/>
        <w:rPr>
          <w:rFonts w:ascii="Times New Roman" w:hAnsi="Times New Roman"/>
          <w:sz w:val="20"/>
        </w:rPr>
      </w:pPr>
      <w:r>
        <w:rPr>
          <w:rFonts w:ascii="Times New Roman" w:hAnsi="Times New Roman"/>
          <w:sz w:val="20"/>
        </w:rPr>
        <w:t xml:space="preserve">By tendering Existing Convertible Notes in the Exchange Offer, each participating holder of Existing Convertible Notes is deemed to have agreed with the Company that from and after the Early Settlement Date and until 5:00 p.m., New York City time, on October 16, 2025, which is the record date of the special meeting to be held following the Exchange Offer, it will not transfer, sell, exchange, assign or convey any legal or beneficial ownership interest in, or any right, title or interest therein (including any right or power to vote), or otherwise dispose of (whether by sale, liquidation, dissolution, dividend, distribution or otherwise) any New Shares, or enter into any contract, option, or other agreement with respect to any of the foregoing; provided that an exchanging holder of Existing Convertible Notes may sell up to approximately 37.45% of the New Shares received by such holder in the Exchange Offer (the “Freely Tradeable Shares”) until 5:00 p.m., New York City time, on October 16, 2025, and, thereafter, will be able to sell all of the New Shares it receives in the Exchange Offer. With the exception of the Freely Tradeable Shares, the New Shares are expected to be issued into a Contra CUSIP (CUSIP NO. 088ESCAA6) intended to restrict the trading of such security for the duration of the lock-up period. The Company intends to publicly announce the release of the lock-up restrictions on or about 5:00 p.m., New York City time, on October 16, 2025. Holders of New Shares subject to the Contra CUSIP will no longer be contractually restricted from transferring such common shares following 5:00 p.m., New York City time, on October 16, 2025. Shares subject to the Contra CUSIP are expected to be allocated into the unrestricted CUSIP for the Company’s shares of common stock (CUSIP NO. 08862E109) over the course of the day on October 17, 2025, subject to the procedures of the Depository Trust Company (“DTC”) and of DTC participants.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Exchange Offer, the Company solicited consents (the “Consent Solicitation”) from holders of the Existing Convertible Notes to adopt certain proposed amendments (the “Proposed Amendments”) to the indenture governing the Existing Convertible Notes (the “Existing Convertible Notes Indenture”). The Proposed Amendments will eliminate substantially all of the restrictive covenants in the Existing Convertible Notes Indenture as well as certain events of default and related provisions applicable to the Existing Convertible Notes. As of 5:00 p.m., New York City time, on the Early Tender Date, the Company had obtained sufficient consents to effectuate the Proposed Amendments. As a result, the Proposed Amendments will become effective upon the Early Settlement Date. </w:t>
      </w:r>
    </w:p>
    <w:p>
      <w:pPr>
        <w:pStyle w:val="TextBody"/>
        <w:bidi w:val="0"/>
        <w:spacing w:before="240" w:after="0"/>
        <w:jc w:val="left"/>
        <w:rPr>
          <w:rFonts w:ascii="Times New Roman" w:hAnsi="Times New Roman"/>
          <w:sz w:val="20"/>
        </w:rPr>
      </w:pPr>
      <w:r>
        <w:rPr>
          <w:rFonts w:ascii="Times New Roman" w:hAnsi="Times New Roman"/>
          <w:sz w:val="20"/>
        </w:rPr>
        <w:t xml:space="preserve">For the remaining holders of Existing Convertible Notes that did not tender their Existing Convertible Notes prior to the Early Tender Date, the Exchange Offer will expire at 5:00 p.m., New York City time, on October 28, 2025 (such time and date, as the same may be extended, the “Expiration Deadline”), unless extended or earlier terminated. The withdrawal deadline for the Exchange Offer and Consent Solicitation occurred at 5:00 p.m., New York City time, on October 10, 2025 (the “Withdrawal Deadline”). As a result, and because the Withdrawal Deadline is not being extended, tenders of the Existing Convertible Notes and related consents may no longer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withdrawn, except in limited circumstances where additional withdrawal rights are required by law. If all conditions to the Exchange Offer have been or are concurrently satisfied or waived at or prior to the Expiration Deadline, unless extended, the Company will accept for exchange any remaining Existing Convertible Notes that were validly tendered in the Exchange Offer following the Early Tender Date and at or prior to the Expiration Deadline, and not validly withdrawn at or prior to the Withdrawal Deadline (the date of such exchange, the “Final Settlement Date”). The Final Settlement Date, if any, will be promptly after the Expiration Deadline and is currently expected to occur on October 30, 2025, the second business day immediately following the Expiration Deadline.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 and Consent Solicitation may each be amended or extended at any time prior to the Expiration Deadline and for any reason, and may be terminated or withdrawn if any of the conditions of the Exchange Offer and Consent Solicitation are not satisfied or waived by the Expiration Deadline (as it may be extended), subject to applicable law and, if applicable, the terms of the Transaction Support Agreement. Subject to applicable law and, if applicable, the terms of the Transaction Support Agreement, the Company may extend the Expiration Deadline at any time, which may or may not have the effect of extending the Withdrawal Deadline. </w:t>
      </w:r>
    </w:p>
    <w:p>
      <w:pPr>
        <w:pStyle w:val="TextBody"/>
        <w:bidi w:val="0"/>
        <w:spacing w:before="240" w:after="0"/>
        <w:jc w:val="left"/>
        <w:rPr>
          <w:rFonts w:ascii="Times New Roman" w:hAnsi="Times New Roman"/>
          <w:sz w:val="20"/>
        </w:rPr>
      </w:pPr>
      <w:r>
        <w:rPr>
          <w:rFonts w:ascii="Times New Roman" w:hAnsi="Times New Roman"/>
          <w:sz w:val="20"/>
        </w:rPr>
        <w:t xml:space="preserve">The New Convertible Notes and shares of common stock offered in the Exchange Offer are being offered only to holders of Existing Convertible Notes that are (i) “qualified institutional buyers” as defined in Rule 144A under the Securities Act or (ii) “accredited investors” (within the meaning of Rule 501(a) under the Securities Act) that beneficially own a minimum of $200,000 in aggregate principal amount of Existing Convertible Notes (“Eligible Holders”). </w:t>
      </w:r>
    </w:p>
    <w:p>
      <w:pPr>
        <w:pStyle w:val="TextBody"/>
        <w:bidi w:val="0"/>
        <w:spacing w:before="240" w:after="0"/>
        <w:jc w:val="left"/>
        <w:rPr>
          <w:rFonts w:ascii="Times New Roman" w:hAnsi="Times New Roman"/>
          <w:sz w:val="20"/>
        </w:rPr>
      </w:pPr>
      <w:r>
        <w:rPr>
          <w:rFonts w:ascii="Times New Roman" w:hAnsi="Times New Roman"/>
          <w:sz w:val="20"/>
        </w:rPr>
        <w:t xml:space="preserve">PJT Partners LP is acting as financial advisor to the Company and dealer manager (the “Dealer Manager”) in connection with the Exchange Offer and Consent Solicitation. MacKenzie Partners, Inc. is acting as the exchange agent and the information agent in connection with the Exchange Offer and Consent Solicitation. Questions concerning the Exchange Offer and Consent Solicitation may be directed to the Dealer Manager at 280 Park Avenue, New York, NY 10017, tel: 212-364-7117 or to the Exchange Agent at 7 Penn Plaza, Suite 503, New York, NY 10001, tel: 800-322-2885, e-mail: exchangeoffer@mackenziepartners.com. Eligible Holders should also consult their broker, dealer, commercial bank, trust company or other institution for assistance concerning the Exchange Offer and Consent Solicitation. Latham &amp; Watkins LLP is acting as legal counsel to the Company in connection with the Exchange Offer and Consent Solicitation. Houlihan Lokey Capital, Inc. is acting as financial advisor and Akin Gump Strauss Hauer &amp; Feld LLP is acting as legal counsel to certain holders of Existing Convertible Notes that are party to the Transaction Support Agreement. Winston &amp; Strawn LLP is acting as legal counsel to PJT Partners LP, as the Dealer Manager for the Exchange Offer and Consent Solicitation. </w:t>
      </w:r>
    </w:p>
    <w:p>
      <w:pPr>
        <w:pStyle w:val="TextBody"/>
        <w:bidi w:val="0"/>
        <w:spacing w:before="240" w:after="0"/>
        <w:jc w:val="left"/>
        <w:rPr>
          <w:rFonts w:ascii="Times New Roman" w:hAnsi="Times New Roman"/>
          <w:sz w:val="20"/>
        </w:rPr>
      </w:pPr>
      <w:r>
        <w:rPr>
          <w:rFonts w:ascii="Times New Roman" w:hAnsi="Times New Roman"/>
          <w:sz w:val="20"/>
        </w:rPr>
        <w:t xml:space="preserve">The New Convertible Notes and shares of common stock offered in the Exchange Offer, and shares of common stock issuable upon conversion of the New Convertible Notes have not been, and will not be, registered under the Securities Act of 1933, as amended, or any other securities laws. This press release shall not constitute an offer to sell, or the solicitation of an offer to buy, the New Convertible Notes and shares of common stock offered in the Exchange Offer, the shares of common stock issuable upon conversion of the New Convertible Notes, the Existing Convertible Notes or any other securities, nor will there be any sale of such securities or any other securities, in any state or other jurisdiction in which such offer, sale or solicitation would be unlawful.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Beyond Meat </w:t>
      </w:r>
    </w:p>
    <w:p>
      <w:pPr>
        <w:pStyle w:val="TextBody"/>
        <w:bidi w:val="0"/>
        <w:spacing w:before="120" w:after="0"/>
        <w:jc w:val="left"/>
        <w:rPr>
          <w:rFonts w:ascii="Times New Roman" w:hAnsi="Times New Roman"/>
          <w:sz w:val="20"/>
        </w:rPr>
      </w:pPr>
      <w:r>
        <w:rPr>
          <w:rFonts w:ascii="Times New Roman" w:hAnsi="Times New Roman"/>
          <w:sz w:val="20"/>
        </w:rPr>
        <w:t xml:space="preserve">Beyond Meat, Inc. (NASDAQ: BYND) is a leading plant-based meat company offering a portfolio of revolutionary plant-based meats made from simple ingredients without GMOs, no added hormones or antibiotics, and 0mg of cholesterol per serving. Founded in 2009, Beyond Meat products are designed to have the same taste and texture as animal-based meat while being better for people and the planet. Beyond Meat’s brand promise, Eat What You Love®, represents a strong belief that there is a better way to feed our future and that the positive choices we all make, no matter how small, can have a great impact on our personal health and the health of our planet. By shifting from animal-based meat to plant-based protein, we can positively impact four growing global issues: human health, climate change, constraints on natural resources and animal welfare. </w:t>
      </w:r>
    </w:p>
    <w:p>
      <w:pPr>
        <w:pStyle w:val="TextBody"/>
        <w:bidi w:val="0"/>
        <w:spacing w:before="360" w:after="0"/>
        <w:jc w:val="left"/>
        <w:rPr>
          <w:rFonts w:ascii="Times New Roman" w:hAnsi="Times New Roman"/>
          <w:b/>
          <w:sz w:val="20"/>
        </w:rPr>
      </w:pPr>
      <w:r>
        <w:rPr>
          <w:rFonts w:ascii="Times New Roman" w:hAnsi="Times New Roman"/>
          <w:b/>
          <w:sz w:val="20"/>
        </w:rPr>
        <w:t xml:space="preserve">Beyond Meat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release constitute “forward-looking statements” within the meaning of the federal securities laws. These statements are based on management’s current opinions, expectations, beliefs, plans, objectives, assumptions or projections regarding future events or future results. Forward-looking statements include statements regarding Beyond Meat’s ability to consummate the Exchange Offer.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Beyond Meat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or implied herein including, risks related to Beyond Meat’s ability to realize the anticipated benefits of the Exchange Offer and Consent Solicitation and the risks discussed under the heading “Risk Factors” in Beyond Meat’s Annual Report on Form 10-K for the fiscal year ended December 31, 2024 filed with the U.S. Securities and Exchange Commission (“SEC”) on March 5, 2025, Beyond Meat’s Quarterly Report on Form 10-Q for the fiscal quarter ended March 29, 2025 filed with the SEC on May 8, 2025 and Beyond Meat’s Quarterly Report on Form 10-Q for the fiscal quarter ended June 28, 2025 filed with the SEC on August 8, 2025, under the heading “Supplementary Risk Factors” in Beyond Meat’s Current Report on Form 8-K filed with the SEC on October 6, 2025, as well as other factors described from time to time in Beyond Meat’s filings with the SEC. Such forward-looking statements are made only as of the date of this release. Beyond Meat undertakes no obligation to publicly update or revise any forward-looking statement because of new information, future events or otherwise, except as otherwise required by law. If Beyond Meat does update one or more forward-looking statements, no inference should be made that Beyond Meat will make additional updates with respect to those or other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Contact Information </w:t>
      </w:r>
    </w:p>
    <w:p>
      <w:pPr>
        <w:pStyle w:val="TextBody"/>
        <w:bidi w:val="0"/>
        <w:spacing w:before="120" w:after="0"/>
        <w:jc w:val="left"/>
        <w:rPr>
          <w:rFonts w:ascii="Times New Roman" w:hAnsi="Times New Roman"/>
          <w:b/>
          <w:sz w:val="20"/>
        </w:rPr>
      </w:pPr>
      <w:r>
        <w:rPr>
          <w:rFonts w:ascii="Times New Roman" w:hAnsi="Times New Roman"/>
          <w:b/>
          <w:sz w:val="20"/>
        </w:rPr>
        <w:t xml:space="preserve">Media: </w:t>
      </w:r>
    </w:p>
    <w:p>
      <w:pPr>
        <w:pStyle w:val="TextBody"/>
        <w:bidi w:val="0"/>
        <w:spacing w:before="120" w:after="0"/>
        <w:jc w:val="left"/>
        <w:rPr>
          <w:rFonts w:ascii="Times New Roman" w:hAnsi="Times New Roman"/>
          <w:sz w:val="20"/>
        </w:rPr>
      </w:pPr>
      <w:r>
        <w:rPr>
          <w:rFonts w:ascii="Times New Roman" w:hAnsi="Times New Roman"/>
          <w:sz w:val="20"/>
        </w:rPr>
        <w:t xml:space="preserve">Shira Zackai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Shira.zackai@beyondmeat.com </w:t>
      </w:r>
    </w:p>
    <w:p>
      <w:pPr>
        <w:pStyle w:val="TextBody"/>
        <w:bidi w:val="0"/>
        <w:spacing w:before="360" w:after="0"/>
        <w:jc w:val="left"/>
        <w:rPr>
          <w:rFonts w:ascii="Times New Roman" w:hAnsi="Times New Roman"/>
          <w:b/>
          <w:sz w:val="20"/>
        </w:rPr>
      </w:pPr>
      <w:r>
        <w:rPr>
          <w:rFonts w:ascii="Times New Roman" w:hAnsi="Times New Roman"/>
          <w:b/>
          <w:sz w:val="20"/>
        </w:rPr>
        <w:t xml:space="preserve">Investors: </w:t>
      </w:r>
    </w:p>
    <w:p>
      <w:pPr>
        <w:pStyle w:val="TextBody"/>
        <w:bidi w:val="0"/>
        <w:spacing w:before="120" w:after="0"/>
        <w:jc w:val="left"/>
        <w:rPr>
          <w:rFonts w:ascii="Times New Roman" w:hAnsi="Times New Roman"/>
          <w:sz w:val="20"/>
        </w:rPr>
      </w:pPr>
      <w:r>
        <w:rPr>
          <w:rFonts w:ascii="Times New Roman" w:hAnsi="Times New Roman"/>
          <w:sz w:val="20"/>
        </w:rPr>
        <w:t xml:space="preserve">Raphael Gross </w:t>
      </w:r>
    </w:p>
    <w:p>
      <w:pPr>
        <w:pStyle w:val="TextBody"/>
        <w:bidi w:val="0"/>
        <w:spacing w:before="0" w:after="0"/>
        <w:jc w:val="left"/>
        <w:rPr>
          <w:rFonts w:ascii="Times New Roman" w:hAnsi="Times New Roman"/>
          <w:sz w:val="20"/>
        </w:rPr>
      </w:pPr>
      <w:r>
        <w:rPr>
          <w:rFonts w:ascii="Times New Roman" w:hAnsi="Times New Roman"/>
          <w:sz w:val="20"/>
        </w:rPr>
        <w:t xml:space="preserve">beyondmeat@icrinc.com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251</Pages>
  <Words>125519</Words>
  <Characters>656039</Characters>
  <CharactersWithSpaces>782641</CharactersWithSpaces>
  <Paragraphs>4734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