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color w:val="auto"/>
        </w:rPr>
        <w:t>As filed with the Securities and Exchange Commission on</w:t>
      </w:r>
    </w:p>
    <w:p>
      <w:pPr>
        <w:spacing w:after="0" w:line="9"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July 31,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333-232876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BEYOND MEAT, INC.</w:t>
      </w:r>
    </w:p>
    <w:p>
      <w:pPr>
        <w:spacing w:after="0" w:line="148"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4"/>
          <w:szCs w:val="24"/>
          <w:color w:val="auto"/>
        </w:rPr>
      </w:pPr>
    </w:p>
    <w:tbl>
      <w:tblPr>
        <w:tblLayout w:type="fixed"/>
        <w:tblInd w:w="1060" w:type="dxa"/>
        <w:tblCellMar>
          <w:top w:w="0" w:type="dxa"/>
          <w:left w:w="0" w:type="dxa"/>
          <w:bottom w:w="0" w:type="dxa"/>
          <w:right w:w="0" w:type="dxa"/>
        </w:tblCellMar>
      </w:tblPr>
      <w:tr>
        <w:trPr>
          <w:trHeight w:val="178"/>
        </w:trPr>
        <w:tc>
          <w:tcPr>
            <w:tcW w:w="2820" w:type="dxa"/>
            <w:vAlign w:val="bottom"/>
          </w:tcPr>
          <w:p>
            <w:pPr>
              <w:jc w:val="center"/>
              <w:ind w:right="972"/>
              <w:spacing w:after="0"/>
              <w:rPr>
                <w:sz w:val="20"/>
                <w:szCs w:val="20"/>
                <w:color w:val="auto"/>
              </w:rPr>
            </w:pPr>
            <w:r>
              <w:rPr>
                <w:rFonts w:ascii="Arial" w:cs="Arial" w:eastAsia="Arial" w:hAnsi="Arial"/>
                <w:sz w:val="14"/>
                <w:szCs w:val="14"/>
                <w:b w:val="1"/>
                <w:bCs w:val="1"/>
                <w:color w:val="auto"/>
                <w:w w:val="94"/>
              </w:rPr>
              <w:t>Delaware</w:t>
            </w: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6"/>
              </w:rPr>
              <w:t>2000</w:t>
            </w:r>
          </w:p>
        </w:tc>
        <w:tc>
          <w:tcPr>
            <w:tcW w:w="2440" w:type="dxa"/>
            <w:vAlign w:val="bottom"/>
          </w:tcPr>
          <w:p>
            <w:pPr>
              <w:jc w:val="right"/>
              <w:ind w:right="232"/>
              <w:spacing w:after="0"/>
              <w:rPr>
                <w:sz w:val="20"/>
                <w:szCs w:val="20"/>
                <w:color w:val="auto"/>
              </w:rPr>
            </w:pPr>
            <w:r>
              <w:rPr>
                <w:rFonts w:ascii="Arial" w:cs="Arial" w:eastAsia="Arial" w:hAnsi="Arial"/>
                <w:sz w:val="14"/>
                <w:szCs w:val="14"/>
                <w:b w:val="1"/>
                <w:bCs w:val="1"/>
                <w:color w:val="auto"/>
              </w:rPr>
              <w:t>26-4087597</w:t>
            </w:r>
          </w:p>
        </w:tc>
      </w:tr>
      <w:tr>
        <w:trPr>
          <w:trHeight w:val="189"/>
        </w:trPr>
        <w:tc>
          <w:tcPr>
            <w:tcW w:w="2820" w:type="dxa"/>
            <w:vAlign w:val="bottom"/>
          </w:tcPr>
          <w:p>
            <w:pPr>
              <w:jc w:val="center"/>
              <w:ind w:right="952"/>
              <w:spacing w:after="0"/>
              <w:rPr>
                <w:sz w:val="20"/>
                <w:szCs w:val="20"/>
                <w:color w:val="auto"/>
              </w:rPr>
            </w:pPr>
            <w:r>
              <w:rPr>
                <w:rFonts w:ascii="Arial" w:cs="Arial" w:eastAsia="Arial" w:hAnsi="Arial"/>
                <w:sz w:val="14"/>
                <w:szCs w:val="14"/>
                <w:color w:val="auto"/>
                <w:w w:val="96"/>
              </w:rPr>
              <w:t>(State or Other Jurisdiction of</w:t>
            </w:r>
          </w:p>
        </w:tc>
        <w:tc>
          <w:tcPr>
            <w:tcW w:w="3880" w:type="dxa"/>
            <w:vAlign w:val="bottom"/>
          </w:tcPr>
          <w:p>
            <w:pPr>
              <w:jc w:val="center"/>
              <w:ind w:right="12"/>
              <w:spacing w:after="0"/>
              <w:rPr>
                <w:sz w:val="20"/>
                <w:szCs w:val="20"/>
                <w:color w:val="auto"/>
              </w:rPr>
            </w:pPr>
            <w:r>
              <w:rPr>
                <w:rFonts w:ascii="Arial" w:cs="Arial" w:eastAsia="Arial" w:hAnsi="Arial"/>
                <w:sz w:val="14"/>
                <w:szCs w:val="14"/>
                <w:color w:val="auto"/>
                <w:w w:val="96"/>
              </w:rPr>
              <w:t>(Primary Standard Industrial</w:t>
            </w:r>
          </w:p>
        </w:tc>
        <w:tc>
          <w:tcPr>
            <w:tcW w:w="2440" w:type="dxa"/>
            <w:vAlign w:val="bottom"/>
          </w:tcPr>
          <w:p>
            <w:pPr>
              <w:jc w:val="center"/>
              <w:ind w:left="1012"/>
              <w:spacing w:after="0"/>
              <w:rPr>
                <w:sz w:val="20"/>
                <w:szCs w:val="20"/>
                <w:color w:val="auto"/>
              </w:rPr>
            </w:pPr>
            <w:r>
              <w:rPr>
                <w:rFonts w:ascii="Arial" w:cs="Arial" w:eastAsia="Arial" w:hAnsi="Arial"/>
                <w:sz w:val="14"/>
                <w:szCs w:val="14"/>
                <w:color w:val="auto"/>
                <w:w w:val="97"/>
              </w:rPr>
              <w:t>(I.R.S. Employer</w:t>
            </w:r>
          </w:p>
        </w:tc>
      </w:tr>
      <w:tr>
        <w:trPr>
          <w:trHeight w:val="162"/>
        </w:trPr>
        <w:tc>
          <w:tcPr>
            <w:tcW w:w="2820" w:type="dxa"/>
            <w:vAlign w:val="bottom"/>
          </w:tcPr>
          <w:p>
            <w:pPr>
              <w:jc w:val="center"/>
              <w:ind w:right="972"/>
              <w:spacing w:after="0"/>
              <w:rPr>
                <w:sz w:val="20"/>
                <w:szCs w:val="20"/>
                <w:color w:val="auto"/>
              </w:rPr>
            </w:pPr>
            <w:r>
              <w:rPr>
                <w:rFonts w:ascii="Arial" w:cs="Arial" w:eastAsia="Arial" w:hAnsi="Arial"/>
                <w:sz w:val="14"/>
                <w:szCs w:val="14"/>
                <w:color w:val="auto"/>
                <w:w w:val="95"/>
              </w:rPr>
              <w:t>Incorporation or Organization)</w:t>
            </w:r>
          </w:p>
        </w:tc>
        <w:tc>
          <w:tcPr>
            <w:tcW w:w="3880" w:type="dxa"/>
            <w:vAlign w:val="bottom"/>
          </w:tcPr>
          <w:p>
            <w:pPr>
              <w:jc w:val="center"/>
              <w:ind w:right="12"/>
              <w:spacing w:after="0"/>
              <w:rPr>
                <w:sz w:val="20"/>
                <w:szCs w:val="20"/>
                <w:color w:val="auto"/>
              </w:rPr>
            </w:pPr>
            <w:r>
              <w:rPr>
                <w:rFonts w:ascii="Arial" w:cs="Arial" w:eastAsia="Arial" w:hAnsi="Arial"/>
                <w:sz w:val="14"/>
                <w:szCs w:val="14"/>
                <w:color w:val="auto"/>
                <w:w w:val="96"/>
              </w:rPr>
              <w:t>Classification Code Number)</w:t>
            </w:r>
          </w:p>
        </w:tc>
        <w:tc>
          <w:tcPr>
            <w:tcW w:w="2440" w:type="dxa"/>
            <w:vAlign w:val="bottom"/>
          </w:tcPr>
          <w:p>
            <w:pPr>
              <w:jc w:val="center"/>
              <w:ind w:left="1052"/>
              <w:spacing w:after="0"/>
              <w:rPr>
                <w:sz w:val="20"/>
                <w:szCs w:val="20"/>
                <w:color w:val="auto"/>
              </w:rPr>
            </w:pPr>
            <w:r>
              <w:rPr>
                <w:rFonts w:ascii="Arial" w:cs="Arial" w:eastAsia="Arial" w:hAnsi="Arial"/>
                <w:sz w:val="14"/>
                <w:szCs w:val="14"/>
                <w:color w:val="auto"/>
                <w:w w:val="96"/>
              </w:rPr>
              <w:t>Identification Number)</w:t>
            </w:r>
          </w:p>
        </w:tc>
      </w:tr>
      <w:tr>
        <w:trPr>
          <w:trHeight w:val="173"/>
        </w:trPr>
        <w:tc>
          <w:tcPr>
            <w:tcW w:w="2820" w:type="dxa"/>
            <w:vAlign w:val="bottom"/>
          </w:tcPr>
          <w:p>
            <w:pPr>
              <w:spacing w:after="0"/>
              <w:rPr>
                <w:sz w:val="15"/>
                <w:szCs w:val="15"/>
                <w:color w:val="auto"/>
              </w:rPr>
            </w:pPr>
          </w:p>
        </w:tc>
        <w:tc>
          <w:tcPr>
            <w:tcW w:w="388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119 Standard Street</w:t>
            </w:r>
          </w:p>
        </w:tc>
        <w:tc>
          <w:tcPr>
            <w:tcW w:w="2440" w:type="dxa"/>
            <w:vAlign w:val="bottom"/>
          </w:tcPr>
          <w:p>
            <w:pPr>
              <w:spacing w:after="0"/>
              <w:rPr>
                <w:sz w:val="15"/>
                <w:szCs w:val="15"/>
                <w:color w:val="auto"/>
              </w:rPr>
            </w:pPr>
          </w:p>
        </w:tc>
      </w:tr>
      <w:tr>
        <w:trPr>
          <w:trHeight w:val="162"/>
        </w:trPr>
        <w:tc>
          <w:tcPr>
            <w:tcW w:w="2820" w:type="dxa"/>
            <w:vAlign w:val="bottom"/>
          </w:tcPr>
          <w:p>
            <w:pPr>
              <w:spacing w:after="0"/>
              <w:rPr>
                <w:sz w:val="14"/>
                <w:szCs w:val="14"/>
                <w:color w:val="auto"/>
              </w:rPr>
            </w:pPr>
          </w:p>
        </w:tc>
        <w:tc>
          <w:tcPr>
            <w:tcW w:w="3880" w:type="dxa"/>
            <w:vAlign w:val="bottom"/>
          </w:tcPr>
          <w:p>
            <w:pPr>
              <w:jc w:val="center"/>
              <w:ind w:right="152"/>
              <w:spacing w:after="0"/>
              <w:rPr>
                <w:sz w:val="20"/>
                <w:szCs w:val="20"/>
                <w:color w:val="auto"/>
              </w:rPr>
            </w:pPr>
            <w:r>
              <w:rPr>
                <w:rFonts w:ascii="Arial" w:cs="Arial" w:eastAsia="Arial" w:hAnsi="Arial"/>
                <w:sz w:val="14"/>
                <w:szCs w:val="14"/>
                <w:b w:val="1"/>
                <w:bCs w:val="1"/>
                <w:color w:val="auto"/>
                <w:w w:val="96"/>
              </w:rPr>
              <w:t>El Segundo, CA 90245</w:t>
            </w:r>
          </w:p>
        </w:tc>
        <w:tc>
          <w:tcPr>
            <w:tcW w:w="2440" w:type="dxa"/>
            <w:vAlign w:val="bottom"/>
          </w:tcPr>
          <w:p>
            <w:pPr>
              <w:spacing w:after="0"/>
              <w:rPr>
                <w:sz w:val="14"/>
                <w:szCs w:val="14"/>
                <w:color w:val="auto"/>
              </w:rPr>
            </w:pPr>
          </w:p>
        </w:tc>
      </w:tr>
      <w:tr>
        <w:trPr>
          <w:trHeight w:val="174"/>
        </w:trPr>
        <w:tc>
          <w:tcPr>
            <w:tcW w:w="2820" w:type="dxa"/>
            <w:vAlign w:val="bottom"/>
          </w:tcPr>
          <w:p>
            <w:pPr>
              <w:spacing w:after="0"/>
              <w:rPr>
                <w:sz w:val="15"/>
                <w:szCs w:val="15"/>
                <w:color w:val="auto"/>
              </w:rPr>
            </w:pPr>
          </w:p>
        </w:tc>
        <w:tc>
          <w:tcPr>
            <w:tcW w:w="388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(866) 756-4112</w:t>
            </w:r>
          </w:p>
        </w:tc>
        <w:tc>
          <w:tcPr>
            <w:tcW w:w="2440" w:type="dxa"/>
            <w:vAlign w:val="bottom"/>
          </w:tcPr>
          <w:p>
            <w:pPr>
              <w:spacing w:after="0"/>
              <w:rPr>
                <w:sz w:val="15"/>
                <w:szCs w:val="15"/>
                <w:color w:val="auto"/>
              </w:rPr>
            </w:pPr>
          </w:p>
        </w:tc>
      </w:tr>
    </w:tbl>
    <w:p>
      <w:pPr>
        <w:jc w:val="center"/>
        <w:ind w:right="4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Ethan Brown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Beyond Meat,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119 Standard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El Segundo, CA 90245</w:t>
      </w:r>
    </w:p>
    <w:p>
      <w:pPr>
        <w:jc w:val="center"/>
        <w:spacing w:after="0" w:line="237" w:lineRule="auto"/>
        <w:rPr>
          <w:sz w:val="20"/>
          <w:szCs w:val="20"/>
          <w:color w:val="auto"/>
        </w:rPr>
      </w:pPr>
      <w:r>
        <w:rPr>
          <w:rFonts w:ascii="Arial" w:cs="Arial" w:eastAsia="Arial" w:hAnsi="Arial"/>
          <w:sz w:val="14"/>
          <w:szCs w:val="14"/>
          <w:b w:val="1"/>
          <w:bCs w:val="1"/>
          <w:color w:val="auto"/>
        </w:rPr>
        <w:t>(866) 756-4112</w:t>
      </w:r>
    </w:p>
    <w:p>
      <w:pPr>
        <w:jc w:val="center"/>
        <w:ind w:right="4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4"/>
          <w:szCs w:val="24"/>
          <w:color w:val="auto"/>
        </w:rPr>
      </w:pPr>
    </w:p>
    <w:tbl>
      <w:tblPr>
        <w:tblLayout w:type="fixed"/>
        <w:tblInd w:w="1020" w:type="dxa"/>
        <w:tblCellMar>
          <w:top w:w="0" w:type="dxa"/>
          <w:left w:w="0" w:type="dxa"/>
          <w:bottom w:w="0" w:type="dxa"/>
          <w:right w:w="0" w:type="dxa"/>
        </w:tblCellMar>
      </w:tblPr>
      <w:tr>
        <w:trPr>
          <w:trHeight w:val="164"/>
        </w:trPr>
        <w:tc>
          <w:tcPr>
            <w:tcW w:w="2800" w:type="dxa"/>
            <w:vAlign w:val="bottom"/>
          </w:tcPr>
          <w:p>
            <w:pPr>
              <w:spacing w:after="0"/>
              <w:rPr>
                <w:sz w:val="14"/>
                <w:szCs w:val="14"/>
                <w:color w:val="auto"/>
              </w:rPr>
            </w:pPr>
          </w:p>
        </w:tc>
        <w:tc>
          <w:tcPr>
            <w:tcW w:w="3820" w:type="dxa"/>
            <w:vAlign w:val="bottom"/>
          </w:tcPr>
          <w:p>
            <w:pPr>
              <w:jc w:val="center"/>
              <w:ind w:left="37"/>
              <w:spacing w:after="0"/>
              <w:rPr>
                <w:sz w:val="20"/>
                <w:szCs w:val="20"/>
                <w:color w:val="auto"/>
              </w:rPr>
            </w:pPr>
            <w:r>
              <w:rPr>
                <w:rFonts w:ascii="Arial" w:cs="Arial" w:eastAsia="Arial" w:hAnsi="Arial"/>
                <w:sz w:val="13"/>
                <w:szCs w:val="13"/>
                <w:i w:val="1"/>
                <w:iCs w:val="1"/>
                <w:color w:val="auto"/>
                <w:w w:val="95"/>
              </w:rPr>
              <w:t>Copies to:</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jc w:val="center"/>
              <w:ind w:right="857"/>
              <w:spacing w:after="0"/>
              <w:rPr>
                <w:sz w:val="20"/>
                <w:szCs w:val="20"/>
                <w:color w:val="auto"/>
              </w:rPr>
            </w:pPr>
            <w:r>
              <w:rPr>
                <w:rFonts w:ascii="Arial" w:cs="Arial" w:eastAsia="Arial" w:hAnsi="Arial"/>
                <w:sz w:val="13"/>
                <w:szCs w:val="13"/>
                <w:color w:val="auto"/>
                <w:w w:val="96"/>
              </w:rPr>
              <w:t>Harold Yu, Esq.</w:t>
            </w:r>
          </w:p>
        </w:tc>
        <w:tc>
          <w:tcPr>
            <w:tcW w:w="3820" w:type="dxa"/>
            <w:vAlign w:val="bottom"/>
            <w:vMerge w:val="restart"/>
          </w:tcPr>
          <w:p>
            <w:pPr>
              <w:jc w:val="center"/>
              <w:ind w:left="37"/>
              <w:spacing w:after="0"/>
              <w:rPr>
                <w:sz w:val="20"/>
                <w:szCs w:val="20"/>
                <w:color w:val="auto"/>
              </w:rPr>
            </w:pPr>
            <w:r>
              <w:rPr>
                <w:rFonts w:ascii="Arial" w:cs="Arial" w:eastAsia="Arial" w:hAnsi="Arial"/>
                <w:sz w:val="13"/>
                <w:szCs w:val="13"/>
                <w:color w:val="auto"/>
                <w:w w:val="96"/>
              </w:rPr>
              <w:t>Mark J. Nelson</w:t>
            </w:r>
          </w:p>
        </w:tc>
        <w:tc>
          <w:tcPr>
            <w:tcW w:w="3000" w:type="dxa"/>
            <w:vAlign w:val="bottom"/>
            <w:vMerge w:val="restart"/>
          </w:tcPr>
          <w:p>
            <w:pPr>
              <w:jc w:val="center"/>
              <w:ind w:left="737"/>
              <w:spacing w:after="0"/>
              <w:rPr>
                <w:sz w:val="20"/>
                <w:szCs w:val="20"/>
                <w:color w:val="auto"/>
              </w:rPr>
            </w:pPr>
            <w:r>
              <w:rPr>
                <w:rFonts w:ascii="Arial" w:cs="Arial" w:eastAsia="Arial" w:hAnsi="Arial"/>
                <w:sz w:val="13"/>
                <w:szCs w:val="13"/>
                <w:color w:val="auto"/>
                <w:w w:val="95"/>
              </w:rPr>
              <w:t>Cathy Birkeland, Esq.</w:t>
            </w:r>
          </w:p>
        </w:tc>
        <w:tc>
          <w:tcPr>
            <w:tcW w:w="0" w:type="dxa"/>
            <w:vAlign w:val="bottom"/>
          </w:tcPr>
          <w:p>
            <w:pPr>
              <w:spacing w:after="0"/>
              <w:rPr>
                <w:sz w:val="1"/>
                <w:szCs w:val="1"/>
                <w:color w:val="auto"/>
              </w:rPr>
            </w:pPr>
          </w:p>
        </w:tc>
      </w:tr>
      <w:tr>
        <w:trPr>
          <w:trHeight w:val="41"/>
        </w:trPr>
        <w:tc>
          <w:tcPr>
            <w:tcW w:w="2800" w:type="dxa"/>
            <w:vAlign w:val="bottom"/>
            <w:vMerge w:val="restart"/>
          </w:tcPr>
          <w:p>
            <w:pPr>
              <w:jc w:val="center"/>
              <w:ind w:right="877"/>
              <w:spacing w:after="0" w:line="114" w:lineRule="exact"/>
              <w:rPr>
                <w:sz w:val="20"/>
                <w:szCs w:val="20"/>
                <w:color w:val="auto"/>
              </w:rPr>
            </w:pPr>
            <w:r>
              <w:rPr>
                <w:rFonts w:ascii="Arial" w:cs="Arial" w:eastAsia="Arial" w:hAnsi="Arial"/>
                <w:sz w:val="13"/>
                <w:szCs w:val="13"/>
                <w:color w:val="auto"/>
                <w:w w:val="97"/>
              </w:rPr>
              <w:t>Christopher J. Austin, Esq.</w:t>
            </w:r>
          </w:p>
        </w:tc>
        <w:tc>
          <w:tcPr>
            <w:tcW w:w="3820" w:type="dxa"/>
            <w:vAlign w:val="bottom"/>
            <w:vMerge w:val="continue"/>
          </w:tcPr>
          <w:p>
            <w:pPr>
              <w:spacing w:after="0"/>
              <w:rPr>
                <w:sz w:val="3"/>
                <w:szCs w:val="3"/>
                <w:color w:val="auto"/>
              </w:rPr>
            </w:pPr>
          </w:p>
        </w:tc>
        <w:tc>
          <w:tcPr>
            <w:tcW w:w="3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800" w:type="dxa"/>
            <w:vAlign w:val="bottom"/>
            <w:vMerge w:val="continue"/>
          </w:tcPr>
          <w:p>
            <w:pPr>
              <w:spacing w:after="0"/>
              <w:rPr>
                <w:sz w:val="6"/>
                <w:szCs w:val="6"/>
                <w:color w:val="auto"/>
              </w:rPr>
            </w:pPr>
          </w:p>
        </w:tc>
        <w:tc>
          <w:tcPr>
            <w:tcW w:w="3820" w:type="dxa"/>
            <w:vAlign w:val="bottom"/>
            <w:vMerge w:val="continue"/>
          </w:tcPr>
          <w:p>
            <w:pPr>
              <w:spacing w:after="0"/>
              <w:rPr>
                <w:sz w:val="6"/>
                <w:szCs w:val="6"/>
                <w:color w:val="auto"/>
              </w:rPr>
            </w:pPr>
          </w:p>
        </w:tc>
        <w:tc>
          <w:tcPr>
            <w:tcW w:w="3000" w:type="dxa"/>
            <w:vAlign w:val="bottom"/>
            <w:vMerge w:val="restart"/>
          </w:tcPr>
          <w:p>
            <w:pPr>
              <w:jc w:val="center"/>
              <w:ind w:left="737"/>
              <w:spacing w:after="0" w:line="135" w:lineRule="exact"/>
              <w:rPr>
                <w:sz w:val="20"/>
                <w:szCs w:val="20"/>
                <w:color w:val="auto"/>
              </w:rPr>
            </w:pPr>
            <w:r>
              <w:rPr>
                <w:rFonts w:ascii="Arial" w:cs="Arial" w:eastAsia="Arial" w:hAnsi="Arial"/>
                <w:sz w:val="13"/>
                <w:szCs w:val="13"/>
                <w:color w:val="auto"/>
                <w:w w:val="96"/>
              </w:rPr>
              <w:t>Senet S. Bischoff, Esq.</w:t>
            </w:r>
          </w:p>
        </w:tc>
        <w:tc>
          <w:tcPr>
            <w:tcW w:w="0" w:type="dxa"/>
            <w:vAlign w:val="bottom"/>
          </w:tcPr>
          <w:p>
            <w:pPr>
              <w:spacing w:after="0"/>
              <w:rPr>
                <w:sz w:val="1"/>
                <w:szCs w:val="1"/>
                <w:color w:val="auto"/>
              </w:rPr>
            </w:pPr>
          </w:p>
        </w:tc>
      </w:tr>
      <w:tr>
        <w:trPr>
          <w:trHeight w:val="62"/>
        </w:trPr>
        <w:tc>
          <w:tcPr>
            <w:tcW w:w="2800" w:type="dxa"/>
            <w:vAlign w:val="bottom"/>
            <w:vMerge w:val="restart"/>
          </w:tcPr>
          <w:p>
            <w:pPr>
              <w:jc w:val="center"/>
              <w:ind w:right="877"/>
              <w:spacing w:after="0"/>
              <w:rPr>
                <w:sz w:val="20"/>
                <w:szCs w:val="20"/>
                <w:color w:val="auto"/>
              </w:rPr>
            </w:pPr>
            <w:r>
              <w:rPr>
                <w:rFonts w:ascii="Arial" w:cs="Arial" w:eastAsia="Arial" w:hAnsi="Arial"/>
                <w:sz w:val="13"/>
                <w:szCs w:val="13"/>
                <w:color w:val="auto"/>
                <w:w w:val="97"/>
              </w:rPr>
              <w:t>William L. Hughes, Esq.</w:t>
            </w:r>
          </w:p>
        </w:tc>
        <w:tc>
          <w:tcPr>
            <w:tcW w:w="3820" w:type="dxa"/>
            <w:vAlign w:val="bottom"/>
            <w:vMerge w:val="restart"/>
          </w:tcPr>
          <w:p>
            <w:pPr>
              <w:jc w:val="center"/>
              <w:ind w:left="57"/>
              <w:spacing w:after="0" w:line="129" w:lineRule="exact"/>
              <w:rPr>
                <w:sz w:val="20"/>
                <w:szCs w:val="20"/>
                <w:color w:val="auto"/>
              </w:rPr>
            </w:pPr>
            <w:r>
              <w:rPr>
                <w:rFonts w:ascii="Arial" w:cs="Arial" w:eastAsia="Arial" w:hAnsi="Arial"/>
                <w:sz w:val="13"/>
                <w:szCs w:val="13"/>
                <w:color w:val="auto"/>
                <w:w w:val="96"/>
              </w:rPr>
              <w:t>Chief Financial Officer and Treasurer</w:t>
            </w: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3000" w:type="dxa"/>
            <w:vAlign w:val="bottom"/>
            <w:vMerge w:val="restart"/>
          </w:tcPr>
          <w:p>
            <w:pPr>
              <w:jc w:val="center"/>
              <w:ind w:left="737"/>
              <w:spacing w:after="0" w:line="122" w:lineRule="exact"/>
              <w:rPr>
                <w:sz w:val="20"/>
                <w:szCs w:val="20"/>
                <w:color w:val="auto"/>
              </w:rPr>
            </w:pPr>
            <w:r>
              <w:rPr>
                <w:rFonts w:ascii="Arial" w:cs="Arial" w:eastAsia="Arial" w:hAnsi="Arial"/>
                <w:sz w:val="13"/>
                <w:szCs w:val="13"/>
                <w:color w:val="auto"/>
                <w:w w:val="96"/>
              </w:rPr>
              <w:t>Alexander F. Cohen, Esq.</w:t>
            </w:r>
          </w:p>
        </w:tc>
        <w:tc>
          <w:tcPr>
            <w:tcW w:w="0" w:type="dxa"/>
            <w:vAlign w:val="bottom"/>
          </w:tcPr>
          <w:p>
            <w:pPr>
              <w:spacing w:after="0"/>
              <w:rPr>
                <w:sz w:val="1"/>
                <w:szCs w:val="1"/>
                <w:color w:val="auto"/>
              </w:rPr>
            </w:pPr>
          </w:p>
        </w:tc>
      </w:tr>
      <w:tr>
        <w:trPr>
          <w:trHeight w:val="54"/>
        </w:trPr>
        <w:tc>
          <w:tcPr>
            <w:tcW w:w="2800" w:type="dxa"/>
            <w:vAlign w:val="bottom"/>
            <w:vMerge w:val="continue"/>
          </w:tcPr>
          <w:p>
            <w:pPr>
              <w:spacing w:after="0"/>
              <w:rPr>
                <w:sz w:val="4"/>
                <w:szCs w:val="4"/>
                <w:color w:val="auto"/>
              </w:rPr>
            </w:pPr>
          </w:p>
        </w:tc>
        <w:tc>
          <w:tcPr>
            <w:tcW w:w="382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Beyond Meat, Inc.</w:t>
            </w: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800" w:type="dxa"/>
            <w:vAlign w:val="bottom"/>
            <w:vMerge w:val="restart"/>
          </w:tcPr>
          <w:p>
            <w:pPr>
              <w:jc w:val="center"/>
              <w:ind w:right="877"/>
              <w:spacing w:after="0"/>
              <w:rPr>
                <w:sz w:val="20"/>
                <w:szCs w:val="20"/>
                <w:color w:val="auto"/>
              </w:rPr>
            </w:pPr>
            <w:r>
              <w:rPr>
                <w:rFonts w:ascii="Arial" w:cs="Arial" w:eastAsia="Arial" w:hAnsi="Arial"/>
                <w:sz w:val="13"/>
                <w:szCs w:val="13"/>
                <w:color w:val="auto"/>
                <w:w w:val="97"/>
              </w:rPr>
              <w:t>Orrick, Herrington &amp; Sutcliffe LLP</w:t>
            </w:r>
          </w:p>
        </w:tc>
        <w:tc>
          <w:tcPr>
            <w:tcW w:w="3820" w:type="dxa"/>
            <w:vAlign w:val="bottom"/>
            <w:vMerge w:val="continue"/>
          </w:tcPr>
          <w:p>
            <w:pPr>
              <w:spacing w:after="0"/>
              <w:rPr>
                <w:sz w:val="7"/>
                <w:szCs w:val="7"/>
                <w:color w:val="auto"/>
              </w:rPr>
            </w:pPr>
          </w:p>
        </w:tc>
        <w:tc>
          <w:tcPr>
            <w:tcW w:w="3000" w:type="dxa"/>
            <w:vAlign w:val="bottom"/>
            <w:vMerge w:val="restart"/>
          </w:tcPr>
          <w:p>
            <w:pPr>
              <w:jc w:val="center"/>
              <w:ind w:left="737"/>
              <w:spacing w:after="0"/>
              <w:rPr>
                <w:sz w:val="20"/>
                <w:szCs w:val="20"/>
                <w:color w:val="auto"/>
              </w:rPr>
            </w:pPr>
            <w:r>
              <w:rPr>
                <w:rFonts w:ascii="Arial" w:cs="Arial" w:eastAsia="Arial" w:hAnsi="Arial"/>
                <w:sz w:val="13"/>
                <w:szCs w:val="13"/>
                <w:color w:val="auto"/>
                <w:w w:val="96"/>
              </w:rPr>
              <w:t>Latham &amp; Watkins LLP</w:t>
            </w:r>
          </w:p>
        </w:tc>
        <w:tc>
          <w:tcPr>
            <w:tcW w:w="0" w:type="dxa"/>
            <w:vAlign w:val="bottom"/>
          </w:tcPr>
          <w:p>
            <w:pPr>
              <w:spacing w:after="0"/>
              <w:rPr>
                <w:sz w:val="1"/>
                <w:szCs w:val="1"/>
                <w:color w:val="auto"/>
              </w:rPr>
            </w:pPr>
          </w:p>
        </w:tc>
      </w:tr>
      <w:tr>
        <w:trPr>
          <w:trHeight w:val="68"/>
        </w:trPr>
        <w:tc>
          <w:tcPr>
            <w:tcW w:w="2800" w:type="dxa"/>
            <w:vAlign w:val="bottom"/>
            <w:vMerge w:val="continue"/>
          </w:tcPr>
          <w:p>
            <w:pPr>
              <w:spacing w:after="0"/>
              <w:rPr>
                <w:sz w:val="5"/>
                <w:szCs w:val="5"/>
                <w:color w:val="auto"/>
              </w:rPr>
            </w:pPr>
          </w:p>
        </w:tc>
        <w:tc>
          <w:tcPr>
            <w:tcW w:w="382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6"/>
              </w:rPr>
              <w:t>119 Standard Street</w:t>
            </w: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00" w:type="dxa"/>
            <w:vAlign w:val="bottom"/>
            <w:vMerge w:val="restart"/>
          </w:tcPr>
          <w:p>
            <w:pPr>
              <w:jc w:val="center"/>
              <w:ind w:right="857"/>
              <w:spacing w:after="0" w:line="135" w:lineRule="exact"/>
              <w:rPr>
                <w:sz w:val="20"/>
                <w:szCs w:val="20"/>
                <w:color w:val="auto"/>
              </w:rPr>
            </w:pPr>
            <w:r>
              <w:rPr>
                <w:rFonts w:ascii="Arial" w:cs="Arial" w:eastAsia="Arial" w:hAnsi="Arial"/>
                <w:sz w:val="13"/>
                <w:szCs w:val="13"/>
                <w:color w:val="auto"/>
                <w:w w:val="96"/>
              </w:rPr>
              <w:t>1000 Marsh Road</w:t>
            </w:r>
          </w:p>
        </w:tc>
        <w:tc>
          <w:tcPr>
            <w:tcW w:w="3820" w:type="dxa"/>
            <w:vAlign w:val="bottom"/>
            <w:vMerge w:val="continue"/>
          </w:tcPr>
          <w:p>
            <w:pPr>
              <w:spacing w:after="0"/>
              <w:rPr>
                <w:sz w:val="5"/>
                <w:szCs w:val="5"/>
                <w:color w:val="auto"/>
              </w:rPr>
            </w:pPr>
          </w:p>
        </w:tc>
        <w:tc>
          <w:tcPr>
            <w:tcW w:w="3000" w:type="dxa"/>
            <w:vAlign w:val="bottom"/>
            <w:vMerge w:val="restart"/>
          </w:tcPr>
          <w:p>
            <w:pPr>
              <w:jc w:val="center"/>
              <w:ind w:left="757"/>
              <w:spacing w:after="0" w:line="135" w:lineRule="exact"/>
              <w:rPr>
                <w:sz w:val="20"/>
                <w:szCs w:val="20"/>
                <w:color w:val="auto"/>
              </w:rPr>
            </w:pPr>
            <w:r>
              <w:rPr>
                <w:rFonts w:ascii="Arial" w:cs="Arial" w:eastAsia="Arial" w:hAnsi="Arial"/>
                <w:sz w:val="13"/>
                <w:szCs w:val="13"/>
                <w:color w:val="auto"/>
                <w:w w:val="96"/>
              </w:rPr>
              <w:t>330 North Wabash Avenue, Suite 2800</w:t>
            </w:r>
          </w:p>
        </w:tc>
        <w:tc>
          <w:tcPr>
            <w:tcW w:w="0" w:type="dxa"/>
            <w:vAlign w:val="bottom"/>
          </w:tcPr>
          <w:p>
            <w:pPr>
              <w:spacing w:after="0"/>
              <w:rPr>
                <w:sz w:val="1"/>
                <w:szCs w:val="1"/>
                <w:color w:val="auto"/>
              </w:rPr>
            </w:pPr>
          </w:p>
        </w:tc>
      </w:tr>
      <w:tr>
        <w:trPr>
          <w:trHeight w:val="68"/>
        </w:trPr>
        <w:tc>
          <w:tcPr>
            <w:tcW w:w="2800" w:type="dxa"/>
            <w:vAlign w:val="bottom"/>
            <w:vMerge w:val="continue"/>
          </w:tcPr>
          <w:p>
            <w:pPr>
              <w:spacing w:after="0"/>
              <w:rPr>
                <w:sz w:val="5"/>
                <w:szCs w:val="5"/>
                <w:color w:val="auto"/>
              </w:rPr>
            </w:pPr>
          </w:p>
        </w:tc>
        <w:tc>
          <w:tcPr>
            <w:tcW w:w="382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6"/>
              </w:rPr>
              <w:t>El Segundo, CA 90245</w:t>
            </w: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00" w:type="dxa"/>
            <w:vAlign w:val="bottom"/>
            <w:vMerge w:val="restart"/>
          </w:tcPr>
          <w:p>
            <w:pPr>
              <w:jc w:val="center"/>
              <w:ind w:right="877"/>
              <w:spacing w:after="0" w:line="135" w:lineRule="exact"/>
              <w:rPr>
                <w:sz w:val="20"/>
                <w:szCs w:val="20"/>
                <w:color w:val="auto"/>
              </w:rPr>
            </w:pPr>
            <w:r>
              <w:rPr>
                <w:rFonts w:ascii="Arial" w:cs="Arial" w:eastAsia="Arial" w:hAnsi="Arial"/>
                <w:sz w:val="13"/>
                <w:szCs w:val="13"/>
                <w:color w:val="auto"/>
                <w:w w:val="96"/>
              </w:rPr>
              <w:t>Menlo Park, CA 94025</w:t>
            </w:r>
          </w:p>
        </w:tc>
        <w:tc>
          <w:tcPr>
            <w:tcW w:w="3820" w:type="dxa"/>
            <w:vAlign w:val="bottom"/>
            <w:vMerge w:val="continue"/>
          </w:tcPr>
          <w:p>
            <w:pPr>
              <w:spacing w:after="0"/>
              <w:rPr>
                <w:sz w:val="5"/>
                <w:szCs w:val="5"/>
                <w:color w:val="auto"/>
              </w:rPr>
            </w:pPr>
          </w:p>
        </w:tc>
        <w:tc>
          <w:tcPr>
            <w:tcW w:w="3000" w:type="dxa"/>
            <w:vAlign w:val="bottom"/>
            <w:vMerge w:val="restart"/>
          </w:tcPr>
          <w:p>
            <w:pPr>
              <w:jc w:val="center"/>
              <w:ind w:left="757"/>
              <w:spacing w:after="0" w:line="135" w:lineRule="exact"/>
              <w:rPr>
                <w:sz w:val="20"/>
                <w:szCs w:val="20"/>
                <w:color w:val="auto"/>
              </w:rPr>
            </w:pPr>
            <w:r>
              <w:rPr>
                <w:rFonts w:ascii="Arial" w:cs="Arial" w:eastAsia="Arial" w:hAnsi="Arial"/>
                <w:sz w:val="13"/>
                <w:szCs w:val="13"/>
                <w:color w:val="auto"/>
                <w:w w:val="96"/>
              </w:rPr>
              <w:t>Chicago, IL 60611</w:t>
            </w:r>
          </w:p>
        </w:tc>
        <w:tc>
          <w:tcPr>
            <w:tcW w:w="0" w:type="dxa"/>
            <w:vAlign w:val="bottom"/>
          </w:tcPr>
          <w:p>
            <w:pPr>
              <w:spacing w:after="0"/>
              <w:rPr>
                <w:sz w:val="1"/>
                <w:szCs w:val="1"/>
                <w:color w:val="auto"/>
              </w:rPr>
            </w:pPr>
          </w:p>
        </w:tc>
      </w:tr>
      <w:tr>
        <w:trPr>
          <w:trHeight w:val="68"/>
        </w:trPr>
        <w:tc>
          <w:tcPr>
            <w:tcW w:w="2800" w:type="dxa"/>
            <w:vAlign w:val="bottom"/>
            <w:vMerge w:val="continue"/>
          </w:tcPr>
          <w:p>
            <w:pPr>
              <w:spacing w:after="0"/>
              <w:rPr>
                <w:sz w:val="5"/>
                <w:szCs w:val="5"/>
                <w:color w:val="auto"/>
              </w:rPr>
            </w:pPr>
          </w:p>
        </w:tc>
        <w:tc>
          <w:tcPr>
            <w:tcW w:w="3820" w:type="dxa"/>
            <w:vAlign w:val="bottom"/>
            <w:vMerge w:val="restart"/>
          </w:tcPr>
          <w:p>
            <w:pPr>
              <w:jc w:val="center"/>
              <w:ind w:left="57"/>
              <w:spacing w:after="0"/>
              <w:rPr>
                <w:sz w:val="20"/>
                <w:szCs w:val="20"/>
                <w:color w:val="auto"/>
              </w:rPr>
            </w:pPr>
            <w:r>
              <w:rPr>
                <w:rFonts w:ascii="Arial" w:cs="Arial" w:eastAsia="Arial" w:hAnsi="Arial"/>
                <w:sz w:val="13"/>
                <w:szCs w:val="13"/>
                <w:color w:val="auto"/>
                <w:w w:val="96"/>
              </w:rPr>
              <w:t>(866) 756-4112</w:t>
            </w: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800" w:type="dxa"/>
            <w:vAlign w:val="bottom"/>
            <w:vMerge w:val="restart"/>
          </w:tcPr>
          <w:p>
            <w:pPr>
              <w:jc w:val="center"/>
              <w:ind w:right="877"/>
              <w:spacing w:after="0"/>
              <w:rPr>
                <w:sz w:val="20"/>
                <w:szCs w:val="20"/>
                <w:color w:val="auto"/>
              </w:rPr>
            </w:pPr>
            <w:r>
              <w:rPr>
                <w:rFonts w:ascii="Arial" w:cs="Arial" w:eastAsia="Arial" w:hAnsi="Arial"/>
                <w:sz w:val="13"/>
                <w:szCs w:val="13"/>
                <w:color w:val="auto"/>
                <w:w w:val="96"/>
              </w:rPr>
              <w:t>(650) 614-7400</w:t>
            </w:r>
          </w:p>
        </w:tc>
        <w:tc>
          <w:tcPr>
            <w:tcW w:w="3820" w:type="dxa"/>
            <w:vAlign w:val="bottom"/>
            <w:vMerge w:val="continue"/>
          </w:tcPr>
          <w:p>
            <w:pPr>
              <w:spacing w:after="0"/>
              <w:rPr>
                <w:sz w:val="7"/>
                <w:szCs w:val="7"/>
                <w:color w:val="auto"/>
              </w:rPr>
            </w:pPr>
          </w:p>
        </w:tc>
        <w:tc>
          <w:tcPr>
            <w:tcW w:w="3000" w:type="dxa"/>
            <w:vAlign w:val="bottom"/>
            <w:vMerge w:val="restart"/>
          </w:tcPr>
          <w:p>
            <w:pPr>
              <w:jc w:val="center"/>
              <w:ind w:left="757"/>
              <w:spacing w:after="0"/>
              <w:rPr>
                <w:sz w:val="20"/>
                <w:szCs w:val="20"/>
                <w:color w:val="auto"/>
              </w:rPr>
            </w:pPr>
            <w:r>
              <w:rPr>
                <w:rFonts w:ascii="Arial" w:cs="Arial" w:eastAsia="Arial" w:hAnsi="Arial"/>
                <w:sz w:val="13"/>
                <w:szCs w:val="13"/>
                <w:color w:val="auto"/>
                <w:w w:val="96"/>
              </w:rPr>
              <w:t>(312) 876-7700</w:t>
            </w:r>
          </w:p>
        </w:tc>
        <w:tc>
          <w:tcPr>
            <w:tcW w:w="0" w:type="dxa"/>
            <w:vAlign w:val="bottom"/>
          </w:tcPr>
          <w:p>
            <w:pPr>
              <w:spacing w:after="0"/>
              <w:rPr>
                <w:sz w:val="1"/>
                <w:szCs w:val="1"/>
                <w:color w:val="auto"/>
              </w:rPr>
            </w:pPr>
          </w:p>
        </w:tc>
      </w:tr>
      <w:tr>
        <w:trPr>
          <w:trHeight w:val="95"/>
        </w:trPr>
        <w:tc>
          <w:tcPr>
            <w:tcW w:w="28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right="20" w:firstLine="324"/>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680"/>
              <w:spacing w:after="0"/>
              <w:rPr>
                <w:sz w:val="20"/>
                <w:szCs w:val="20"/>
                <w:color w:val="auto"/>
              </w:rPr>
            </w:pPr>
            <w:r>
              <w:rPr>
                <w:rFonts w:ascii="Arial" w:cs="Arial" w:eastAsia="Arial" w:hAnsi="Arial"/>
                <w:sz w:val="14"/>
                <w:szCs w:val="14"/>
                <w:color w:val="auto"/>
              </w:rPr>
              <w:t>o</w:t>
            </w:r>
          </w:p>
        </w:tc>
        <w:tc>
          <w:tcPr>
            <w:tcW w:w="390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400"/>
              <w:spacing w:after="0"/>
              <w:rPr>
                <w:sz w:val="20"/>
                <w:szCs w:val="20"/>
                <w:color w:val="auto"/>
              </w:rPr>
            </w:pPr>
            <w:r>
              <w:rPr>
                <w:rFonts w:ascii="Arial" w:cs="Arial" w:eastAsia="Arial" w:hAnsi="Arial"/>
                <w:sz w:val="14"/>
                <w:szCs w:val="14"/>
                <w:color w:val="auto"/>
                <w:w w:val="76"/>
              </w:rPr>
              <w:t>o</w:t>
            </w: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680"/>
              <w:spacing w:after="0"/>
              <w:rPr>
                <w:sz w:val="20"/>
                <w:szCs w:val="20"/>
                <w:color w:val="auto"/>
              </w:rPr>
            </w:pPr>
            <w:r>
              <w:rPr>
                <w:rFonts w:ascii="Arial" w:cs="Arial" w:eastAsia="Arial" w:hAnsi="Arial"/>
                <w:sz w:val="14"/>
                <w:szCs w:val="14"/>
                <w:color w:val="auto"/>
              </w:rPr>
              <w:t>x</w:t>
            </w:r>
          </w:p>
        </w:tc>
        <w:tc>
          <w:tcPr>
            <w:tcW w:w="3900" w:type="dxa"/>
            <w:vAlign w:val="bottom"/>
          </w:tcPr>
          <w:p>
            <w:pPr>
              <w:ind w:left="18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4"/>
                <w:szCs w:val="14"/>
                <w:color w:val="auto"/>
                <w:w w:val="76"/>
              </w:rPr>
              <w:t>o</w:t>
            </w:r>
          </w:p>
        </w:tc>
      </w:tr>
      <w:tr>
        <w:trPr>
          <w:trHeight w:val="270"/>
        </w:trPr>
        <w:tc>
          <w:tcPr>
            <w:tcW w:w="20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90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bl>
    <w:p>
      <w:pPr>
        <w:spacing w:after="0" w:line="7" w:lineRule="exact"/>
        <w:rPr>
          <w:sz w:val="24"/>
          <w:szCs w:val="24"/>
          <w:color w:val="auto"/>
        </w:rPr>
      </w:pPr>
    </w:p>
    <w:p>
      <w:pPr>
        <w:ind w:firstLine="324"/>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jc w:val="center"/>
              <w:ind w:right="14"/>
              <w:spacing w:after="0"/>
              <w:rPr>
                <w:sz w:val="20"/>
                <w:szCs w:val="20"/>
                <w:color w:val="auto"/>
              </w:rPr>
            </w:pPr>
            <w:r>
              <w:rPr>
                <w:rFonts w:ascii="Arial" w:cs="Arial" w:eastAsia="Arial" w:hAnsi="Arial"/>
                <w:sz w:val="13"/>
                <w:szCs w:val="13"/>
                <w:b w:val="1"/>
                <w:bCs w:val="1"/>
                <w:color w:val="auto"/>
                <w:w w:val="97"/>
              </w:rPr>
              <w:t>Title of Each Class of Securities</w:t>
            </w:r>
          </w:p>
        </w:tc>
        <w:tc>
          <w:tcPr>
            <w:tcW w:w="2140" w:type="dxa"/>
            <w:vAlign w:val="bottom"/>
          </w:tcPr>
          <w:p>
            <w:pPr>
              <w:spacing w:after="0"/>
              <w:rPr>
                <w:sz w:val="13"/>
                <w:szCs w:val="13"/>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Proposed Maximum Offering Price Per</w:t>
            </w:r>
          </w:p>
        </w:tc>
        <w:tc>
          <w:tcPr>
            <w:tcW w:w="2240" w:type="dxa"/>
            <w:vAlign w:val="bottom"/>
          </w:tcPr>
          <w:p>
            <w:pPr>
              <w:jc w:val="center"/>
              <w:ind w:right="135"/>
              <w:spacing w:after="0"/>
              <w:rPr>
                <w:sz w:val="20"/>
                <w:szCs w:val="20"/>
                <w:color w:val="auto"/>
              </w:rPr>
            </w:pPr>
            <w:r>
              <w:rPr>
                <w:rFonts w:ascii="Arial" w:cs="Arial" w:eastAsia="Arial" w:hAnsi="Arial"/>
                <w:sz w:val="13"/>
                <w:szCs w:val="13"/>
                <w:b w:val="1"/>
                <w:bCs w:val="1"/>
                <w:color w:val="auto"/>
                <w:w w:val="97"/>
              </w:rPr>
              <w:t>Proposed Maximum</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178"/>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 Be Registered</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 to be Registered</w:t>
            </w:r>
            <w:r>
              <w:rPr>
                <w:rFonts w:ascii="Arial" w:cs="Arial" w:eastAsia="Arial" w:hAnsi="Arial"/>
                <w:sz w:val="8"/>
                <w:szCs w:val="8"/>
                <w:b w:val="1"/>
                <w:bCs w:val="1"/>
                <w:color w:val="auto"/>
                <w:w w:val="97"/>
              </w:rPr>
              <w:t>(1)</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w:t>
            </w:r>
            <w:r>
              <w:rPr>
                <w:rFonts w:ascii="Arial" w:cs="Arial" w:eastAsia="Arial" w:hAnsi="Arial"/>
                <w:sz w:val="8"/>
                <w:szCs w:val="8"/>
                <w:b w:val="1"/>
                <w:bCs w:val="1"/>
                <w:color w:val="auto"/>
              </w:rPr>
              <w:t>(2)</w:t>
            </w:r>
          </w:p>
        </w:tc>
        <w:tc>
          <w:tcPr>
            <w:tcW w:w="224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7"/>
              </w:rPr>
              <w:t>Aggregate Offering Price</w:t>
            </w:r>
            <w:r>
              <w:rPr>
                <w:rFonts w:ascii="Arial" w:cs="Arial" w:eastAsia="Arial" w:hAnsi="Arial"/>
                <w:sz w:val="8"/>
                <w:szCs w:val="8"/>
                <w:b w:val="1"/>
                <w:bCs w:val="1"/>
                <w:color w:val="auto"/>
                <w:w w:val="97"/>
              </w:rPr>
              <w:t>(2)</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Registration Fee</w:t>
            </w:r>
          </w:p>
        </w:tc>
      </w:tr>
      <w:tr>
        <w:trPr>
          <w:trHeight w:val="171"/>
        </w:trPr>
        <w:tc>
          <w:tcPr>
            <w:tcW w:w="2400" w:type="dxa"/>
            <w:vAlign w:val="bottom"/>
          </w:tcPr>
          <w:p>
            <w:pPr>
              <w:ind w:left="40"/>
              <w:spacing w:after="0"/>
              <w:rPr>
                <w:sz w:val="20"/>
                <w:szCs w:val="20"/>
                <w:color w:val="auto"/>
              </w:rPr>
            </w:pPr>
            <w:r>
              <w:rPr>
                <w:rFonts w:ascii="Arial" w:cs="Arial" w:eastAsia="Arial" w:hAnsi="Arial"/>
                <w:sz w:val="14"/>
                <w:szCs w:val="14"/>
                <w:color w:val="auto"/>
              </w:rPr>
              <w:t>Common Stock, par value</w:t>
            </w:r>
          </w:p>
        </w:tc>
        <w:tc>
          <w:tcPr>
            <w:tcW w:w="2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8"/>
        </w:trPr>
        <w:tc>
          <w:tcPr>
            <w:tcW w:w="2400" w:type="dxa"/>
            <w:vAlign w:val="bottom"/>
          </w:tcPr>
          <w:p>
            <w:pPr>
              <w:ind w:left="40"/>
              <w:spacing w:after="0"/>
              <w:rPr>
                <w:sz w:val="20"/>
                <w:szCs w:val="20"/>
                <w:color w:val="auto"/>
              </w:rPr>
            </w:pPr>
            <w:r>
              <w:rPr>
                <w:rFonts w:ascii="Arial" w:cs="Arial" w:eastAsia="Arial" w:hAnsi="Arial"/>
                <w:sz w:val="14"/>
                <w:szCs w:val="14"/>
                <w:color w:val="auto"/>
              </w:rPr>
              <w:t>$0.0001 per share</w:t>
            </w:r>
          </w:p>
        </w:tc>
        <w:tc>
          <w:tcPr>
            <w:tcW w:w="2140" w:type="dxa"/>
            <w:vAlign w:val="bottom"/>
          </w:tcPr>
          <w:p>
            <w:pPr>
              <w:jc w:val="right"/>
              <w:ind w:right="654"/>
              <w:spacing w:after="0"/>
              <w:rPr>
                <w:sz w:val="20"/>
                <w:szCs w:val="20"/>
                <w:color w:val="auto"/>
              </w:rPr>
            </w:pPr>
            <w:r>
              <w:rPr>
                <w:rFonts w:ascii="Arial" w:cs="Arial" w:eastAsia="Arial" w:hAnsi="Arial"/>
                <w:sz w:val="14"/>
                <w:szCs w:val="14"/>
                <w:color w:val="auto"/>
              </w:rPr>
              <w:t>3,737,500</w:t>
            </w:r>
          </w:p>
        </w:tc>
        <w:tc>
          <w:tcPr>
            <w:tcW w:w="2740" w:type="dxa"/>
            <w:vAlign w:val="bottom"/>
          </w:tcPr>
          <w:p>
            <w:pPr>
              <w:jc w:val="center"/>
              <w:spacing w:after="0"/>
              <w:rPr>
                <w:sz w:val="20"/>
                <w:szCs w:val="20"/>
                <w:color w:val="auto"/>
              </w:rPr>
            </w:pPr>
            <w:r>
              <w:rPr>
                <w:rFonts w:ascii="Arial" w:cs="Arial" w:eastAsia="Arial" w:hAnsi="Arial"/>
                <w:sz w:val="14"/>
                <w:szCs w:val="14"/>
                <w:color w:val="auto"/>
                <w:w w:val="98"/>
              </w:rPr>
              <w:t>$200.20</w:t>
            </w:r>
          </w:p>
        </w:tc>
        <w:tc>
          <w:tcPr>
            <w:tcW w:w="2240" w:type="dxa"/>
            <w:vAlign w:val="bottom"/>
          </w:tcPr>
          <w:p>
            <w:pPr>
              <w:jc w:val="center"/>
              <w:ind w:right="155"/>
              <w:spacing w:after="0"/>
              <w:rPr>
                <w:sz w:val="20"/>
                <w:szCs w:val="20"/>
                <w:color w:val="auto"/>
              </w:rPr>
            </w:pPr>
            <w:r>
              <w:rPr>
                <w:rFonts w:ascii="Arial" w:cs="Arial" w:eastAsia="Arial" w:hAnsi="Arial"/>
                <w:sz w:val="14"/>
                <w:szCs w:val="14"/>
                <w:color w:val="auto"/>
              </w:rPr>
              <w:t>$748,247,500</w:t>
            </w:r>
          </w:p>
        </w:tc>
        <w:tc>
          <w:tcPr>
            <w:tcW w:w="1900" w:type="dxa"/>
            <w:vAlign w:val="bottom"/>
          </w:tcPr>
          <w:p>
            <w:pPr>
              <w:jc w:val="center"/>
              <w:spacing w:after="0"/>
              <w:rPr>
                <w:sz w:val="20"/>
                <w:szCs w:val="20"/>
                <w:color w:val="auto"/>
              </w:rPr>
            </w:pPr>
            <w:r>
              <w:rPr>
                <w:rFonts w:ascii="Arial" w:cs="Arial" w:eastAsia="Arial" w:hAnsi="Arial"/>
                <w:sz w:val="14"/>
                <w:szCs w:val="14"/>
                <w:color w:val="auto"/>
                <w:w w:val="99"/>
              </w:rPr>
              <w:t>$90,688</w:t>
            </w:r>
            <w:r>
              <w:rPr>
                <w:rFonts w:ascii="Arial" w:cs="Arial" w:eastAsia="Arial" w:hAnsi="Arial"/>
                <w:sz w:val="11"/>
                <w:szCs w:val="11"/>
                <w:color w:val="auto"/>
                <w:w w:val="99"/>
              </w:rPr>
              <w:t>(3)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487,500 shares of common stock issuable upon exercise of the underwriters’ option to purchase additional shares. See “Underwriting.”</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as amended, based on the average of the high and low sales prices of the Registrant’s Common Stock as reported by the Nasdaq Global Select Market on July 30, 2019.</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$85,741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4"/>
          <w:szCs w:val="24"/>
          <w:color w:val="auto"/>
        </w:rPr>
      </w:pPr>
    </w:p>
    <w:p>
      <w:pPr>
        <w:jc w:val="both"/>
        <w:ind w:firstLine="324"/>
        <w:spacing w:after="0" w:line="242" w:lineRule="auto"/>
        <w:rPr>
          <w:sz w:val="20"/>
          <w:szCs w:val="20"/>
          <w:color w:val="auto"/>
        </w:rPr>
      </w:pPr>
      <w:r>
        <w:rPr>
          <w:rFonts w:ascii="Arial" w:cs="Arial" w:eastAsia="Arial" w:hAnsi="Arial"/>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140"/>
        <w:spacing w:after="0" w:line="253" w:lineRule="auto"/>
        <w:rPr>
          <w:sz w:val="20"/>
          <w:szCs w:val="20"/>
          <w:color w:val="auto"/>
        </w:rPr>
      </w:pPr>
      <w:r>
        <w:rPr>
          <w:rFonts w:ascii="Arial" w:cs="Arial" w:eastAsia="Arial" w:hAnsi="Arial"/>
          <w:sz w:val="16"/>
          <w:szCs w:val="16"/>
          <w:color w:val="EE2724"/>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EE2724"/>
        </w:rPr>
        <w:t>SUBJECT TO COMPLETION, DATED JULY 31, 2019</w:t>
      </w:r>
    </w:p>
    <w:p>
      <w:pPr>
        <w:spacing w:after="0" w:line="82"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i w:val="1"/>
          <w:iCs w:val="1"/>
          <w:color w:val="auto"/>
        </w:rPr>
        <w:t>3,250,000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106680</wp:posOffset>
            </wp:positionV>
            <wp:extent cx="3164205" cy="1337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6420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Beyond Meat,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83820</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177165</wp:posOffset>
            </wp:positionV>
            <wp:extent cx="2392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83" w:lineRule="exact"/>
        <w:rPr>
          <w:sz w:val="20"/>
          <w:szCs w:val="20"/>
          <w:color w:val="auto"/>
        </w:rPr>
      </w:pPr>
    </w:p>
    <w:p>
      <w:pPr>
        <w:ind w:right="260" w:firstLine="324"/>
        <w:spacing w:after="0" w:line="260" w:lineRule="auto"/>
        <w:rPr>
          <w:sz w:val="20"/>
          <w:szCs w:val="20"/>
          <w:color w:val="auto"/>
        </w:rPr>
      </w:pPr>
      <w:r>
        <w:rPr>
          <w:rFonts w:ascii="Arial" w:cs="Arial" w:eastAsia="Arial" w:hAnsi="Arial"/>
          <w:sz w:val="16"/>
          <w:szCs w:val="16"/>
          <w:color w:val="auto"/>
        </w:rPr>
        <w:t>We are selling 250,000 shares of our common stock and the selling stockholders named in this prospectus are selling 3,000,000 shares of our common stock. We will not receive any proceeds from the sale of shares of our common stock to be offered by the selling stockholders.</w:t>
      </w:r>
    </w:p>
    <w:p>
      <w:pPr>
        <w:spacing w:after="0" w:line="34" w:lineRule="exact"/>
        <w:rPr>
          <w:sz w:val="20"/>
          <w:szCs w:val="20"/>
          <w:color w:val="auto"/>
        </w:rPr>
      </w:pPr>
    </w:p>
    <w:p>
      <w:pPr>
        <w:ind w:right="180" w:firstLine="324"/>
        <w:spacing w:after="0" w:line="260" w:lineRule="auto"/>
        <w:rPr>
          <w:sz w:val="20"/>
          <w:szCs w:val="20"/>
          <w:color w:val="auto"/>
        </w:rPr>
      </w:pPr>
      <w:r>
        <w:rPr>
          <w:rFonts w:ascii="Arial" w:cs="Arial" w:eastAsia="Arial" w:hAnsi="Arial"/>
          <w:sz w:val="16"/>
          <w:szCs w:val="16"/>
          <w:color w:val="auto"/>
        </w:rPr>
        <w:t>Our common stock is listed on the Nasdaq Global Select Market under the symbol “BYND.” On July 29, 2019, the last reported sale price of our common stock as reported on the Nasdaq Global Select Market was $222.13 per share.</w:t>
      </w:r>
    </w:p>
    <w:p>
      <w:pPr>
        <w:spacing w:after="0" w:line="34" w:lineRule="exact"/>
        <w:rPr>
          <w:sz w:val="20"/>
          <w:szCs w:val="20"/>
          <w:color w:val="auto"/>
        </w:rPr>
      </w:pPr>
    </w:p>
    <w:p>
      <w:pPr>
        <w:ind w:right="160" w:firstLine="324"/>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public company reporting requirements for this prospectus and future filings.</w:t>
      </w:r>
    </w:p>
    <w:p>
      <w:pPr>
        <w:spacing w:after="0" w:line="14" w:lineRule="exact"/>
        <w:rPr>
          <w:sz w:val="20"/>
          <w:szCs w:val="20"/>
          <w:color w:val="auto"/>
        </w:rPr>
      </w:pPr>
    </w:p>
    <w:p>
      <w:pPr>
        <w:ind w:right="500" w:firstLine="324"/>
        <w:spacing w:after="0" w:line="286" w:lineRule="auto"/>
        <w:rPr>
          <w:sz w:val="20"/>
          <w:szCs w:val="20"/>
          <w:color w:val="auto"/>
        </w:rPr>
      </w:pPr>
      <w:r>
        <w:rPr>
          <w:rFonts w:ascii="Arial" w:cs="Arial" w:eastAsia="Arial" w:hAnsi="Arial"/>
          <w:sz w:val="16"/>
          <w:szCs w:val="16"/>
          <w:b w:val="1"/>
          <w:bCs w:val="1"/>
          <w:color w:val="auto"/>
        </w:rPr>
        <w:t>Investing in our common stock involves a high degree of risk. See the section entitled “Risk Factors” beginning on page 14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135890</wp:posOffset>
            </wp:positionV>
            <wp:extent cx="2392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98" w:lineRule="exact"/>
        <w:rPr>
          <w:sz w:val="20"/>
          <w:szCs w:val="20"/>
          <w:color w:val="auto"/>
        </w:rPr>
      </w:pPr>
    </w:p>
    <w:p>
      <w:pPr>
        <w:ind w:right="420" w:firstLine="324"/>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0"/>
          <w:szCs w:val="20"/>
          <w:color w:val="auto"/>
        </w:rPr>
      </w:pPr>
    </w:p>
    <w:p>
      <w:pPr>
        <w:ind w:left="8380"/>
        <w:spacing w:after="0"/>
        <w:tabs>
          <w:tab w:leader="none" w:pos="10360" w:val="left"/>
        </w:tabs>
        <w:rPr>
          <w:sz w:val="20"/>
          <w:szCs w:val="20"/>
          <w:color w:val="auto"/>
        </w:rPr>
      </w:pPr>
      <w:r>
        <w:rPr>
          <w:rFonts w:ascii="Arial" w:cs="Arial" w:eastAsia="Arial" w:hAnsi="Arial"/>
          <w:sz w:val="16"/>
          <w:szCs w:val="16"/>
          <w:b w:val="1"/>
          <w:bCs w:val="1"/>
          <w:color w:val="auto"/>
        </w:rPr>
        <w:t>Per Share</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Pr>
          <w:p>
            <w:pPr>
              <w:ind w:left="40"/>
              <w:spacing w:after="0"/>
              <w:rPr>
                <w:sz w:val="20"/>
                <w:szCs w:val="20"/>
                <w:color w:val="auto"/>
              </w:rPr>
            </w:pPr>
            <w:r>
              <w:rPr>
                <w:rFonts w:ascii="Arial" w:cs="Arial" w:eastAsia="Arial" w:hAnsi="Arial"/>
                <w:sz w:val="18"/>
                <w:szCs w:val="18"/>
                <w:color w:val="auto"/>
              </w:rPr>
              <w:t>Public offering price</w:t>
            </w:r>
          </w:p>
        </w:tc>
        <w:tc>
          <w:tcPr>
            <w:tcW w:w="27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3"/>
        </w:trPr>
        <w:tc>
          <w:tcPr>
            <w:tcW w:w="6160" w:type="dxa"/>
            <w:vAlign w:val="bottom"/>
          </w:tcPr>
          <w:p>
            <w:pPr>
              <w:ind w:left="4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1"/>
                <w:szCs w:val="21"/>
                <w:color w:val="auto"/>
                <w:vertAlign w:val="superscript"/>
              </w:rPr>
              <w:t>(1)</w:t>
            </w:r>
          </w:p>
        </w:tc>
        <w:tc>
          <w:tcPr>
            <w:tcW w:w="27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160" w:type="dxa"/>
            <w:vAlign w:val="bottom"/>
          </w:tcPr>
          <w:p>
            <w:pPr>
              <w:ind w:left="40"/>
              <w:spacing w:after="0"/>
              <w:rPr>
                <w:sz w:val="20"/>
                <w:szCs w:val="20"/>
                <w:color w:val="auto"/>
              </w:rPr>
            </w:pPr>
            <w:r>
              <w:rPr>
                <w:rFonts w:ascii="Arial" w:cs="Arial" w:eastAsia="Arial" w:hAnsi="Arial"/>
                <w:sz w:val="18"/>
                <w:szCs w:val="18"/>
                <w:color w:val="auto"/>
              </w:rPr>
              <w:t>Proceeds, before expenses, to us</w:t>
            </w:r>
          </w:p>
        </w:tc>
        <w:tc>
          <w:tcPr>
            <w:tcW w:w="27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Proceeds, before expenses, to the selling stockholders</w:t>
            </w:r>
          </w:p>
        </w:tc>
        <w:tc>
          <w:tcPr>
            <w:tcW w:w="27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4"/>
        </w:trPr>
        <w:tc>
          <w:tcPr>
            <w:tcW w:w="6160" w:type="dxa"/>
            <w:vAlign w:val="bottom"/>
          </w:tcPr>
          <w:p>
            <w:pPr>
              <w:spacing w:after="0"/>
              <w:rPr>
                <w:sz w:val="20"/>
                <w:szCs w:val="20"/>
                <w:color w:val="auto"/>
              </w:rPr>
            </w:pPr>
            <w:r>
              <w:rPr>
                <w:rFonts w:ascii="Arial" w:cs="Arial" w:eastAsia="Arial" w:hAnsi="Arial"/>
                <w:sz w:val="16"/>
                <w:szCs w:val="16"/>
                <w:color w:val="auto"/>
              </w:rPr>
              <w:t>___________________</w:t>
            </w:r>
          </w:p>
        </w:tc>
        <w:tc>
          <w:tcPr>
            <w:tcW w:w="272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6"/>
          <w:szCs w:val="16"/>
          <w:color w:val="auto"/>
        </w:rPr>
        <w:t>(1)  See “Underwriting” for additional disclosure regarding underwriting discounts and commissions and estimated offering expenses.</w:t>
      </w:r>
    </w:p>
    <w:p>
      <w:pPr>
        <w:spacing w:after="0" w:line="5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selling stockholders have granted the underwriters a 30-day option to purchase up to 487,500 additional shares of common stock at the public offering price less the underwriting discounts and commissions.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ind w:left="340"/>
              <w:spacing w:after="0"/>
              <w:rPr>
                <w:sz w:val="20"/>
                <w:szCs w:val="20"/>
                <w:color w:val="auto"/>
              </w:rPr>
            </w:pPr>
            <w:r>
              <w:rPr>
                <w:rFonts w:ascii="Arial" w:cs="Arial" w:eastAsia="Arial" w:hAnsi="Arial"/>
                <w:sz w:val="16"/>
                <w:szCs w:val="16"/>
                <w:color w:val="auto"/>
              </w:rPr>
              <w:t>The underwriters expect to deliver the shares of common stock to purchasers on or about</w:t>
            </w:r>
          </w:p>
        </w:tc>
        <w:tc>
          <w:tcPr>
            <w:tcW w:w="4320" w:type="dxa"/>
            <w:vAlign w:val="bottom"/>
          </w:tcPr>
          <w:p>
            <w:pPr>
              <w:jc w:val="right"/>
              <w:ind w:right="3379"/>
              <w:spacing w:after="0"/>
              <w:rPr>
                <w:sz w:val="20"/>
                <w:szCs w:val="20"/>
                <w:color w:val="auto"/>
              </w:rPr>
            </w:pPr>
            <w:r>
              <w:rPr>
                <w:rFonts w:ascii="Arial" w:cs="Arial" w:eastAsia="Arial" w:hAnsi="Arial"/>
                <w:sz w:val="16"/>
                <w:szCs w:val="16"/>
                <w:color w:val="auto"/>
              </w:rPr>
              <w:t>, 2019.</w:t>
            </w:r>
          </w:p>
        </w:tc>
      </w:tr>
      <w:tr>
        <w:trPr>
          <w:trHeight w:val="256"/>
        </w:trPr>
        <w:tc>
          <w:tcPr>
            <w:tcW w:w="710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tcPr>
          <w:p>
            <w:pPr>
              <w:spacing w:after="0"/>
              <w:rPr>
                <w:sz w:val="22"/>
                <w:szCs w:val="22"/>
                <w:color w:val="auto"/>
              </w:rPr>
            </w:pPr>
          </w:p>
        </w:tc>
      </w:tr>
    </w:tbl>
    <w:p>
      <w:pPr>
        <w:spacing w:after="0" w:line="346" w:lineRule="exact"/>
        <w:rPr>
          <w:sz w:val="20"/>
          <w:szCs w:val="20"/>
          <w:color w:val="auto"/>
        </w:rPr>
      </w:pPr>
    </w:p>
    <w:p>
      <w:pPr>
        <w:ind w:left="40"/>
        <w:spacing w:after="0"/>
        <w:tabs>
          <w:tab w:leader="none" w:pos="5320" w:val="left"/>
          <w:tab w:leader="none" w:pos="10000" w:val="left"/>
        </w:tabs>
        <w:rPr>
          <w:sz w:val="20"/>
          <w:szCs w:val="20"/>
          <w:color w:val="auto"/>
        </w:rPr>
      </w:pPr>
      <w:r>
        <w:rPr>
          <w:rFonts w:ascii="Arial" w:cs="Arial" w:eastAsia="Arial" w:hAnsi="Arial"/>
          <w:sz w:val="22"/>
          <w:szCs w:val="22"/>
          <w:b w:val="1"/>
          <w:bCs w:val="1"/>
          <w:i w:val="1"/>
          <w:iCs w:val="1"/>
          <w:color w:val="auto"/>
        </w:rPr>
        <w:t>Goldman Sachs &amp; Co. LLC</w:t>
      </w:r>
      <w:r>
        <w:rPr>
          <w:sz w:val="20"/>
          <w:szCs w:val="20"/>
          <w:color w:val="auto"/>
        </w:rPr>
        <w:tab/>
      </w:r>
      <w:r>
        <w:rPr>
          <w:rFonts w:ascii="Arial" w:cs="Arial" w:eastAsia="Arial" w:hAnsi="Arial"/>
          <w:sz w:val="22"/>
          <w:szCs w:val="22"/>
          <w:b w:val="1"/>
          <w:bCs w:val="1"/>
          <w:i w:val="1"/>
          <w:iCs w:val="1"/>
          <w:color w:val="auto"/>
        </w:rPr>
        <w:t>J.P. Morgan</w:t>
      </w:r>
      <w:r>
        <w:rPr>
          <w:sz w:val="20"/>
          <w:szCs w:val="20"/>
          <w:color w:val="auto"/>
        </w:rPr>
        <w:tab/>
      </w:r>
      <w:r>
        <w:rPr>
          <w:rFonts w:ascii="Arial" w:cs="Arial" w:eastAsia="Arial" w:hAnsi="Arial"/>
          <w:sz w:val="21"/>
          <w:szCs w:val="21"/>
          <w:b w:val="1"/>
          <w:bCs w:val="1"/>
          <w:i w:val="1"/>
          <w:iCs w:val="1"/>
          <w:color w:val="auto"/>
        </w:rPr>
        <w:t>Credit Suisse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980"/>
        <w:spacing w:after="0"/>
        <w:tabs>
          <w:tab w:leader="none" w:pos="8920" w:val="left"/>
        </w:tabs>
        <w:rPr>
          <w:sz w:val="20"/>
          <w:szCs w:val="20"/>
          <w:color w:val="auto"/>
        </w:rPr>
      </w:pPr>
      <w:r>
        <w:rPr>
          <w:rFonts w:ascii="Arial" w:cs="Arial" w:eastAsia="Arial" w:hAnsi="Arial"/>
          <w:sz w:val="20"/>
          <w:szCs w:val="20"/>
          <w:b w:val="1"/>
          <w:bCs w:val="1"/>
          <w:i w:val="1"/>
          <w:iCs w:val="1"/>
          <w:color w:val="auto"/>
        </w:rPr>
        <w:t>BofA Merrill Lynch</w:t>
      </w:r>
      <w:r>
        <w:rPr>
          <w:sz w:val="20"/>
          <w:szCs w:val="20"/>
          <w:color w:val="auto"/>
        </w:rPr>
        <w:tab/>
      </w:r>
      <w:r>
        <w:rPr>
          <w:rFonts w:ascii="Arial" w:cs="Arial" w:eastAsia="Arial" w:hAnsi="Arial"/>
          <w:sz w:val="19"/>
          <w:szCs w:val="19"/>
          <w:b w:val="1"/>
          <w:bCs w:val="1"/>
          <w:i w:val="1"/>
          <w:iCs w:val="1"/>
          <w:color w:val="auto"/>
        </w:rPr>
        <w:t>Jefferies</w:t>
      </w:r>
    </w:p>
    <w:p>
      <w:pPr>
        <w:spacing w:after="0" w:line="391" w:lineRule="exact"/>
        <w:rPr>
          <w:sz w:val="20"/>
          <w:szCs w:val="20"/>
          <w:color w:val="auto"/>
        </w:rPr>
      </w:pPr>
    </w:p>
    <w:p>
      <w:pPr>
        <w:ind w:left="3820"/>
        <w:spacing w:after="0"/>
        <w:tabs>
          <w:tab w:leader="none" w:pos="7760" w:val="left"/>
        </w:tabs>
        <w:rPr>
          <w:sz w:val="20"/>
          <w:szCs w:val="20"/>
          <w:color w:val="auto"/>
        </w:rPr>
      </w:pPr>
      <w:r>
        <w:rPr>
          <w:rFonts w:ascii="Arial" w:cs="Arial" w:eastAsia="Arial" w:hAnsi="Arial"/>
          <w:sz w:val="20"/>
          <w:szCs w:val="20"/>
          <w:b w:val="1"/>
          <w:bCs w:val="1"/>
          <w:i w:val="1"/>
          <w:iCs w:val="1"/>
          <w:color w:val="auto"/>
        </w:rPr>
        <w:t>William Blair</w:t>
      </w:r>
      <w:r>
        <w:rPr>
          <w:sz w:val="20"/>
          <w:szCs w:val="20"/>
          <w:color w:val="auto"/>
        </w:rPr>
        <w:tab/>
      </w:r>
      <w:r>
        <w:rPr>
          <w:rFonts w:ascii="Arial" w:cs="Arial" w:eastAsia="Arial" w:hAnsi="Arial"/>
          <w:sz w:val="19"/>
          <w:szCs w:val="19"/>
          <w:b w:val="1"/>
          <w:bCs w:val="1"/>
          <w:i w:val="1"/>
          <w:iCs w:val="1"/>
          <w:color w:val="auto"/>
        </w:rPr>
        <w:t>Raymond James</w:t>
      </w:r>
    </w:p>
    <w:p>
      <w:pPr>
        <w:sectPr>
          <w:pgSz w:w="11900" w:h="16838" w:orient="portrait"/>
          <w:cols w:equalWidth="0" w:num="1">
            <w:col w:w="11420"/>
          </w:cols>
          <w:pgMar w:left="240" w:top="830" w:right="239" w:bottom="1440" w:gutter="0" w:footer="0" w:header="0"/>
        </w:sectPr>
      </w:pPr>
    </w:p>
    <w:p>
      <w:pPr>
        <w:spacing w:after="0" w:line="205" w:lineRule="exact"/>
        <w:rPr>
          <w:sz w:val="20"/>
          <w:szCs w:val="20"/>
          <w:color w:val="auto"/>
        </w:rPr>
      </w:pPr>
    </w:p>
    <w:p>
      <w:pPr>
        <w:ind w:left="4480"/>
        <w:spacing w:after="0"/>
        <w:tabs>
          <w:tab w:leader="none" w:pos="648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2019</w:t>
      </w:r>
    </w:p>
    <w:p>
      <w:pPr>
        <w:sectPr>
          <w:pgSz w:w="11900" w:h="16838" w:orient="portrait"/>
          <w:cols w:equalWidth="0" w:num="1">
            <w:col w:w="11420"/>
          </w:cols>
          <w:pgMar w:left="240" w:top="830" w:right="239" w:bottom="144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3"/>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Page</w:t>
            </w:r>
          </w:p>
        </w:tc>
      </w:tr>
      <w:tr>
        <w:trPr>
          <w:trHeight w:val="527"/>
        </w:trPr>
        <w:tc>
          <w:tcPr>
            <w:tcW w:w="202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Industry and Market Data</w:t>
              </w:r>
            </w:hyperlink>
          </w:p>
        </w:tc>
        <w:tc>
          <w:tcPr>
            <w:tcW w:w="834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37"/>
        </w:trPr>
        <w:tc>
          <w:tcPr>
            <w:tcW w:w="1720" w:type="dxa"/>
            <w:vAlign w:val="bottom"/>
            <w:gridSpan w:val="7"/>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Prospectus Summary</w:t>
              </w:r>
            </w:hyperlink>
          </w:p>
        </w:tc>
        <w:tc>
          <w:tcPr>
            <w:tcW w:w="8640" w:type="dxa"/>
            <w:vAlign w:val="bottom"/>
            <w:gridSpan w:val="13"/>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Risk Factors</w:t>
              </w:r>
            </w:hyperlink>
          </w:p>
        </w:tc>
        <w:tc>
          <w:tcPr>
            <w:tcW w:w="720" w:type="dxa"/>
            <w:vAlign w:val="bottom"/>
            <w:gridSpan w:val="4"/>
          </w:tcPr>
          <w:p>
            <w:pPr>
              <w:spacing w:after="0"/>
              <w:rPr>
                <w:sz w:val="20"/>
                <w:szCs w:val="20"/>
                <w:color w:val="auto"/>
              </w:rPr>
            </w:pPr>
          </w:p>
        </w:tc>
        <w:tc>
          <w:tcPr>
            <w:tcW w:w="8640" w:type="dxa"/>
            <w:vAlign w:val="bottom"/>
            <w:gridSpan w:val="13"/>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260" w:type="dxa"/>
            <w:vAlign w:val="bottom"/>
            <w:gridSpan w:val="16"/>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Special Note Regarding Forward-Looking Statements</w:t>
              </w:r>
            </w:hyperlink>
          </w:p>
        </w:tc>
        <w:tc>
          <w:tcPr>
            <w:tcW w:w="6100" w:type="dxa"/>
            <w:vAlign w:val="bottom"/>
            <w:gridSpan w:val="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26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6100" w:type="dxa"/>
            <w:vAlign w:val="bottom"/>
            <w:gridSpan w:val="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20" w:type="dxa"/>
            <w:vAlign w:val="bottom"/>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Dividend Policy</w:t>
              </w:r>
            </w:hyperlink>
          </w:p>
        </w:tc>
        <w:tc>
          <w:tcPr>
            <w:tcW w:w="9040" w:type="dxa"/>
            <w:vAlign w:val="bottom"/>
            <w:gridSpan w:val="1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Capitalization</w:t>
              </w:r>
            </w:hyperlink>
          </w:p>
        </w:tc>
        <w:tc>
          <w:tcPr>
            <w:tcW w:w="140" w:type="dxa"/>
            <w:vAlign w:val="bottom"/>
          </w:tcPr>
          <w:p>
            <w:pPr>
              <w:spacing w:after="0"/>
              <w:rPr>
                <w:sz w:val="20"/>
                <w:szCs w:val="20"/>
                <w:color w:val="auto"/>
              </w:rPr>
            </w:pPr>
          </w:p>
        </w:tc>
        <w:tc>
          <w:tcPr>
            <w:tcW w:w="9140" w:type="dxa"/>
            <w:vAlign w:val="bottom"/>
            <w:gridSpan w:val="15"/>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tcPr>
          <w:p>
            <w:pPr>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Dilution</w:t>
              </w:r>
            </w:hyperlink>
          </w:p>
        </w:tc>
        <w:tc>
          <w:tcPr>
            <w:tcW w:w="480" w:type="dxa"/>
            <w:vAlign w:val="bottom"/>
            <w:gridSpan w:val="3"/>
          </w:tcPr>
          <w:p>
            <w:pPr>
              <w:spacing w:after="0"/>
              <w:rPr>
                <w:sz w:val="20"/>
                <w:szCs w:val="20"/>
                <w:color w:val="auto"/>
              </w:rPr>
            </w:pPr>
          </w:p>
        </w:tc>
        <w:tc>
          <w:tcPr>
            <w:tcW w:w="9280" w:type="dxa"/>
            <w:vAlign w:val="bottom"/>
            <w:gridSpan w:val="16"/>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00" w:type="dxa"/>
            <w:vAlign w:val="bottom"/>
            <w:gridSpan w:val="8"/>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Selected Financial Data</w:t>
              </w:r>
            </w:hyperlink>
          </w:p>
        </w:tc>
        <w:tc>
          <w:tcPr>
            <w:tcW w:w="8460" w:type="dxa"/>
            <w:vAlign w:val="bottom"/>
            <w:gridSpan w:val="1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80" w:type="dxa"/>
            <w:vAlign w:val="bottom"/>
            <w:gridSpan w:val="18"/>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Management’s Discussion and Analysis of Financial Condition and Results of Operations</w:t>
              </w:r>
            </w:hyperlink>
          </w:p>
        </w:tc>
        <w:tc>
          <w:tcPr>
            <w:tcW w:w="3280" w:type="dxa"/>
            <w:vAlign w:val="bottom"/>
            <w:gridSpan w:val="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8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Business</w:t>
              </w:r>
            </w:hyperlink>
          </w:p>
        </w:tc>
        <w:tc>
          <w:tcPr>
            <w:tcW w:w="3280" w:type="dxa"/>
            <w:vAlign w:val="bottom"/>
            <w:gridSpan w:val="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77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Management</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97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109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Certain Relationships and Related-Party Transactions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27">
              <w:r>
                <w:rPr>
                  <w:rFonts w:ascii="Arial" w:cs="Arial" w:eastAsia="Arial" w:hAnsi="Arial"/>
                  <w:sz w:val="18"/>
                  <w:szCs w:val="18"/>
                  <w:color w:val="0000EE"/>
                </w:rPr>
                <w:t>122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720" w:type="dxa"/>
            <w:vAlign w:val="bottom"/>
            <w:gridSpan w:val="14"/>
          </w:tcPr>
          <w:p>
            <w:pPr>
              <w:spacing w:after="0"/>
              <w:rPr>
                <w:rFonts w:ascii="Arial" w:cs="Arial" w:eastAsia="Arial" w:hAnsi="Arial"/>
                <w:sz w:val="18"/>
                <w:szCs w:val="18"/>
                <w:color w:val="0000EE"/>
                <w:w w:val="99"/>
              </w:rPr>
            </w:pPr>
            <w:hyperlink w:anchor="page135">
              <w:r>
                <w:rPr>
                  <w:rFonts w:ascii="Arial" w:cs="Arial" w:eastAsia="Arial" w:hAnsi="Arial"/>
                  <w:sz w:val="18"/>
                  <w:szCs w:val="18"/>
                  <w:color w:val="0000EE"/>
                  <w:w w:val="99"/>
                </w:rPr>
                <w:t>Principal and Selling Stockholders</w:t>
              </w:r>
            </w:hyperlink>
          </w:p>
        </w:tc>
        <w:tc>
          <w:tcPr>
            <w:tcW w:w="1560" w:type="dxa"/>
            <w:vAlign w:val="bottom"/>
            <w:gridSpan w:val="3"/>
          </w:tcPr>
          <w:p>
            <w:pPr>
              <w:spacing w:after="0"/>
              <w:rPr>
                <w:sz w:val="20"/>
                <w:szCs w:val="20"/>
                <w:color w:val="auto"/>
              </w:rPr>
            </w:pPr>
          </w:p>
        </w:tc>
        <w:tc>
          <w:tcPr>
            <w:tcW w:w="6080" w:type="dxa"/>
            <w:vAlign w:val="bottom"/>
            <w:gridSpan w:val="3"/>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35">
              <w:r>
                <w:rPr>
                  <w:rFonts w:ascii="Arial" w:cs="Arial" w:eastAsia="Arial" w:hAnsi="Arial"/>
                  <w:sz w:val="18"/>
                  <w:szCs w:val="18"/>
                  <w:color w:val="0000EE"/>
                </w:rPr>
                <w:t>130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720" w:type="dxa"/>
            <w:vAlign w:val="bottom"/>
            <w:gridSpan w:val="14"/>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Description of Capital Stock</w:t>
              </w:r>
            </w:hyperlink>
          </w:p>
        </w:tc>
        <w:tc>
          <w:tcPr>
            <w:tcW w:w="7640" w:type="dxa"/>
            <w:vAlign w:val="bottom"/>
            <w:gridSpan w:val="6"/>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41">
              <w:r>
                <w:rPr>
                  <w:rFonts w:ascii="Arial" w:cs="Arial" w:eastAsia="Arial" w:hAnsi="Arial"/>
                  <w:sz w:val="18"/>
                  <w:szCs w:val="18"/>
                  <w:color w:val="0000EE"/>
                </w:rPr>
                <w:t>136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500" w:type="dxa"/>
            <w:vAlign w:val="bottom"/>
            <w:gridSpan w:val="13"/>
          </w:tcPr>
          <w:p>
            <w:pPr>
              <w:spacing w:after="0"/>
              <w:rPr>
                <w:rFonts w:ascii="Arial" w:cs="Arial" w:eastAsia="Arial" w:hAnsi="Arial"/>
                <w:sz w:val="18"/>
                <w:szCs w:val="18"/>
                <w:color w:val="0000EE"/>
                <w:w w:val="99"/>
              </w:rPr>
            </w:pPr>
            <w:hyperlink w:anchor="page148">
              <w:r>
                <w:rPr>
                  <w:rFonts w:ascii="Arial" w:cs="Arial" w:eastAsia="Arial" w:hAnsi="Arial"/>
                  <w:sz w:val="18"/>
                  <w:szCs w:val="18"/>
                  <w:color w:val="0000EE"/>
                  <w:w w:val="99"/>
                </w:rPr>
                <w:t>Shares Eligible For Future Sale</w:t>
              </w:r>
            </w:hyperlink>
          </w:p>
        </w:tc>
        <w:tc>
          <w:tcPr>
            <w:tcW w:w="7860" w:type="dxa"/>
            <w:vAlign w:val="bottom"/>
            <w:gridSpan w:val="7"/>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48">
              <w:r>
                <w:rPr>
                  <w:rFonts w:ascii="Arial" w:cs="Arial" w:eastAsia="Arial" w:hAnsi="Arial"/>
                  <w:sz w:val="18"/>
                  <w:szCs w:val="18"/>
                  <w:color w:val="0000EE"/>
                </w:rPr>
                <w:t>143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120" w:type="dxa"/>
            <w:vAlign w:val="bottom"/>
            <w:gridSpan w:val="19"/>
          </w:tcPr>
          <w:p>
            <w:pPr>
              <w:spacing w:after="0"/>
              <w:rPr>
                <w:rFonts w:ascii="Arial" w:cs="Arial" w:eastAsia="Arial" w:hAnsi="Arial"/>
                <w:sz w:val="18"/>
                <w:szCs w:val="18"/>
                <w:color w:val="0000EE"/>
                <w:w w:val="99"/>
              </w:rPr>
            </w:pPr>
            <w:hyperlink w:anchor="page151">
              <w:r>
                <w:rPr>
                  <w:rFonts w:ascii="Arial" w:cs="Arial" w:eastAsia="Arial" w:hAnsi="Arial"/>
                  <w:sz w:val="18"/>
                  <w:szCs w:val="18"/>
                  <w:color w:val="0000EE"/>
                  <w:w w:val="99"/>
                </w:rPr>
                <w:t>Material U.S. Federal Income Tax Considerations for Non-U.S. Holders of Common Stock</w:t>
              </w:r>
            </w:hyperlink>
          </w:p>
        </w:tc>
        <w:tc>
          <w:tcPr>
            <w:tcW w:w="3240" w:type="dxa"/>
            <w:vAlign w:val="bottom"/>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51">
              <w:r>
                <w:rPr>
                  <w:rFonts w:ascii="Arial" w:cs="Arial" w:eastAsia="Arial" w:hAnsi="Arial"/>
                  <w:sz w:val="18"/>
                  <w:szCs w:val="18"/>
                  <w:color w:val="0000EE"/>
                </w:rPr>
                <w:t>146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120" w:type="dxa"/>
            <w:vAlign w:val="bottom"/>
            <w:gridSpan w:val="19"/>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Underwriting</w:t>
              </w:r>
            </w:hyperlink>
          </w:p>
        </w:tc>
        <w:tc>
          <w:tcPr>
            <w:tcW w:w="3240" w:type="dxa"/>
            <w:vAlign w:val="bottom"/>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56">
              <w:r>
                <w:rPr>
                  <w:rFonts w:ascii="Arial" w:cs="Arial" w:eastAsia="Arial" w:hAnsi="Arial"/>
                  <w:sz w:val="18"/>
                  <w:szCs w:val="18"/>
                  <w:color w:val="0000EE"/>
                </w:rPr>
                <w:t>151</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Legal Matters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67">
              <w:r>
                <w:rPr>
                  <w:rFonts w:ascii="Arial" w:cs="Arial" w:eastAsia="Arial" w:hAnsi="Arial"/>
                  <w:sz w:val="18"/>
                  <w:szCs w:val="18"/>
                  <w:color w:val="0000EE"/>
                </w:rPr>
                <w:t>162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Experts</w:t>
              </w:r>
            </w:hyperlink>
          </w:p>
        </w:tc>
        <w:tc>
          <w:tcPr>
            <w:tcW w:w="9280" w:type="dxa"/>
            <w:vAlign w:val="bottom"/>
            <w:gridSpan w:val="16"/>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67">
              <w:r>
                <w:rPr>
                  <w:rFonts w:ascii="Arial" w:cs="Arial" w:eastAsia="Arial" w:hAnsi="Arial"/>
                  <w:sz w:val="18"/>
                  <w:szCs w:val="18"/>
                  <w:color w:val="0000EE"/>
                </w:rPr>
                <w:t>162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0"/>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Where You Can Find More Information</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67">
              <w:r>
                <w:rPr>
                  <w:rFonts w:ascii="Arial" w:cs="Arial" w:eastAsia="Arial" w:hAnsi="Arial"/>
                  <w:sz w:val="18"/>
                  <w:szCs w:val="18"/>
                  <w:color w:val="0000EE"/>
                </w:rPr>
                <w:t>162</w:t>
              </w:r>
            </w:hyperlink>
          </w:p>
        </w:tc>
      </w:tr>
      <w:tr>
        <w:trPr>
          <w:trHeight w:val="237"/>
        </w:trPr>
        <w:tc>
          <w:tcPr>
            <w:tcW w:w="3060" w:type="dxa"/>
            <w:vAlign w:val="bottom"/>
            <w:tcBorders>
              <w:top w:val="single" w:sz="8" w:color="0000EE"/>
            </w:tcBorders>
            <w:gridSpan w:val="15"/>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Index to Financial Statements</w:t>
              </w:r>
            </w:hyperlink>
          </w:p>
        </w:tc>
        <w:tc>
          <w:tcPr>
            <w:tcW w:w="7300" w:type="dxa"/>
            <w:vAlign w:val="bottom"/>
            <w:gridSpan w:val="5"/>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F-1</w:t>
              </w:r>
            </w:hyperlink>
          </w:p>
        </w:tc>
        <w:tc>
          <w:tcPr>
            <w:tcW w:w="2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the selling stockholders and the underwriters have not authorized anyone to provide any information or to make any representations other than those contained in this prospectus or in any free writing prospectuses we have prepared. We, the selling stockholders and the underwriters do not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For investors outside of the United States: We, the selling stockholders and the underwriters have not done anything that would permit this offering or possession or distribution of this prospectus in any jurisdiction where action for that purpose is required, other than in the United States. You are required to inform yourself about, and to observe any restrictions relating to, this offering and the distribution of this prospectus outside of the United States.</w:t>
      </w:r>
    </w:p>
    <w:p>
      <w:pPr>
        <w:sectPr>
          <w:pgSz w:w="11900" w:h="16838" w:orient="portrait"/>
          <w:cols w:equalWidth="0" w:num="1">
            <w:col w:w="11420"/>
          </w:cols>
          <w:pgMar w:left="240" w:top="859"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INDUSTRY AND MARKET DATA</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products. The number of retail and restaurant and food service outlets are derived from data from June and July 2019. Some market data and statistical information contained in this prospectus are also based on management’s estimates and calculations, which are derived from our review and interpretation of the independent sources listed below, our internal research and knowledge of the meat industry and plant-based protein market. This information involves a number of assumptions and limitations, and you are cautioned not to give undue weight to these estimates. In addition, projections, assumptions and estimates of the future performance of the industry in which we operate and our future performance are necessarily subject to uncertainty and risk due to a variety of factors, including those described in the sections titled “Risk Factors” and “Cautionary Note Regarding Forward-Looking Statements.” These and other factors could cause results to differ materially from those expressed in the projections and estimates made by the independent third parties and us.</w:t>
      </w:r>
    </w:p>
    <w:p>
      <w:pPr>
        <w:spacing w:after="0" w:line="15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5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Fitch Solutions Macro Research, a division of Fitch Solutions (“Fitch Research”), research data, August 6,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Fitch Research, research data, August 13,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Mintel Group Ltd., US Non-Dairy Milk Market Report, September 2017 (the “Mintel Report”);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World Resources Institute, Creating a Sustainable Food Future, 2013 (the “WRI Report”);</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Organisation for Economic Cooperation and Development (“OECD”), Meat consumption (indicator). doi: 10.1787/fa290fd0-en (Accessed on 13 October 2018);</w:t>
      </w:r>
    </w:p>
    <w:p>
      <w:pPr>
        <w:spacing w:after="0" w:line="142"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World Health Organization (“WHO”), Q&amp;A on the carcinogenicity of the consumption of red meat and processed meat, October 2015;</w:t>
      </w:r>
    </w:p>
    <w:p>
      <w:pPr>
        <w:spacing w:after="0" w:line="142"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Climate Change 2014: Synthesis Report. Contribution of Working Groups I, II and III to the Fifth Assessment Report of the Intergovernmental Panel on Climate Change (Core Writing Team, R.K. Pachauri and L.A. Meyer (eds.)). Intergovernmental Panel on Climate Change (“IPCC”), Geneva, Switzerland, 151 pp. (the “IPCC Report”);</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Livestock’s Long Shadow-Environmental Issues and Options, Food and Agriculture Organization (“FAO”), 2006;</w:t>
      </w:r>
    </w:p>
    <w:p>
      <w:pPr>
        <w:spacing w:after="0" w:line="171" w:lineRule="exact"/>
        <w:rPr>
          <w:rFonts w:ascii="Arial" w:cs="Arial" w:eastAsia="Arial" w:hAnsi="Arial"/>
          <w:sz w:val="18"/>
          <w:szCs w:val="18"/>
          <w:color w:val="auto"/>
        </w:rPr>
      </w:pPr>
    </w:p>
    <w:p>
      <w:pPr>
        <w:ind w:left="660" w:right="48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Key, Timothy J. et al., Diet, nutrition and the prevention of cancer, Scientific background papers of the joint WHO/FAO expert consultation, Geneva, 28 January - 1 February 2002, Public Health Nutrition, Vol 7, No. 1(A), Supplement 1001, February 2004;</w:t>
      </w:r>
    </w:p>
    <w:p>
      <w:pPr>
        <w:spacing w:after="0" w:line="1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Plant Based Foods Association, 2018 Retail Sales Data for Plant-Based Foods (the “PBFA Report”);</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Plant Based Diet Associated with Less Heart Failure Risk Report, presented at the American Heart Association scientific meeting, November 13, 2017;</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Bureau of Labor Statistics, Unemployment Rate for Columbia, Missouri (April 2019);</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40" w:top="468" w:right="379" w:bottom="1440" w:gutter="0" w:footer="0" w:header="0"/>
        </w:sectPr>
      </w:pPr>
    </w:p>
    <w:bookmarkStart w:id="4" w:name="page5"/>
    <w:bookmarkEnd w:id="4"/>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Heller, Martin C. and Keoleian, Gregory A. (2018) “Beyond Meat’s Beyond Burger Life Cycle Assessment: A detailed comparison</w:t>
      </w:r>
    </w:p>
    <w:p>
      <w:pPr>
        <w:spacing w:after="0" w:line="9"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between a plant-based and an animal-based protein source.” CSS Report no.18-10, University of Michigan: Ann Arbor 1-38; and</w:t>
      </w:r>
    </w:p>
    <w:p>
      <w:pPr>
        <w:spacing w:after="0" w:line="171" w:lineRule="exact"/>
        <w:rPr>
          <w:rFonts w:ascii="Arial" w:cs="Arial" w:eastAsia="Arial" w:hAnsi="Arial"/>
          <w:sz w:val="18"/>
          <w:szCs w:val="18"/>
          <w:color w:val="auto"/>
        </w:rPr>
      </w:pPr>
    </w:p>
    <w:p>
      <w:pPr>
        <w:ind w:left="328" w:hanging="328"/>
        <w:spacing w:after="0" w:line="256"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Reprinted from Water Resources and Industry, Volumes 1–2, March–June 2013, P.W. Gerbens-Leenes, M.M. Mekonnen, A.Y. Hoekstra, The water footprint of poultry, pork and beef: A comparative study in different countries and production systems, Page No. 26, Copyright (2013), with permission from Elsevier (the “WRI Water Report”).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28"/>
          </w:cols>
          <w:pgMar w:left="572" w:top="382"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198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198995"/>
                    </a:xfrm>
                    <a:prstGeom prst="rect">
                      <a:avLst/>
                    </a:prstGeom>
                    <a:noFill/>
                  </pic:spPr>
                </pic:pic>
              </a:graphicData>
            </a:graphic>
          </wp:anchor>
        </w:drawing>
        <w:t>PROSPECTUS SUMMARY</w:t>
      </w:r>
    </w:p>
    <w:p>
      <w:pPr>
        <w:spacing w:after="0" w:line="175" w:lineRule="exact"/>
        <w:rPr>
          <w:sz w:val="20"/>
          <w:szCs w:val="20"/>
          <w:color w:val="auto"/>
        </w:rPr>
      </w:pPr>
    </w:p>
    <w:p>
      <w:pPr>
        <w:ind w:right="320" w:firstLine="324"/>
        <w:spacing w:after="0" w:line="258" w:lineRule="auto"/>
        <w:rPr>
          <w:sz w:val="20"/>
          <w:szCs w:val="20"/>
          <w:color w:val="auto"/>
        </w:rPr>
      </w:pPr>
      <w:r>
        <w:rPr>
          <w:rFonts w:ascii="Arial" w:cs="Arial" w:eastAsia="Arial" w:hAnsi="Arial"/>
          <w:sz w:val="18"/>
          <w:szCs w:val="18"/>
          <w:i w:val="1"/>
          <w:iCs w:val="1"/>
          <w:color w:val="auto"/>
        </w:rPr>
        <w:t>This summary highlights certain significant aspects of our business and this offering and is a summary of information contained elsewhere in this prospectus. This summary does not contain all the information that you should consider before deciding to invest in our common stock. You should read the entire prospectus carefully, including “Risk Factors,” “Management’s Discussion and Analysis of Financial Condition and Results of Operations,” “Business” and our financial statements and related notes thereto included in this prospectus, before making an investment decision.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our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We create our plant-based products using proprietary scientific processes that determine the architecture of the animal-based meat we are seeking to replicate and then we assemble it using plant-derived amino acids, lipids, trace minerals and water. We are focused on continually improving our products so that they are, to the human sensory system, indistinguishable from their animal-based counterparts.</w:t>
      </w:r>
    </w:p>
    <w:p>
      <w:pPr>
        <w:spacing w:after="0" w:line="15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flagship product is the Beyond Burger, the world’s first 100% plant-based burger merchandised in the meat case of grocery stores. The Beyond Burger is designed to look, cook and taste like traditional ground beef. Our products are currently available in approximately 53,000 points of distribution primarily in the United States and Canada as well as several other countries, across mainstream grocery, mass merchandiser and natural retailer channels, and various food-away-from-home channels, including restaurants, foodservice outlets and schools. We enjoy a strong base of well-known retail and foodservice customers that continues to grow.</w:t>
      </w:r>
    </w:p>
    <w:p>
      <w:pPr>
        <w:spacing w:after="0" w:line="15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continue to experience strong sales growth over prior periods. Net revenues increased from $16.2 million in 2016 to $32.6 million in 2017 and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six months ended June 30, 2018, our net revenues were $30.1 million compared to $107.5 million for the six months ended June 29, 2019. We have generated losses since inception. Net loss in 2016, 2017 and 2018 was $ 25.1 million, $30.4 million and $29.9 million, respectively, and $16.1 million for the six months ended June 29, 2019 compared to $13.1 million for the six months ended June 30, 2018, as we invested in innovation and growth of our business. Going forward, we intend to continue to invest in innovation, supply chain capabilities, manufacturing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40"/>
          </w:cols>
          <w:pgMar w:left="920" w:top="967" w:right="939" w:bottom="1440" w:gutter="0" w:footer="0" w:header="0"/>
        </w:sectPr>
      </w:pPr>
    </w:p>
    <w:bookmarkStart w:id="6" w:name="page7"/>
    <w:bookmarkEnd w:id="6"/>
    <w:p>
      <w:pPr>
        <w:ind w:right="1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233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7233285"/>
                    </a:xfrm>
                    <a:prstGeom prst="rect">
                      <a:avLst/>
                    </a:prstGeom>
                    <a:noFill/>
                  </pic:spPr>
                </pic:pic>
              </a:graphicData>
            </a:graphic>
          </wp:anchor>
        </w:drawing>
        <w:t>marketing initiatives as we believe the demand for our products will continue to accelerate across both retail and foodservice channels as well as internationally.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Beyond Meat Strategic Difference</w:t>
      </w:r>
    </w:p>
    <w:p>
      <w:pPr>
        <w:spacing w:after="0" w:line="279"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Product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texture and aroma as the animal-based meats we seek to replicate. In our Manhattan Beach Project Innovation Center, our scientists and engineers continuously improve our products to replicate the sensory experience of animal-based meat. Through our investment in innovation, we have grown our portfolio to include new products across our platforms including Beyond Beef and Beyond Breakfast Sausage, as well as a new version of the flagship Beyond Burger, designed to have a meatier taste and texture. Each product is designed to not only closely replicate the taste and sensory experience of its animal protein equivalent, but to also provide the nutritional and environmental benefits of plant-based meat.</w:t>
      </w:r>
    </w:p>
    <w:p>
      <w:pPr>
        <w:spacing w:after="0" w:line="239"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Market</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curious and enthusiastic pull from mainstream consumers for delicious and satisfying yet better-for-you plant-based meats. At one of the nation’s largest conventional grocers, Kroger, 93% of Beyond Burger buyers over the 26-week period ended June 30, 2018 also purchased animal protein during the same period, which evidences Beyond Meat’s appeal to meat-loving consumers.</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Instead of marketing and merchandising the Beyond Burger to vegans and vegetarians (who represent less than 5% of the U.S. population), we request that the product be sold in the meat case at grocery retailers, where meat-loving consumers are accustomed to shopping for center-of-plate proteins. We believe merchandising in the meat case in the retail channel has helped drive greater brand awareness with our end consumers. The Beyond Burger is now carried by all of our approximately 20,000 grocery store customers across the United States and approximately 1,000 grocery store customers in Canada.</w:t>
      </w:r>
    </w:p>
    <w:p>
      <w:pPr>
        <w:spacing w:after="0" w:line="1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Reflecting the strength and value of the Beyond Meat brand to its partners, many of our restaurant, hotel and other foodservice customers choose to prominently feature our brand name on their menu and within item descriptions, in addition to displaying Beyond Meat branded signage throughout their venue. We believe that we have established our brand as one with “halo” benefits to our partners, as evidenced by the speed of adoption by key partners. For example, Beyond Meat was one of the fastest product launches in Del Taco’s history, with the brand selling more than 2 million Beyond Tacos in the first two months of the partnership. It was also the fastest new-product launch in the history of both A&amp;W Canada and TGI Fridays. Our products are now carried by approximately 25,000 restaurant and foodservice outlets across the United States and Canada.</w:t>
      </w:r>
    </w:p>
    <w:p>
      <w:pPr>
        <w:spacing w:after="0" w:line="14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recent expansion in Canada in both retail and with key foodservice customers such as Tim Hortons illustrates the growing international demand for our products. We launched in Europe in August 2018 through contracts with three major distributors and have also received strong expressions of interest from some of Europe’s largest grocery and restaurant chains. In the second quarter of 2019, we expanded our international retail presence with distribution at several retail chains throughout Europe, including Albert Heijn, Delhaize, Metro and Rema 1000. In May 2019, we expanded our partnership with a distributor to produce our innovative plant-based meats at a new manufacturing facility being constructed by this distributor in the Netherlands. Upon completion of the facility, which is expected in the first quarter of 2020, the manufacturing partnership will mark our first co-manufacturing capability outside the United States. Additionally, for several years we have maintained a presence and generated brand awareness in Hong Kong through our local distributor and expect further expansion in Asia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60"/>
          </w:cols>
          <w:pgMar w:left="920" w:top="881" w:right="919" w:bottom="1440" w:gutter="0" w:footer="0" w:header="0"/>
        </w:sectPr>
      </w:pPr>
    </w:p>
    <w:bookmarkStart w:id="7" w:name="page8"/>
    <w:bookmarkEnd w:id="7"/>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05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405370"/>
                    </a:xfrm>
                    <a:prstGeom prst="rect">
                      <a:avLst/>
                    </a:prstGeom>
                    <a:noFill/>
                  </pic:spPr>
                </pic:pic>
              </a:graphicData>
            </a:graphic>
          </wp:anchor>
        </w:drawing>
        <w:t>Unique Approach to Our Brand</w:t>
      </w:r>
    </w:p>
    <w:p>
      <w:pPr>
        <w:spacing w:after="0" w:line="193" w:lineRule="exact"/>
        <w:rPr>
          <w:sz w:val="20"/>
          <w:szCs w:val="20"/>
          <w:color w:val="auto"/>
        </w:rPr>
      </w:pPr>
    </w:p>
    <w:p>
      <w:pPr>
        <w:ind w:right="200" w:firstLine="324"/>
        <w:spacing w:after="0" w:line="250"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Consumers and the media are enthusiastic about the concept of an authentically meaty tasting plant-based burger and drove more than</w:t>
      </w:r>
    </w:p>
    <w:p>
      <w:pPr>
        <w:spacing w:after="0" w:line="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4.0 billion earned media impressions in 2017, 9.9 billion earned media impressions in 2018, and 21 billion earned media impressions from January to July 2019. See “Business—The Beyond Meat Strategic Difference—Unique Approach to Our Brand” for more information on “earned media impressions” and the limitations of this metric.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believe that consumer awareness of the perceived negative health, environmental and animal-welfare impacts of animal-based meat consumption has resulted in a surge in demand for viable plant-based protein alternatives. A key analogy for both the approach to and the scale of our opportunity is the strategy by which the plant-based dairy industry captured significant market share of the dairy industry. In the United States, the current size of the non-dairy milk category is equivalent to approximately 13% of the size of the dairy milk category. According to the Mintel Report, the non-dairy milk category in the United States was estimated to be approximately $2 billion in 2017. The success of the plant-based dairy industry was based on a strategy of creating plant-based dairy products that tasted better than previous non-dairy substitutes, packaged and merchandised adjacent to their dairy equivalents. We believe that by applying the same strategy to the plant-based meat category, it can grow to be at least the same proportion of the approximately $270 billion meat category in the United States, which over time would represent a category size of $35 billion in the United States alone. As a market leader in the plant-based meats category, we believe we are well-positioned to capture and drive a significant amount of this category growth. We also believe there is a significant international market opportunity for our products.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believe that the following strengths position us to generate significant growth and pursue our objective to become a leader in the global meat industry.</w:t>
      </w:r>
    </w:p>
    <w:p>
      <w:pPr>
        <w:spacing w:after="0" w:line="12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b w:val="1"/>
          <w:bCs w:val="1"/>
          <w:i w:val="1"/>
          <w:iCs w:val="1"/>
          <w:color w:val="auto"/>
        </w:rPr>
        <w:t xml:space="preserve">Dedicated Focus on Innovation. </w:t>
      </w:r>
      <w:r>
        <w:rPr>
          <w:rFonts w:ascii="Arial" w:cs="Arial" w:eastAsia="Arial" w:hAnsi="Arial"/>
          <w:sz w:val="18"/>
          <w:szCs w:val="18"/>
          <w:color w:val="auto"/>
        </w:rPr>
        <w:t>We invest significant resources in our innovation capabilities to develop plant-based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meat alternatives to popular animal-based meat products. Our innovation team, comprised of approximately 71 scientists, engineers, researchers, technicians and chefs, as of June 29, 2019, has delivered several unique plant-based meat breakthroughs, as well as continuous improvements to existing products. We are able to leverage what we learn about taste, texture and aroma across our platform and apply this knowledge to each of our product offerings. In addition, in July 2018, we opened our 30,000-square-foot Manhattan Beach Project Innovation Center in El Segundo, California, which is 10 times the size of our previous lab space. In our new innovation center, we have a strong pipeline of products in development and can more rapidly transition our research from benchtop to scaled production. As our knowledge and expertise deepens, our pace of innovation is accelerating, allowing for reduced time between new product launches. After introducing a new version of the Beyond Burger in restaurants in the first half of 2019, we further advanced the product and launched this newer version, designed to have an even meatier taste and texture, at retailers across the U.S. in June 2019. In tandem with this launch, we unveiled Beyond Beef, a bulk plant-based ground meat, to select retailers nationwide,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60"/>
          </w:cols>
          <w:pgMar w:left="920" w:top="967" w:right="919" w:bottom="1440" w:gutter="0" w:footer="0" w:header="0"/>
        </w:sectPr>
      </w:pPr>
    </w:p>
    <w:bookmarkStart w:id="8" w:name="page9"/>
    <w:bookmarkEnd w:id="8"/>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05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7405370"/>
                    </a:xfrm>
                    <a:prstGeom prst="rect">
                      <a:avLst/>
                    </a:prstGeom>
                    <a:noFill/>
                  </pic:spPr>
                </pic:pic>
              </a:graphicData>
            </a:graphic>
          </wp:anchor>
        </w:drawing>
        <w:t>including Kroger, Whole Foods Market, Sprouts, Wegmans, Jewel-Osco and Harris Teeter. We expect this faster pace of product introductions and meaningful enhancements to existing products to continue as we innovate within our core plant-based platforms of beef, pork and poultry.</w:t>
      </w:r>
    </w:p>
    <w:p>
      <w:pPr>
        <w:spacing w:after="0" w:line="12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Brand Mission Aligned with Consumer Trends. </w:t>
      </w:r>
      <w:r>
        <w:rPr>
          <w:rFonts w:ascii="Arial" w:cs="Arial" w:eastAsia="Arial" w:hAnsi="Arial"/>
          <w:sz w:val="18"/>
          <w:szCs w:val="18"/>
          <w:color w:val="auto"/>
        </w:rPr>
        <w:t>Our brand is uniquely positioned to capitalize on growing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great-tasting, nutritious, convenient, higher protein content and plant-based foods. We have also tapped into growing public awareness of major issues connected to animal protein, including human health, climate change, resource conservation and animal welfare. Simply put, our products aim to enable consumers to “Eat What You Love” without the downsides of conventional animal protein. We have built a powerful brand with broad demographic appeal and a passionate consumer base. Our brand awareness is driven by strong social marketing, with over 1.5 million combined social media and newsletter followers as of July 2019, more than 9.9 billion earned media impressions in 2018 and 21 billion earned media impressions from January to July 2019. Our audience continues to grow from the attention generated by our large following of celebrities, influencers and brand ambassadors who identify with our mission.</w:t>
      </w:r>
    </w:p>
    <w:p>
      <w:pPr>
        <w:spacing w:after="0" w:line="1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Product Portfolio Generates Significant Demand from Retail and Restaurant Customers. </w:t>
      </w:r>
      <w:r>
        <w:rPr>
          <w:rFonts w:ascii="Arial" w:cs="Arial" w:eastAsia="Arial" w:hAnsi="Arial"/>
          <w:sz w:val="18"/>
          <w:szCs w:val="18"/>
          <w:color w:val="auto"/>
        </w:rPr>
        <w:t>Rapidly growing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products by both our retail and restaurant partners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 Our restaurant customers are excited by the opportunity to differentiate their menu offering and attract new customers by partnering with Beyond Meat, and are seeking new ways to further promote our product. In the first half of 2019 both Carl’s Jr. and Del Taco ran mass media advertising campaigns inclusive of TV, radio, out of home and digital channels. We believe their choice to feature the Beyond Burger demonstrates the marketing power of our brand and overall consumer excitement for our product.</w:t>
      </w:r>
    </w:p>
    <w:p>
      <w:pPr>
        <w:spacing w:after="0" w:line="12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i w:val="1"/>
          <w:iCs w:val="1"/>
          <w:color w:val="auto"/>
        </w:rPr>
        <w:t xml:space="preserve">Experienced and Passionate Executive Management Team. </w:t>
      </w:r>
      <w:r>
        <w:rPr>
          <w:rFonts w:ascii="Arial" w:cs="Arial" w:eastAsia="Arial" w:hAnsi="Arial"/>
          <w:sz w:val="18"/>
          <w:szCs w:val="18"/>
          <w:color w:val="auto"/>
        </w:rPr>
        <w:t>We are led by a proven and experienced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Ethan Brown, our founder, President and Chief Executive Officer, has significant experience in clean tech and a natural appreciation for animal agriculture. Seth Goldman, our Executive Chair, has extensive experience working at fast-growing brands in the food and beverage industry. The other members of our executive management team have an average of 21 years of industry experience, having driven growth at both consumer packaged goods companies and high growth businesses. We believe this blend of talent gives us tremendous insights and capabilities to create demand and fulfill it in a scalable, profitable and sustainable way.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ind w:right="340" w:firstLine="324"/>
        <w:spacing w:after="0" w:line="269" w:lineRule="auto"/>
        <w:rPr>
          <w:sz w:val="20"/>
          <w:szCs w:val="20"/>
          <w:color w:val="auto"/>
        </w:rPr>
      </w:pPr>
      <w:r>
        <w:rPr>
          <w:rFonts w:ascii="Arial" w:cs="Arial" w:eastAsia="Arial" w:hAnsi="Arial"/>
          <w:sz w:val="18"/>
          <w:szCs w:val="18"/>
          <w:b w:val="1"/>
          <w:bCs w:val="1"/>
          <w:i w:val="1"/>
          <w:iCs w:val="1"/>
          <w:color w:val="auto"/>
        </w:rPr>
        <w:t xml:space="preserve">Pursue Top-line Growth Across our Distribution Channels. </w:t>
      </w:r>
      <w:r>
        <w:rPr>
          <w:rFonts w:ascii="Arial" w:cs="Arial" w:eastAsia="Arial" w:hAnsi="Arial"/>
          <w:sz w:val="18"/>
          <w:szCs w:val="18"/>
          <w:color w:val="auto"/>
        </w:rPr>
        <w:t>We believe there is a significant opportunity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Meat well beyond our current retail and restaurant and foodservice footprint of approximately 53,000 points of distribution across the United States and abroad.</w:t>
      </w:r>
    </w:p>
    <w:p>
      <w:pPr>
        <w:spacing w:after="0" w:line="118" w:lineRule="exact"/>
        <w:rPr>
          <w:sz w:val="20"/>
          <w:szCs w:val="20"/>
          <w:color w:val="auto"/>
        </w:rPr>
      </w:pPr>
    </w:p>
    <w:p>
      <w:pPr>
        <w:ind w:left="640" w:hanging="322"/>
        <w:spacing w:after="0" w:line="25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Retail: </w:t>
      </w:r>
      <w:r>
        <w:rPr>
          <w:rFonts w:ascii="Arial" w:cs="Arial" w:eastAsia="Arial" w:hAnsi="Arial"/>
          <w:sz w:val="18"/>
          <w:szCs w:val="18"/>
          <w:color w:val="auto"/>
        </w:rPr>
        <w:t>We have a significant opportunity to grow our sales within U.S. retail by focusing on increasing sales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points of distribution, as well as increasing sales of new products. We also expect to grow our U.S. retail distribution by establishing commercial relationships with new customers. In March 2019, we introduced Beyond Beef, which is designed to have the meaty taste and texture, and replicate the versatility, of ground beef. In May 2019, we began selling the Beyond Burger in retail stores across Canada. In June 2019, we introduced the new Beyond Burger and Beyond Beef at retailers across the U.S.</w:t>
      </w:r>
    </w:p>
    <w:p>
      <w:pPr>
        <w:spacing w:after="0" w:line="128" w:lineRule="exact"/>
        <w:rPr>
          <w:rFonts w:ascii="Arial" w:cs="Arial" w:eastAsia="Arial" w:hAnsi="Arial"/>
          <w:sz w:val="18"/>
          <w:szCs w:val="18"/>
          <w:color w:val="auto"/>
        </w:rPr>
      </w:pPr>
    </w:p>
    <w:p>
      <w:pPr>
        <w:ind w:left="640" w:right="120" w:hanging="322"/>
        <w:spacing w:after="0" w:line="26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Restaurant and Foodservice: </w:t>
      </w:r>
      <w:r>
        <w:rPr>
          <w:rFonts w:ascii="Arial" w:cs="Arial" w:eastAsia="Arial" w:hAnsi="Arial"/>
          <w:sz w:val="18"/>
          <w:szCs w:val="18"/>
          <w:color w:val="auto"/>
        </w:rPr>
        <w:t>The Beyond Burger is currently being served in approximately 17,000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outlets in the United States and Canada. After first launching the Beyond Burger on-menu in 2018, A&amp;W Canada expanded their Beyond Meat menu offerings in March 2019 with the addition of Beyond Breakfast Sausage. In addition, after the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20"/>
          </w:cols>
          <w:pgMar w:left="920" w:top="881" w:right="959" w:bottom="1440" w:gutter="0" w:footer="0" w:header="0"/>
        </w:sectPr>
      </w:pPr>
    </w:p>
    <w:bookmarkStart w:id="9" w:name="page10"/>
    <w:bookmarkEnd w:id="9"/>
    <w:p>
      <w:pPr>
        <w:ind w:left="640" w:right="20"/>
        <w:spacing w:after="0" w:line="29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1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7413625"/>
                    </a:xfrm>
                    <a:prstGeom prst="rect">
                      <a:avLst/>
                    </a:prstGeom>
                    <a:noFill/>
                  </pic:spPr>
                </pic:pic>
              </a:graphicData>
            </a:graphic>
          </wp:anchor>
        </w:drawing>
        <w:t>launch of the Beyond Tacos at Del Taco in April 2019, the brand announced a menu line extension for Beyond Burritos in June 2019. Also in that month, Tim Hortons added the Beyond Breakfast Sausage to its menus across Canada and in July 2019 announced it had expanded Beyond Meat offerings to include the Beyond Burger at its nearly 4,000 locations across Canada. On July 24, 2019, Dunkin’ announced that it is adding Beyond Breakfast Sausage to its menus at certain locations in Manhattan, New York on a limited, test basis. In addition, the Beyond Burger is currently being sold at more than 1,100 Carl’s Jr. locations nationwide. We plan to continue to aggressively expand our network of restaurant and foodservice partners.</w:t>
      </w:r>
    </w:p>
    <w:p>
      <w:pPr>
        <w:spacing w:after="0" w:line="108" w:lineRule="exact"/>
        <w:rPr>
          <w:sz w:val="20"/>
          <w:szCs w:val="20"/>
          <w:color w:val="auto"/>
        </w:rPr>
      </w:pPr>
    </w:p>
    <w:p>
      <w:pPr>
        <w:ind w:left="640" w:hanging="322"/>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believe there is significant demand for our products across the globe in retail and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channels. We launched in Europe in August 2018 through contracts with three major distributors. Our products are currently in approximately 5,000 international retail and foodservice outlets. We are increasing production for sales in Canada and Europe and have established and seek to establish additional relationships with distributors in other geographies for future expansion.</w:t>
      </w:r>
    </w:p>
    <w:p>
      <w:pPr>
        <w:spacing w:after="0" w:line="12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Invest in Infrastructure and Capabilities. </w:t>
      </w:r>
      <w:r>
        <w:rPr>
          <w:rFonts w:ascii="Arial" w:cs="Arial" w:eastAsia="Arial" w:hAnsi="Arial"/>
          <w:sz w:val="18"/>
          <w:szCs w:val="18"/>
          <w:color w:val="auto"/>
        </w:rPr>
        <w:t>We are committed to prioritizing investment in our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in order to support our strategic expansion plans. In 2018, we commenced production at a new state-of-the-art manufacturing facility and entered into relationships with several co-manufacturers to significantly increase our production capacity. In the first quarter of 2019, our monthly production capacity was triple our monthly capacity at the end of the second quarter of 2018.</w:t>
      </w:r>
    </w:p>
    <w:p>
      <w:pPr>
        <w:spacing w:after="0" w:line="14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plans to unlock additional capacity both domestically and internationally. For example, in May 2019, we expanded our partnership with a distributor to produce our innovative plant-based meats at a new manufacturing facility being constructed by this distributor in the Netherlands. Completion of the facility is expected in the first quarter of 2020. Additionally, we are continuing to hire experienced employees in our sales, marketing, operations, innovation and finance teams to support our rapid growth.</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Expand Our Product Offerings. </w:t>
      </w:r>
      <w:r>
        <w:rPr>
          <w:rFonts w:ascii="Arial" w:cs="Arial" w:eastAsia="Arial" w:hAnsi="Arial"/>
          <w:sz w:val="17"/>
          <w:szCs w:val="17"/>
          <w:color w:val="auto"/>
        </w:rPr>
        <w:t>The successes of the Beyond Burger and Beyond Sausage products have confirmed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belief that there is significant demand for additional plant-based meat products. We intend to strengthen our product offerings by improving the formulations for our existing portfolio of products, and by creating new products that expand the portfolio. We are continuously refining our products to improve their taste, texture and aroma. In addition, we are committed to increasing our investment in research and development to continue to innovate within our core plant-based platforms of beef, pork and poultry to create exciting new product lines and improve the formulations for our existing portfolio of products. In 2018, we developed a new version of the Beyond Burger with improved taste, texture and aroma attributes, which recently launched in retailers nationwide. In March 2019, we introduced Beyond Beef, which is designed to have the meaty taste and texture, and replicate the versatility, of ground beef. Also in March 2019, we launched the Beyond Sausage patty at A&amp;W (Canada). New product launches in the first half of 2019 include the new Beyond Burger, Beyond Beef and Beyond Breakfast Sausage.</w:t>
      </w:r>
    </w:p>
    <w:p>
      <w:pPr>
        <w:spacing w:after="0" w:line="116"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i w:val="1"/>
          <w:iCs w:val="1"/>
          <w:color w:val="auto"/>
        </w:rPr>
        <w:t xml:space="preserve">Continue to Grow Our Brand. </w:t>
      </w:r>
      <w:r>
        <w:rPr>
          <w:rFonts w:ascii="Arial" w:cs="Arial" w:eastAsia="Arial" w:hAnsi="Arial"/>
          <w:sz w:val="18"/>
          <w:szCs w:val="18"/>
          <w:color w:val="auto"/>
        </w:rPr>
        <w:t>We plan to continue to create relevant content with our network of celebrities, influencers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brand ambassadors, who have successfully built significant brand awareness for us by supporting our mission and products. We also intend to expand our field marketing efforts to sample products directly with consumers in stores and at relevant events.</w:t>
      </w:r>
    </w:p>
    <w:p>
      <w:pPr>
        <w:spacing w:after="0" w:line="12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Remain Mission Focused and True to Our Values. </w:t>
      </w:r>
      <w:r>
        <w:rPr>
          <w:rFonts w:ascii="Arial" w:cs="Arial" w:eastAsia="Arial" w:hAnsi="Arial"/>
          <w:sz w:val="18"/>
          <w:szCs w:val="18"/>
          <w:color w:val="auto"/>
        </w:rPr>
        <w:t>We are a mission-driven business with long-standing core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strive to operate in an honest, socially responsible and environmentally sustainable manner and are committed to help solve the major health and global environmental issues which we believe are caused by an animal -based protein diet and existing meat industry practices.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60"/>
          </w:cols>
          <w:pgMar w:left="920" w:top="908" w:right="9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611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7611110"/>
                    </a:xfrm>
                    <a:prstGeom prst="rect">
                      <a:avLst/>
                    </a:prstGeom>
                    <a:noFill/>
                  </pic:spPr>
                </pic:pic>
              </a:graphicData>
            </a:graphic>
          </wp:anchor>
        </w:drawing>
        <w:t>Risks Associated with Our Business</w:t>
      </w:r>
    </w:p>
    <w:p>
      <w:pPr>
        <w:spacing w:after="0" w:line="19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Investing in our common stock involves substantial risk. You should carefully consider all of the information in this prospectus prior to investing in our common stock. There are several risks related to our business that are described under “Risk Factors” elsewhere in this prospectus. Among these important risks are the following:</w:t>
      </w:r>
    </w:p>
    <w:p>
      <w:pPr>
        <w:spacing w:after="0" w:line="148" w:lineRule="exact"/>
        <w:rPr>
          <w:sz w:val="20"/>
          <w:szCs w:val="20"/>
          <w:color w:val="auto"/>
        </w:rPr>
      </w:pPr>
    </w:p>
    <w:p>
      <w:pPr>
        <w:ind w:left="640" w:right="20" w:hanging="322"/>
        <w:spacing w:after="0" w:line="291"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 history of losses, and we may be unable to achieve or sustain profitability. We have experienced net losses in each year since our inception and we may therefore not be able to achieve or sustain profitability in the future.</w:t>
      </w:r>
    </w:p>
    <w:p>
      <w:pPr>
        <w:spacing w:after="0" w:line="120" w:lineRule="exact"/>
        <w:rPr>
          <w:rFonts w:ascii="Arial" w:cs="Arial" w:eastAsia="Arial" w:hAnsi="Arial"/>
          <w:sz w:val="17"/>
          <w:szCs w:val="17"/>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share price has been and may continue to be highly volatile, and you could lose all or part of your investment.</w:t>
      </w:r>
    </w:p>
    <w:p>
      <w:pPr>
        <w:spacing w:after="0" w:line="171" w:lineRule="exact"/>
        <w:rPr>
          <w:rFonts w:ascii="Arial" w:cs="Arial" w:eastAsia="Arial" w:hAnsi="Arial"/>
          <w:sz w:val="18"/>
          <w:szCs w:val="18"/>
          <w:color w:val="auto"/>
        </w:rPr>
      </w:pPr>
    </w:p>
    <w:p>
      <w:pPr>
        <w:ind w:left="640" w:right="120" w:hanging="322"/>
        <w:spacing w:after="0" w:line="26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effectively expand our manufacturing and production capacity, our business and operating results and our brand reputation could be harmed.</w:t>
      </w:r>
    </w:p>
    <w:p>
      <w:pPr>
        <w:spacing w:after="0" w:line="142" w:lineRule="exact"/>
        <w:rPr>
          <w:rFonts w:ascii="Arial" w:cs="Arial" w:eastAsia="Arial" w:hAnsi="Arial"/>
          <w:sz w:val="18"/>
          <w:szCs w:val="18"/>
          <w:color w:val="auto"/>
        </w:rPr>
      </w:pPr>
    </w:p>
    <w:p>
      <w:pPr>
        <w:ind w:left="640" w:right="80" w:hanging="322"/>
        <w:spacing w:after="0" w:line="25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we rely on a limited number of raw materials to create our products and a limited number of third-party suppliers to supply our raw materials, we may not be able to obtain raw materials on a timely basis, at cost effective pricing or in sufficient quantities to produce our products and we may not be able to produce our products or meet the demand for our products.</w:t>
      </w:r>
    </w:p>
    <w:p>
      <w:pPr>
        <w:spacing w:after="0" w:line="150" w:lineRule="exact"/>
        <w:rPr>
          <w:rFonts w:ascii="Arial" w:cs="Arial" w:eastAsia="Arial" w:hAnsi="Arial"/>
          <w:sz w:val="18"/>
          <w:szCs w:val="18"/>
          <w:color w:val="auto"/>
        </w:rPr>
      </w:pPr>
    </w:p>
    <w:p>
      <w:pPr>
        <w:ind w:left="640" w:right="420" w:hanging="322"/>
        <w:spacing w:after="0" w:line="26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business, results of operations and financial condition may be adversely affected by reduced or limited availability of pea protein that meets our standards.</w:t>
      </w:r>
    </w:p>
    <w:p>
      <w:pPr>
        <w:spacing w:after="0" w:line="142" w:lineRule="exact"/>
        <w:rPr>
          <w:rFonts w:ascii="Arial" w:cs="Arial" w:eastAsia="Arial" w:hAnsi="Arial"/>
          <w:sz w:val="18"/>
          <w:szCs w:val="18"/>
          <w:color w:val="auto"/>
        </w:rPr>
      </w:pPr>
    </w:p>
    <w:p>
      <w:pPr>
        <w:ind w:left="640" w:right="200" w:hanging="322"/>
        <w:spacing w:after="0" w:line="25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use a limited number of distributors for the substantial majority of our sales, and if we experience the loss of one or more such distributors and cannot replace them in a timely manner or at all, our results of operations may be adversely affected.</w:t>
      </w:r>
    </w:p>
    <w:p>
      <w:pPr>
        <w:spacing w:after="0" w:line="147" w:lineRule="exact"/>
        <w:rPr>
          <w:rFonts w:ascii="Arial" w:cs="Arial" w:eastAsia="Arial" w:hAnsi="Arial"/>
          <w:sz w:val="18"/>
          <w:szCs w:val="18"/>
          <w:color w:val="auto"/>
        </w:rPr>
      </w:pPr>
    </w:p>
    <w:p>
      <w:pPr>
        <w:ind w:left="640" w:right="140" w:hanging="322"/>
        <w:spacing w:after="0" w:line="25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do not currently have any written contracts with co-manufacturers in the United States. The loss of these co-manufacturers or the inability of these co-manufacturers to fulfill our orders would adversely affect our ability to make timely deliveries of our products and would have a material adverse effect on our business.</w:t>
      </w:r>
    </w:p>
    <w:p>
      <w:pPr>
        <w:spacing w:after="0" w:line="147" w:lineRule="exact"/>
        <w:rPr>
          <w:rFonts w:ascii="Arial" w:cs="Arial" w:eastAsia="Arial" w:hAnsi="Arial"/>
          <w:sz w:val="18"/>
          <w:szCs w:val="18"/>
          <w:color w:val="auto"/>
        </w:rPr>
      </w:pPr>
    </w:p>
    <w:p>
      <w:pPr>
        <w:ind w:left="640" w:right="560" w:hanging="322"/>
        <w:spacing w:after="0" w:line="26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intense competition in our market from our competitors, including manufacturers of animal-based meat products and other brands that produce plant-based protein products.</w:t>
      </w:r>
    </w:p>
    <w:p>
      <w:pPr>
        <w:spacing w:after="0" w:line="142" w:lineRule="exact"/>
        <w:rPr>
          <w:rFonts w:ascii="Arial" w:cs="Arial" w:eastAsia="Arial" w:hAnsi="Arial"/>
          <w:sz w:val="18"/>
          <w:szCs w:val="18"/>
          <w:color w:val="auto"/>
        </w:rPr>
      </w:pPr>
    </w:p>
    <w:p>
      <w:pPr>
        <w:ind w:left="640" w:right="160" w:hanging="322"/>
        <w:spacing w:after="0" w:line="25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47" w:lineRule="exact"/>
        <w:rPr>
          <w:rFonts w:ascii="Arial" w:cs="Arial" w:eastAsia="Arial" w:hAnsi="Arial"/>
          <w:sz w:val="18"/>
          <w:szCs w:val="18"/>
          <w:color w:val="auto"/>
        </w:rPr>
      </w:pPr>
    </w:p>
    <w:p>
      <w:pPr>
        <w:ind w:left="640" w:right="60" w:hanging="322"/>
        <w:spacing w:after="0" w:line="26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brand and reputation may be diminished due to real or perceived quality or health issues with our products, which could have an adverse effect on our business, reputation, operating results and financial condition.</w:t>
      </w:r>
    </w:p>
    <w:p>
      <w:pPr>
        <w:spacing w:after="0" w:line="142"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revenue growth rate may slow over time and may not be indicative of future performance.</w:t>
      </w:r>
    </w:p>
    <w:p>
      <w:pPr>
        <w:spacing w:after="0" w:line="279" w:lineRule="exact"/>
        <w:rPr>
          <w:rFonts w:ascii="Arial" w:cs="Arial" w:eastAsia="Arial" w:hAnsi="Arial"/>
          <w:sz w:val="18"/>
          <w:szCs w:val="18"/>
          <w:color w:val="auto"/>
        </w:rPr>
      </w:pPr>
    </w:p>
    <w:p>
      <w:pPr>
        <w:jc w:val="both"/>
        <w:ind w:left="640" w:hanging="322"/>
        <w:spacing w:after="0" w:line="25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147" w:lineRule="exact"/>
        <w:rPr>
          <w:rFonts w:ascii="Arial" w:cs="Arial" w:eastAsia="Arial" w:hAnsi="Arial"/>
          <w:sz w:val="18"/>
          <w:szCs w:val="18"/>
          <w:color w:val="auto"/>
        </w:rPr>
      </w:pPr>
    </w:p>
    <w:p>
      <w:pPr>
        <w:ind w:left="640" w:right="140" w:hanging="322"/>
        <w:spacing w:after="0" w:line="25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147" w:lineRule="exact"/>
        <w:rPr>
          <w:rFonts w:ascii="Arial" w:cs="Arial" w:eastAsia="Arial" w:hAnsi="Arial"/>
          <w:sz w:val="18"/>
          <w:szCs w:val="18"/>
          <w:color w:val="auto"/>
        </w:rPr>
      </w:pPr>
    </w:p>
    <w:p>
      <w:pPr>
        <w:ind w:left="640" w:right="140" w:hanging="322"/>
        <w:spacing w:after="0" w:line="26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the Beyond Burger contribute a significant portion of our revenue. A reduction in sales of the Beyond Burger would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60"/>
          </w:cols>
          <w:pgMar w:left="920" w:top="967" w:right="919" w:bottom="1440" w:gutter="0" w:footer="0" w:header="0"/>
        </w:sectPr>
      </w:pPr>
    </w:p>
    <w:bookmarkStart w:id="11" w:name="page12"/>
    <w:bookmarkEnd w:id="11"/>
    <w:p>
      <w:pPr>
        <w:ind w:left="640" w:hanging="322"/>
        <w:spacing w:after="0" w:line="25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136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136005"/>
                    </a:xfrm>
                    <a:prstGeom prst="rect">
                      <a:avLst/>
                    </a:prstGeom>
                    <a:noFill/>
                  </pic:spPr>
                </pic:pic>
              </a:graphicData>
            </a:graphic>
          </wp:anchor>
        </w:drawing>
        <w:t>Failure to introduce new products or successfully improve existing products may adversely affect our ability to continue to grow. In addition, if we fail to cost-effectively acquire new customers or retain our existing customers, or if we fail to derive revenue from our existing customers consistent with our historical performance, our business could be materially adversely affected.</w:t>
      </w:r>
    </w:p>
    <w:p>
      <w:pPr>
        <w:spacing w:after="0" w:line="150" w:lineRule="exact"/>
        <w:rPr>
          <w:rFonts w:ascii="Arial" w:cs="Arial" w:eastAsia="Arial" w:hAnsi="Arial"/>
          <w:sz w:val="18"/>
          <w:szCs w:val="18"/>
          <w:color w:val="auto"/>
        </w:rPr>
      </w:pPr>
    </w:p>
    <w:p>
      <w:pPr>
        <w:ind w:left="640" w:right="300" w:hanging="322"/>
        <w:spacing w:after="0" w:line="26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manage our future growth effectively, our business could be materially adversely affected. We may also face difficulties as we expand our operations into countries in which we have no prior operating experience.</w:t>
      </w:r>
    </w:p>
    <w:p>
      <w:pPr>
        <w:spacing w:after="0" w:line="142" w:lineRule="exact"/>
        <w:rPr>
          <w:rFonts w:ascii="Arial" w:cs="Arial" w:eastAsia="Arial" w:hAnsi="Arial"/>
          <w:sz w:val="18"/>
          <w:szCs w:val="18"/>
          <w:color w:val="auto"/>
        </w:rPr>
      </w:pPr>
    </w:p>
    <w:p>
      <w:pPr>
        <w:ind w:left="640" w:right="20" w:hanging="322"/>
        <w:spacing w:after="0" w:line="253"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operations are subject to U.S. Food and Drug Administration, or FDA, regulation and state regulation, and there is no assurance that we will be in compliance with all regulations. Any changes in, or changes in the interpretation of, applicable laws, regulations or policies of the FDA or U.S. Department of Agriculture, or USDA, state regulators or similar foreign regulatory authorities that relate to the use of the word “meat” in connection with plant-based protein products could adversely affect our business, prospects, results of operations or financial condition.</w:t>
      </w:r>
    </w:p>
    <w:p>
      <w:pPr>
        <w:spacing w:after="0" w:line="151"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or will be subject to international regulations that could adversely affect our business and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Beyond Meat, Inc. was incorporated in Delaware on April 8, 2011 originally under the name “J Green Natural Foods Co.” On October 5, 2011, we changed our corporate name to “Savage River, Inc.,” with “Beyond Meat” being our “doing business as” name. On September 7, 2018, we changed our corporate name to “Beyond Meat, Inc.” On May 6, 2019, we completed our initial public offering, or IPO, of 11,068,750 shares of our common stock at a public offering price of $25.00 per share, which included 1,443,750 shares issued pursuant to the underwriters’ option to purchase additional shares of our common stock. We received approximately $252.4 million in proceeds, net of underwriting discounts and commissions and estimated offering expenses.</w:t>
      </w:r>
    </w:p>
    <w:p>
      <w:pPr>
        <w:spacing w:after="0" w:line="1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principal executive offices are located at 119 Standard St., El Segundo, CA 90245, and our telephone number is (866) 756-4112. Our website address is www.beyondmeat.com. The information contained on or accessible through our website is not part of this prospectus or the registration statement of which this prospectus forms a part, and potential investors should not rely on such information in making a decision to purchase our common stock in this offering.</w:t>
      </w:r>
    </w:p>
    <w:p>
      <w:pPr>
        <w:spacing w:after="0" w:line="15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In this prospectus, the terms “Beyond Meat,” “we,” “us,” “our” and “the company” refer to Beyond Meat, Inc., a Delaware corporation.</w:t>
      </w:r>
    </w:p>
    <w:p>
      <w:pPr>
        <w:spacing w:after="0" w:line="142" w:lineRule="exact"/>
        <w:rPr>
          <w:sz w:val="20"/>
          <w:szCs w:val="20"/>
          <w:color w:val="auto"/>
        </w:rPr>
      </w:pPr>
    </w:p>
    <w:p>
      <w:pPr>
        <w:ind w:right="60" w:firstLine="324"/>
        <w:spacing w:after="0" w:line="262" w:lineRule="auto"/>
        <w:rPr>
          <w:sz w:val="20"/>
          <w:szCs w:val="20"/>
          <w:color w:val="auto"/>
        </w:rPr>
      </w:pPr>
      <w:r>
        <w:rPr>
          <w:rFonts w:ascii="Arial" w:cs="Arial" w:eastAsia="Arial" w:hAnsi="Arial"/>
          <w:sz w:val="17"/>
          <w:szCs w:val="17"/>
          <w:color w:val="auto"/>
        </w:rPr>
        <w:t xml:space="preserve">“The Beyond Burger,” ”Beyond Beef,” “Beyond Chicken,” “Beyond Meat,” “Beyond Sausage,” “Beyond Breakfast Sausage,” “The Cookout Classic,” “The Future of Protein” and “The Future of Protein Beyond Meat” and design are registered trademarks of Beyond Meat, Inc. in the United States and, in some cases, in certain other countries. All other brand names or trademarks appearing in this prospectus are the property of their respective holders. Solely for convenience, the trademarks and trade names in this prospectus are referred to without the ® and </w:t>
      </w:r>
      <w:r>
        <w:rPr>
          <w:rFonts w:ascii="Arial" w:cs="Arial" w:eastAsia="Arial" w:hAnsi="Arial"/>
          <w:sz w:val="20"/>
          <w:szCs w:val="20"/>
          <w:color w:val="auto"/>
          <w:vertAlign w:val="superscript"/>
        </w:rPr>
        <w:t>TM</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60"/>
          </w:cols>
          <w:pgMar w:left="920" w:top="881" w:right="9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586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586730"/>
                    </a:xfrm>
                    <a:prstGeom prst="rect">
                      <a:avLst/>
                    </a:prstGeom>
                    <a:noFill/>
                  </pic:spPr>
                </pic:pic>
              </a:graphicData>
            </a:graphic>
          </wp:anchor>
        </w:drawing>
        <w:t>Implications of Being an Emerging Growth Company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148" w:lineRule="exact"/>
        <w:rPr>
          <w:sz w:val="20"/>
          <w:szCs w:val="20"/>
          <w:color w:val="auto"/>
        </w:rPr>
      </w:pPr>
    </w:p>
    <w:p>
      <w:pPr>
        <w:ind w:left="640" w:right="40" w:hanging="322"/>
        <w:spacing w:after="0" w:line="26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and only two years of related Management’s Discussion and Analysis of Financial Condition and Results of Operations disclosure;</w:t>
      </w:r>
    </w:p>
    <w:p>
      <w:pPr>
        <w:spacing w:after="0" w:line="14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requirements to hold non-binding advisory votes on executive compensation;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71" w:lineRule="exact"/>
        <w:rPr>
          <w:rFonts w:ascii="Arial" w:cs="Arial" w:eastAsia="Arial" w:hAnsi="Arial"/>
          <w:sz w:val="18"/>
          <w:szCs w:val="18"/>
          <w:color w:val="auto"/>
        </w:rPr>
      </w:pPr>
    </w:p>
    <w:p>
      <w:pPr>
        <w:ind w:left="640" w:right="180" w:hanging="322"/>
        <w:spacing w:after="0" w:line="26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controls over financial reporting pursuant to Section 404(b) of the Sarbanes-Oxley Act of 2002, or the Sarbanes-Oxley Act; and</w:t>
      </w:r>
    </w:p>
    <w:p>
      <w:pPr>
        <w:spacing w:after="0" w:line="142" w:lineRule="exact"/>
        <w:rPr>
          <w:rFonts w:ascii="Arial" w:cs="Arial" w:eastAsia="Arial" w:hAnsi="Arial"/>
          <w:sz w:val="18"/>
          <w:szCs w:val="18"/>
          <w:color w:val="auto"/>
        </w:rPr>
      </w:pPr>
    </w:p>
    <w:p>
      <w:pPr>
        <w:ind w:left="640" w:right="240" w:hanging="322"/>
        <w:spacing w:after="0" w:line="25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complying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4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 million in market value of our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Further, pursuant to Section 107 of the JOBS Act, as an emerging growth company, we have elected to use the extended transition period for complying with new or revised accounting standards until those standards would otherwise apply to private companies. Accordingly, the information contained herein may be different than the information you receive from other public companies in which you hold stock, and our financial statements may not be comparable to the financial statements of issuers who are required to comply with the effective dates for new or revised accounting standards that are applicable to public companies. See “Risk Factors—Risks Related to Being a Public Company” which describes that we are an emerging growth company, and we cannot be certain if the reduced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60"/>
          </w:cols>
          <w:pgMar w:left="920" w:top="967" w:right="9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65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t>The Offering</w:t>
      </w:r>
    </w:p>
    <w:p>
      <w:pPr>
        <w:sectPr>
          <w:pgSz w:w="11900" w:h="16838" w:orient="portrait"/>
          <w:cols w:equalWidth="0" w:num="1">
            <w:col w:w="10080"/>
          </w:cols>
          <w:pgMar w:left="920" w:top="967" w:right="899" w:bottom="1440" w:gutter="0" w:footer="0" w:header="0"/>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 offered by us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 offered by the selling stockholders</w:t>
      </w:r>
    </w:p>
    <w:p>
      <w:pPr>
        <w:spacing w:after="0" w:line="171" w:lineRule="exact"/>
        <w:rPr>
          <w:sz w:val="20"/>
          <w:szCs w:val="20"/>
          <w:color w:val="auto"/>
        </w:rPr>
      </w:pPr>
    </w:p>
    <w:p>
      <w:pPr>
        <w:ind w:left="180" w:hanging="161"/>
        <w:spacing w:after="0" w:line="271" w:lineRule="auto"/>
        <w:rPr>
          <w:sz w:val="20"/>
          <w:szCs w:val="20"/>
          <w:color w:val="auto"/>
        </w:rPr>
      </w:pPr>
      <w:r>
        <w:rPr>
          <w:rFonts w:ascii="Arial" w:cs="Arial" w:eastAsia="Arial" w:hAnsi="Arial"/>
          <w:sz w:val="18"/>
          <w:szCs w:val="18"/>
          <w:b w:val="1"/>
          <w:bCs w:val="1"/>
          <w:color w:val="auto"/>
        </w:rPr>
        <w:t>Options exercised in connection with shares to be sold in the offering</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 to be outstanding after the offering</w:t>
      </w:r>
    </w:p>
    <w:p>
      <w:pPr>
        <w:spacing w:after="0" w:line="374" w:lineRule="exact"/>
        <w:rPr>
          <w:sz w:val="20"/>
          <w:szCs w:val="20"/>
          <w:color w:val="auto"/>
        </w:rPr>
      </w:pPr>
    </w:p>
    <w:p>
      <w:pPr>
        <w:ind w:left="180" w:right="220" w:hanging="161"/>
        <w:spacing w:after="0" w:line="271" w:lineRule="auto"/>
        <w:rPr>
          <w:sz w:val="20"/>
          <w:szCs w:val="20"/>
          <w:color w:val="auto"/>
        </w:rPr>
      </w:pPr>
      <w:r>
        <w:rPr>
          <w:rFonts w:ascii="Arial" w:cs="Arial" w:eastAsia="Arial" w:hAnsi="Arial"/>
          <w:sz w:val="18"/>
          <w:szCs w:val="18"/>
          <w:b w:val="1"/>
          <w:bCs w:val="1"/>
          <w:color w:val="auto"/>
        </w:rPr>
        <w:t>Option to purchase additional shares of common stock granted by the selling stockholders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250,000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3,000,000 shares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115,055 shares</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60,532,576 shares (including 115,055 shares to be exercised and sold in the offering upon exercise of vested options)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487,500 shares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intend to use the net proceeds received by us (i) to continue to increase our production and supply capabilities, (ii) to pay for marketing and promotional activities, and (iii) for general working capital purposes.</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selling stockholders will sell 92% of the shares sold in this offering (excluding shares sold if the underwriters exercise their option to purchase additional shares from the selling stockholders). We will not receive any proceeds from the sale of shares by the selling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 for more information.</w:t>
      </w:r>
    </w:p>
    <w:p>
      <w:pPr>
        <w:spacing w:after="0" w:line="17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Investing in our common stock involves a high degree of risk. You should carefully read and consider the information set forth under “Risk Factors” and all other information in this prospectus before investing in our common stock.</w:t>
      </w:r>
    </w:p>
    <w:p>
      <w:pPr>
        <w:spacing w:after="0" w:line="135" w:lineRule="exact"/>
        <w:rPr>
          <w:sz w:val="20"/>
          <w:szCs w:val="20"/>
          <w:color w:val="auto"/>
        </w:rPr>
      </w:pPr>
    </w:p>
    <w:p>
      <w:pPr>
        <w:sectPr>
          <w:pgSz w:w="11900" w:h="16838" w:orient="portrait"/>
          <w:cols w:equalWidth="0" w:num="2">
            <w:col w:w="4960" w:space="100"/>
            <w:col w:w="5020"/>
          </w:cols>
          <w:pgMar w:left="920" w:top="967" w:right="899" w:bottom="1440" w:gutter="0" w:footer="0" w:header="0"/>
          <w:type w:val="continuous"/>
        </w:sectPr>
      </w:pPr>
    </w:p>
    <w:p>
      <w:pPr>
        <w:ind w:left="20"/>
        <w:spacing w:after="0"/>
        <w:tabs>
          <w:tab w:leader="none" w:pos="5040" w:val="left"/>
        </w:tabs>
        <w:rPr>
          <w:sz w:val="20"/>
          <w:szCs w:val="20"/>
          <w:color w:val="auto"/>
        </w:rPr>
      </w:pPr>
      <w:r>
        <w:rPr>
          <w:rFonts w:ascii="Arial" w:cs="Arial" w:eastAsia="Arial" w:hAnsi="Arial"/>
          <w:sz w:val="18"/>
          <w:szCs w:val="18"/>
          <w:b w:val="1"/>
          <w:bCs w:val="1"/>
          <w:color w:val="auto"/>
        </w:rPr>
        <w:t>Listing</w:t>
      </w:r>
      <w:r>
        <w:rPr>
          <w:sz w:val="20"/>
          <w:szCs w:val="20"/>
          <w:color w:val="auto"/>
        </w:rPr>
        <w:tab/>
      </w:r>
      <w:r>
        <w:rPr>
          <w:rFonts w:ascii="Arial" w:cs="Arial" w:eastAsia="Arial" w:hAnsi="Arial"/>
          <w:sz w:val="18"/>
          <w:szCs w:val="18"/>
          <w:color w:val="auto"/>
        </w:rPr>
        <w:t>Our common stock is listed on the Nasdaq Global Select</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Market under the symbol “BYND.”</w:t>
      </w:r>
    </w:p>
    <w:p>
      <w:pPr>
        <w:spacing w:after="0" w:line="18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number of shares of our common stock to be outstanding after this offering is based on 60,167,521 shares of common stock (including 140,560 unvested shares of restricted common stock subject to our repurchase right) outstanding as of June 29, 2019, plus 115,055 shares exercised in connection with this offering, and excludes:</w:t>
      </w:r>
    </w:p>
    <w:p>
      <w:pPr>
        <w:spacing w:after="0" w:line="148" w:lineRule="exact"/>
        <w:rPr>
          <w:sz w:val="20"/>
          <w:szCs w:val="20"/>
          <w:color w:val="auto"/>
        </w:rPr>
      </w:pPr>
    </w:p>
    <w:p>
      <w:pPr>
        <w:ind w:left="640" w:right="60" w:hanging="322"/>
        <w:spacing w:after="0" w:line="25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6,130,048 shares of common stock issuable upon exercise of stock options outstanding as of June 29, 2019, having a weighted-average exercise price of $11.01 per share (which excludes 115,055 shares of our common stock that we expect to be sold in this offering by certain selling stockholders upon the exercise of vested options prior to the closing of this offering) ;</w:t>
      </w:r>
    </w:p>
    <w:p>
      <w:pPr>
        <w:spacing w:after="0" w:line="150" w:lineRule="exact"/>
        <w:rPr>
          <w:rFonts w:ascii="Arial" w:cs="Arial" w:eastAsia="Arial" w:hAnsi="Arial"/>
          <w:sz w:val="18"/>
          <w:szCs w:val="18"/>
          <w:color w:val="auto"/>
        </w:rPr>
      </w:pPr>
    </w:p>
    <w:p>
      <w:pPr>
        <w:ind w:left="640" w:right="220" w:hanging="322"/>
        <w:spacing w:after="0" w:line="262"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70,360 shares of common stock issuable upon the vesting of restricted stock units, or RSUs, outstanding as of June 29, 2019;</w:t>
      </w:r>
    </w:p>
    <w:p>
      <w:pPr>
        <w:spacing w:after="0" w:line="142" w:lineRule="exact"/>
        <w:rPr>
          <w:rFonts w:ascii="Arial" w:cs="Arial" w:eastAsia="Arial" w:hAnsi="Arial"/>
          <w:sz w:val="18"/>
          <w:szCs w:val="18"/>
          <w:color w:val="auto"/>
        </w:rPr>
      </w:pPr>
    </w:p>
    <w:p>
      <w:pPr>
        <w:jc w:val="both"/>
        <w:ind w:left="640" w:right="120" w:hanging="322"/>
        <w:spacing w:after="0" w:line="256"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3,437,794 shares of common stock reserved for future grant or issuance under our 2018 Equity Incentive Plan, or the 2018 Plan, as of June 29, 2019, plus shares that will automatically be added to the share reserve each year, as more fully described in “Executive Compensation—Employee Benefit Plans”;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80"/>
          </w:cols>
          <w:pgMar w:left="920" w:top="967" w:right="899" w:bottom="1440" w:gutter="0" w:footer="0" w:header="0"/>
          <w:type w:val="continuous"/>
        </w:sectPr>
      </w:pPr>
    </w:p>
    <w:bookmarkStart w:id="14" w:name="page15"/>
    <w:bookmarkEnd w:id="14"/>
    <w:p>
      <w:pPr>
        <w:ind w:left="322" w:right="20" w:hanging="322"/>
        <w:spacing w:after="0" w:line="256"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2379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379345"/>
                    </a:xfrm>
                    <a:prstGeom prst="rect">
                      <a:avLst/>
                    </a:prstGeom>
                    <a:noFill/>
                  </pic:spPr>
                </pic:pic>
              </a:graphicData>
            </a:graphic>
          </wp:anchor>
        </w:drawing>
        <w:t>804,195 shares of common stock reserved for issuance under our 2018 Employee Stock Purchase Plan, plus shares that will automatically be added to the share reserve each year, as more fully described in “Executive Compensation— Employee Stock Purchase Plan.”</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color w:val="auto"/>
        </w:rPr>
        <w:t>Except as otherwise indicated, all information in this prospectus reflects and assumes:</w:t>
      </w:r>
    </w:p>
    <w:p>
      <w:pPr>
        <w:spacing w:after="0" w:line="171" w:lineRule="exact"/>
        <w:rPr>
          <w:sz w:val="20"/>
          <w:szCs w:val="20"/>
          <w:color w:val="auto"/>
        </w:rPr>
      </w:pPr>
    </w:p>
    <w:p>
      <w:pPr>
        <w:ind w:left="322" w:hanging="322"/>
        <w:spacing w:after="0" w:line="26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or termination of outstanding stock options after June 29, 2019 (other than the shares being exercised and sold in this offering); and</w:t>
      </w:r>
    </w:p>
    <w:p>
      <w:pPr>
        <w:spacing w:after="0" w:line="142" w:lineRule="exact"/>
        <w:rPr>
          <w:rFonts w:ascii="Arial" w:cs="Arial" w:eastAsia="Arial" w:hAnsi="Arial"/>
          <w:sz w:val="18"/>
          <w:szCs w:val="18"/>
          <w:color w:val="auto"/>
        </w:rPr>
      </w:pPr>
    </w:p>
    <w:p>
      <w:pPr>
        <w:ind w:left="322" w:right="260" w:hanging="322"/>
        <w:spacing w:after="0" w:line="26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487,500 shares of our common stock from the selling stockholders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742"/>
          </w:cols>
          <w:pgMar w:left="1238" w:top="881" w:right="9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307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307455"/>
                    </a:xfrm>
                    <a:prstGeom prst="rect">
                      <a:avLst/>
                    </a:prstGeom>
                    <a:noFill/>
                  </pic:spPr>
                </pic:pic>
              </a:graphicData>
            </a:graphic>
          </wp:anchor>
        </w:drawing>
        <w:t>Summary Financial Data</w:t>
      </w:r>
    </w:p>
    <w:p>
      <w:pPr>
        <w:spacing w:after="0" w:line="193" w:lineRule="exact"/>
        <w:rPr>
          <w:sz w:val="20"/>
          <w:szCs w:val="20"/>
          <w:color w:val="auto"/>
        </w:rPr>
      </w:pPr>
    </w:p>
    <w:p>
      <w:pPr>
        <w:ind w:left="20" w:right="100" w:firstLine="324"/>
        <w:spacing w:after="0" w:line="252" w:lineRule="auto"/>
        <w:rPr>
          <w:sz w:val="20"/>
          <w:szCs w:val="20"/>
          <w:color w:val="auto"/>
        </w:rPr>
      </w:pPr>
      <w:r>
        <w:rPr>
          <w:rFonts w:ascii="Arial" w:cs="Arial" w:eastAsia="Arial" w:hAnsi="Arial"/>
          <w:sz w:val="18"/>
          <w:szCs w:val="18"/>
          <w:color w:val="auto"/>
        </w:rPr>
        <w:t>The following tables set forth summary financial data for the periods and at the dates indicated. The statements of operations data for the years ended December 31, 2016, 2017 and 2018 have been derived from our audited financial statements included elsewhere in this prospectus. The statements of operations data for the six months ended June 30, 2018 and June 29, 2019 and the summary balance sheet data as of June 29, 2019 have been derived from our unaudited interim condensed financial statements included elsewhere in this prospectus. In our opinion, this unaudited interim condensed financial data has been prepared on a basis consistent with our audited financial statements and contains all adjustments, consisting only of normal and recurring adjustments, necessary for a fair presentation of such financial data.</w:t>
      </w:r>
    </w:p>
    <w:p>
      <w:pPr>
        <w:spacing w:after="0" w:line="153" w:lineRule="exact"/>
        <w:rPr>
          <w:sz w:val="20"/>
          <w:szCs w:val="20"/>
          <w:color w:val="auto"/>
        </w:rPr>
      </w:pPr>
    </w:p>
    <w:p>
      <w:pPr>
        <w:ind w:left="20" w:right="80" w:firstLine="324"/>
        <w:spacing w:after="0" w:line="252" w:lineRule="auto"/>
        <w:rPr>
          <w:sz w:val="20"/>
          <w:szCs w:val="20"/>
          <w:color w:val="auto"/>
        </w:rPr>
      </w:pPr>
      <w:r>
        <w:rPr>
          <w:rFonts w:ascii="Arial" w:cs="Arial" w:eastAsia="Arial" w:hAnsi="Arial"/>
          <w:sz w:val="18"/>
          <w:szCs w:val="18"/>
          <w:color w:val="auto"/>
        </w:rPr>
        <w:t>Our historical results are not necessarily indicative of the results to be expected for any future periods and our operating results for the six-month period ended June 29, 2019 are not necessarily indicative of the results that may be expected for the fiscal year ending December 31, 2019 or any other interim periods or any future year or period. You should read the following financial information together with the information under “Capitalization,” “Management’s Discussion and Analysis of Financial Condition and Results of Operations,” “Selected Financial Data” and our financial statements and related notes included elsewhere in this prospectus.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2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6"/>
                <w:szCs w:val="16"/>
                <w:b w:val="1"/>
                <w:bCs w:val="1"/>
                <w:color w:val="auto"/>
              </w:rPr>
              <w:t>June 30, 2018</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29, 2019</w:t>
            </w:r>
          </w:p>
        </w:tc>
      </w:tr>
      <w:tr>
        <w:trPr>
          <w:trHeight w:val="216"/>
        </w:trPr>
        <w:tc>
          <w:tcPr>
            <w:tcW w:w="35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7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Statements of Operations Data:</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87,934</w:t>
            </w:r>
          </w:p>
        </w:tc>
        <w:tc>
          <w:tcPr>
            <w:tcW w:w="100" w:type="dxa"/>
            <w:vAlign w:val="bottom"/>
          </w:tcPr>
          <w:p>
            <w:pPr>
              <w:spacing w:after="0"/>
              <w:rPr>
                <w:sz w:val="22"/>
                <w:szCs w:val="22"/>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30,143</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107,457</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70,360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25,474</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73,945</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Gross (loss) profit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17,574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4,669</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33,512</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642</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45,563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17,524</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36,643</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Total other expense, net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(12,938)</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before taxes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r>
      <w:tr>
        <w:trPr>
          <w:trHeight w:val="26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r>
      <w:tr>
        <w:trPr>
          <w:trHeight w:val="226"/>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loss per common share—basic and</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5"/>
        </w:trPr>
        <w:tc>
          <w:tcPr>
            <w:tcW w:w="40" w:type="dxa"/>
            <w:vAlign w:val="bottom"/>
          </w:tcPr>
          <w:p>
            <w:pPr>
              <w:spacing w:after="0"/>
              <w:rPr>
                <w:sz w:val="20"/>
                <w:szCs w:val="20"/>
                <w:color w:val="auto"/>
              </w:rPr>
            </w:pPr>
          </w:p>
        </w:tc>
        <w:tc>
          <w:tcPr>
            <w:tcW w:w="3500" w:type="dxa"/>
            <w:vAlign w:val="bottom"/>
            <w:gridSpan w:val="2"/>
          </w:tcPr>
          <w:p>
            <w:pPr>
              <w:ind w:left="160"/>
              <w:spacing w:after="0" w:line="235" w:lineRule="exact"/>
              <w:rPr>
                <w:sz w:val="20"/>
                <w:szCs w:val="20"/>
                <w:color w:val="auto"/>
              </w:rPr>
            </w:pPr>
            <w:r>
              <w:rPr>
                <w:rFonts w:ascii="Arial" w:cs="Arial" w:eastAsia="Arial" w:hAnsi="Arial"/>
                <w:sz w:val="18"/>
                <w:szCs w:val="18"/>
                <w:color w:val="auto"/>
              </w:rPr>
              <w:t>diluted</w:t>
            </w:r>
            <w:r>
              <w:rPr>
                <w:rFonts w:ascii="Arial" w:cs="Arial" w:eastAsia="Arial" w:hAnsi="Arial"/>
                <w:sz w:val="21"/>
                <w:szCs w:val="21"/>
                <w:color w:val="auto"/>
                <w:vertAlign w:val="superscript"/>
              </w:rPr>
              <w:t>(1)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(0.69)</w:t>
            </w:r>
          </w:p>
        </w:tc>
      </w:tr>
    </w:tbl>
    <w:p>
      <w:pPr>
        <w:ind w:left="20"/>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right="240" w:hanging="326"/>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per share amounts have been adjusted retrospectively to reflect the 3-for-2 reverse stock split of our common stock on January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80"/>
          </w:cols>
          <w:pgMar w:left="900" w:top="967" w:right="9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8"/>
        </w:trPr>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As of June 29, 2019</w:t>
            </w:r>
          </w:p>
        </w:tc>
        <w:tc>
          <w:tcPr>
            <w:tcW w:w="0" w:type="dxa"/>
            <w:vAlign w:val="bottom"/>
          </w:tcPr>
          <w:p>
            <w:pPr>
              <w:spacing w:after="0"/>
              <w:rPr>
                <w:sz w:val="1"/>
                <w:szCs w:val="1"/>
                <w:color w:val="auto"/>
              </w:rPr>
            </w:pPr>
          </w:p>
        </w:tc>
      </w:tr>
      <w:tr>
        <w:trPr>
          <w:trHeight w:val="230"/>
        </w:trPr>
        <w:tc>
          <w:tcPr>
            <w:tcW w:w="6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40" w:type="dxa"/>
            <w:vAlign w:val="bottom"/>
          </w:tcPr>
          <w:p>
            <w:pPr>
              <w:spacing w:after="0"/>
              <w:rPr>
                <w:sz w:val="19"/>
                <w:szCs w:val="19"/>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Actual</w:t>
            </w:r>
          </w:p>
        </w:tc>
        <w:tc>
          <w:tcPr>
            <w:tcW w:w="180" w:type="dxa"/>
            <w:vAlign w:val="bottom"/>
          </w:tcPr>
          <w:p>
            <w:pPr>
              <w:spacing w:after="0"/>
              <w:rPr>
                <w:sz w:val="19"/>
                <w:szCs w:val="19"/>
                <w:color w:val="auto"/>
              </w:rPr>
            </w:pPr>
          </w:p>
        </w:tc>
        <w:tc>
          <w:tcPr>
            <w:tcW w:w="1340" w:type="dxa"/>
            <w:vAlign w:val="bottom"/>
          </w:tcPr>
          <w:p>
            <w:pPr>
              <w:jc w:val="right"/>
              <w:ind w:right="131"/>
              <w:spacing w:after="0" w:line="230" w:lineRule="exact"/>
              <w:rPr>
                <w:sz w:val="20"/>
                <w:szCs w:val="20"/>
                <w:color w:val="auto"/>
              </w:rPr>
            </w:pPr>
            <w:r>
              <w:rPr>
                <w:rFonts w:ascii="Arial" w:cs="Arial" w:eastAsia="Arial" w:hAnsi="Arial"/>
                <w:sz w:val="16"/>
                <w:szCs w:val="16"/>
                <w:b w:val="1"/>
                <w:bCs w:val="1"/>
                <w:color w:val="auto"/>
                <w:w w:val="99"/>
              </w:rPr>
              <w:t>As Adjusted</w:t>
            </w:r>
            <w:r>
              <w:rPr>
                <w:rFonts w:ascii="Arial" w:cs="Arial" w:eastAsia="Arial" w:hAnsi="Arial"/>
                <w:sz w:val="21"/>
                <w:szCs w:val="21"/>
                <w:b w:val="1"/>
                <w:bCs w:val="1"/>
                <w:color w:val="auto"/>
                <w:w w:val="99"/>
                <w:vertAlign w:val="superscript"/>
              </w:rPr>
              <w:t>(1)</w:t>
            </w:r>
          </w:p>
        </w:tc>
        <w:tc>
          <w:tcPr>
            <w:tcW w:w="0" w:type="dxa"/>
            <w:vAlign w:val="bottom"/>
          </w:tcPr>
          <w:p>
            <w:pPr>
              <w:spacing w:after="0"/>
              <w:rPr>
                <w:sz w:val="1"/>
                <w:szCs w:val="1"/>
                <w:color w:val="auto"/>
              </w:rPr>
            </w:pPr>
          </w:p>
        </w:tc>
      </w:tr>
      <w:tr>
        <w:trPr>
          <w:trHeight w:val="61"/>
        </w:trPr>
        <w:tc>
          <w:tcPr>
            <w:tcW w:w="69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276,987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328,709</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321,393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373,115</w:t>
            </w:r>
          </w:p>
        </w:tc>
        <w:tc>
          <w:tcPr>
            <w:tcW w:w="0" w:type="dxa"/>
            <w:vAlign w:val="bottom"/>
          </w:tcPr>
          <w:p>
            <w:pPr>
              <w:spacing w:after="0"/>
              <w:rPr>
                <w:sz w:val="1"/>
                <w:szCs w:val="1"/>
                <w:color w:val="auto"/>
              </w:rPr>
            </w:pPr>
          </w:p>
        </w:tc>
      </w:tr>
      <w:tr>
        <w:trPr>
          <w:trHeight w:val="270"/>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397,061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448,783</w:t>
            </w:r>
          </w:p>
        </w:tc>
        <w:tc>
          <w:tcPr>
            <w:tcW w:w="0" w:type="dxa"/>
            <w:vAlign w:val="bottom"/>
          </w:tcPr>
          <w:p>
            <w:pPr>
              <w:spacing w:after="0"/>
              <w:rPr>
                <w:sz w:val="1"/>
                <w:szCs w:val="1"/>
                <w:color w:val="auto"/>
              </w:rPr>
            </w:pPr>
          </w:p>
        </w:tc>
      </w:tr>
      <w:tr>
        <w:trPr>
          <w:trHeight w:val="263"/>
        </w:trPr>
        <w:tc>
          <w:tcPr>
            <w:tcW w:w="69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30,467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30,467</w:t>
            </w:r>
          </w:p>
        </w:tc>
        <w:tc>
          <w:tcPr>
            <w:tcW w:w="0" w:type="dxa"/>
            <w:vAlign w:val="bottom"/>
          </w:tcPr>
          <w:p>
            <w:pPr>
              <w:spacing w:after="0"/>
              <w:rPr>
                <w:sz w:val="1"/>
                <w:szCs w:val="1"/>
                <w:color w:val="auto"/>
              </w:rPr>
            </w:pPr>
          </w:p>
        </w:tc>
      </w:tr>
      <w:tr>
        <w:trPr>
          <w:trHeight w:val="277"/>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331,785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383,507</w:t>
            </w:r>
          </w:p>
        </w:tc>
        <w:tc>
          <w:tcPr>
            <w:tcW w:w="0" w:type="dxa"/>
            <w:vAlign w:val="bottom"/>
          </w:tcPr>
          <w:p>
            <w:pPr>
              <w:spacing w:after="0"/>
              <w:rPr>
                <w:sz w:val="1"/>
                <w:szCs w:val="1"/>
                <w:color w:val="auto"/>
              </w:rPr>
            </w:pPr>
          </w:p>
        </w:tc>
      </w:tr>
      <w:tr>
        <w:trPr>
          <w:trHeight w:val="191"/>
        </w:trPr>
        <w:tc>
          <w:tcPr>
            <w:tcW w:w="6920" w:type="dxa"/>
            <w:vAlign w:val="bottom"/>
          </w:tcPr>
          <w:p>
            <w:pPr>
              <w:ind w:left="20"/>
              <w:spacing w:after="0"/>
              <w:rPr>
                <w:sz w:val="20"/>
                <w:szCs w:val="20"/>
                <w:color w:val="auto"/>
              </w:rPr>
            </w:pPr>
            <w:r>
              <w:rPr>
                <w:rFonts w:ascii="Arial" w:cs="Arial" w:eastAsia="Arial" w:hAnsi="Arial"/>
                <w:sz w:val="16"/>
                <w:szCs w:val="16"/>
                <w:color w:val="auto"/>
              </w:rPr>
              <w:t>___________________</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right="220" w:hanging="326"/>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22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7422515"/>
                    </a:xfrm>
                    <a:prstGeom prst="rect">
                      <a:avLst/>
                    </a:prstGeom>
                    <a:noFill/>
                  </pic:spPr>
                </pic:pic>
              </a:graphicData>
            </a:graphic>
          </wp:anchor>
        </w:drawing>
        <w:t>The as adjusted balance sheet gives effect to the sale of shares of common stock by us in this offering at the assumed public offering price of $222.13 per share, which is the last reported sale price of our common stock on the Nasdaq Global Select Market on July 29, 2019, after deducting the estimated underwriting discounts and commissions and estimated offering expenses payable by us.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Non-GAAP Financial Data:</w:t>
            </w:r>
          </w:p>
        </w:tc>
        <w:tc>
          <w:tcPr>
            <w:tcW w:w="320" w:type="dxa"/>
            <w:vAlign w:val="bottom"/>
          </w:tcPr>
          <w:p>
            <w:pPr>
              <w:spacing w:after="0"/>
              <w:rPr>
                <w:sz w:val="22"/>
                <w:szCs w:val="22"/>
                <w:color w:val="auto"/>
              </w:rPr>
            </w:pPr>
          </w:p>
        </w:tc>
        <w:tc>
          <w:tcPr>
            <w:tcW w:w="1100" w:type="dxa"/>
            <w:vAlign w:val="bottom"/>
          </w:tcPr>
          <w:p>
            <w:pPr>
              <w:jc w:val="right"/>
              <w:ind w:right="456"/>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22"/>
                <w:szCs w:val="22"/>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June 29, 2019</w:t>
            </w:r>
          </w:p>
        </w:tc>
      </w:tr>
      <w:tr>
        <w:trPr>
          <w:trHeight w:val="257"/>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4,745</w:t>
            </w:r>
          </w:p>
        </w:tc>
      </w:tr>
      <w:tr>
        <w:trPr>
          <w:trHeight w:val="191"/>
        </w:trPr>
        <w:tc>
          <w:tcPr>
            <w:tcW w:w="2560" w:type="dxa"/>
            <w:vAlign w:val="bottom"/>
          </w:tcPr>
          <w:p>
            <w:pPr>
              <w:spacing w:after="0"/>
              <w:rPr>
                <w:sz w:val="20"/>
                <w:szCs w:val="20"/>
                <w:color w:val="auto"/>
              </w:rPr>
            </w:pPr>
            <w:r>
              <w:rPr>
                <w:rFonts w:ascii="Arial" w:cs="Arial" w:eastAsia="Arial" w:hAnsi="Arial"/>
                <w:sz w:val="16"/>
                <w:szCs w:val="16"/>
                <w:color w:val="auto"/>
              </w:rPr>
              <w:t>___________________</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ind w:left="340" w:right="60" w:hanging="326"/>
        <w:spacing w:after="0" w:line="249"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is a financial measure that is not calculated in accordance with generally accepted accounting principles in the United States, or GAAP. We define Adjusted EBITDA as net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148" w:lineRule="exact"/>
        <w:rPr>
          <w:sz w:val="20"/>
          <w:szCs w:val="20"/>
          <w:color w:val="auto"/>
        </w:rPr>
      </w:pPr>
    </w:p>
    <w:p>
      <w:pPr>
        <w:ind w:left="20" w:right="180" w:firstLine="324"/>
        <w:spacing w:after="0" w:line="256" w:lineRule="auto"/>
        <w:rPr>
          <w:sz w:val="20"/>
          <w:szCs w:val="20"/>
          <w:color w:val="auto"/>
        </w:rPr>
      </w:pPr>
      <w:r>
        <w:rPr>
          <w:rFonts w:ascii="Arial" w:cs="Arial" w:eastAsia="Arial" w:hAnsi="Arial"/>
          <w:sz w:val="18"/>
          <w:szCs w:val="18"/>
          <w:color w:val="auto"/>
        </w:rPr>
        <w:t>Adjusted EBITDA should not be considered as an alternative to net loss or any other measure of financial performance calculated and presented in accordance with GAAP. There are a number of limitations related to the use of Adjusted EBITDA rather than net loss, which is the most directly comparable GAAP measure. Some of these limitations are:</w:t>
      </w:r>
    </w:p>
    <w:p>
      <w:pPr>
        <w:spacing w:after="0" w:line="148" w:lineRule="exact"/>
        <w:rPr>
          <w:sz w:val="20"/>
          <w:szCs w:val="20"/>
          <w:color w:val="auto"/>
        </w:rPr>
      </w:pPr>
    </w:p>
    <w:p>
      <w:pPr>
        <w:ind w:left="660" w:right="240" w:hanging="32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42" w:lineRule="exact"/>
        <w:rPr>
          <w:rFonts w:ascii="Arial" w:cs="Arial" w:eastAsia="Arial" w:hAnsi="Arial"/>
          <w:sz w:val="18"/>
          <w:szCs w:val="18"/>
          <w:color w:val="auto"/>
        </w:rPr>
      </w:pPr>
    </w:p>
    <w:p>
      <w:pPr>
        <w:ind w:left="660" w:right="480" w:hanging="32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42" w:lineRule="exact"/>
        <w:rPr>
          <w:rFonts w:ascii="Arial" w:cs="Arial" w:eastAsia="Arial" w:hAnsi="Arial"/>
          <w:sz w:val="18"/>
          <w:szCs w:val="18"/>
          <w:color w:val="auto"/>
        </w:rPr>
      </w:pPr>
    </w:p>
    <w:p>
      <w:pPr>
        <w:ind w:left="660" w:hanging="32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60" w:hanging="32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60" w:right="400" w:hanging="32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expenses and, therefore, does not include all of our compensation costs;</w:t>
      </w:r>
    </w:p>
    <w:p>
      <w:pPr>
        <w:spacing w:after="0" w:line="142" w:lineRule="exact"/>
        <w:rPr>
          <w:rFonts w:ascii="Arial" w:cs="Arial" w:eastAsia="Arial" w:hAnsi="Arial"/>
          <w:sz w:val="18"/>
          <w:szCs w:val="18"/>
          <w:color w:val="auto"/>
        </w:rPr>
      </w:pPr>
    </w:p>
    <w:p>
      <w:pPr>
        <w:ind w:left="660" w:hanging="32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that may increase or decrease cash available to us; and</w:t>
      </w:r>
    </w:p>
    <w:p>
      <w:pPr>
        <w:spacing w:after="0" w:line="171" w:lineRule="exact"/>
        <w:rPr>
          <w:rFonts w:ascii="Arial" w:cs="Arial" w:eastAsia="Arial" w:hAnsi="Arial"/>
          <w:sz w:val="18"/>
          <w:szCs w:val="18"/>
          <w:color w:val="auto"/>
        </w:rPr>
      </w:pPr>
    </w:p>
    <w:p>
      <w:pPr>
        <w:ind w:left="660" w:right="260" w:hanging="32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2" w:lineRule="exact"/>
        <w:rPr>
          <w:sz w:val="20"/>
          <w:szCs w:val="20"/>
          <w:color w:val="auto"/>
        </w:rPr>
      </w:pPr>
    </w:p>
    <w:p>
      <w:pPr>
        <w:ind w:left="20" w:right="500" w:firstLine="324"/>
        <w:spacing w:after="0" w:line="262" w:lineRule="auto"/>
        <w:rPr>
          <w:sz w:val="20"/>
          <w:szCs w:val="20"/>
          <w:color w:val="auto"/>
        </w:rPr>
      </w:pPr>
      <w:r>
        <w:rPr>
          <w:rFonts w:ascii="Arial" w:cs="Arial" w:eastAsia="Arial" w:hAnsi="Arial"/>
          <w:sz w:val="18"/>
          <w:szCs w:val="18"/>
          <w:color w:val="auto"/>
        </w:rPr>
        <w:t>These non-GAAP financial measures should not be considered in isolation or as a substitute for financial information provided in accordance with GAAP. Below we have provided a reconciliation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00"/>
          </w:cols>
          <w:pgMar w:left="900" w:top="1026" w:right="899" w:bottom="1440" w:gutter="0" w:footer="0" w:header="0"/>
        </w:sectPr>
      </w:pPr>
    </w:p>
    <w:bookmarkStart w:id="17" w:name="page18"/>
    <w:bookmarkEnd w:id="17"/>
    <w:p>
      <w:pPr>
        <w:ind w:left="6" w:right="70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158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158105"/>
                    </a:xfrm>
                    <a:prstGeom prst="rect">
                      <a:avLst/>
                    </a:prstGeom>
                    <a:noFill/>
                  </pic:spPr>
                </pic:pic>
              </a:graphicData>
            </a:graphic>
          </wp:anchor>
        </w:drawing>
        <w:t>Adjusted EBITDA to net loss, as reported, the most directly comparable financial measure calculated and presented in accordance with GAAP, for each of the periods presented.</w:t>
      </w:r>
    </w:p>
    <w:p>
      <w:pPr>
        <w:spacing w:after="0" w:line="314" w:lineRule="exact"/>
        <w:rPr>
          <w:sz w:val="20"/>
          <w:szCs w:val="20"/>
          <w:color w:val="auto"/>
        </w:rPr>
      </w:pPr>
    </w:p>
    <w:tbl>
      <w:tblPr>
        <w:tblLayout w:type="fixed"/>
        <w:tblInd w:w="6"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2"/>
                <w:szCs w:val="22"/>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22"/>
                <w:szCs w:val="22"/>
                <w:color w:val="auto"/>
              </w:rPr>
            </w:pPr>
          </w:p>
        </w:tc>
        <w:tc>
          <w:tcPr>
            <w:tcW w:w="1280" w:type="dxa"/>
            <w:vAlign w:val="bottom"/>
          </w:tcPr>
          <w:p>
            <w:pPr>
              <w:jc w:val="right"/>
              <w:ind w:right="111"/>
              <w:spacing w:after="0"/>
              <w:rPr>
                <w:sz w:val="20"/>
                <w:szCs w:val="20"/>
                <w:color w:val="auto"/>
              </w:rPr>
            </w:pPr>
            <w:r>
              <w:rPr>
                <w:rFonts w:ascii="Arial" w:cs="Arial" w:eastAsia="Arial" w:hAnsi="Arial"/>
                <w:sz w:val="16"/>
                <w:szCs w:val="16"/>
                <w:b w:val="1"/>
                <w:bCs w:val="1"/>
                <w:color w:val="auto"/>
              </w:rPr>
              <w:t>June 29, 2019</w:t>
            </w:r>
          </w:p>
        </w:tc>
        <w:tc>
          <w:tcPr>
            <w:tcW w:w="0" w:type="dxa"/>
            <w:vAlign w:val="bottom"/>
          </w:tcPr>
          <w:p>
            <w:pPr>
              <w:spacing w:after="0"/>
              <w:rPr>
                <w:sz w:val="1"/>
                <w:szCs w:val="1"/>
                <w:color w:val="auto"/>
              </w:rPr>
            </w:pPr>
          </w:p>
        </w:tc>
      </w:tr>
      <w:tr>
        <w:trPr>
          <w:trHeight w:val="257"/>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0" w:type="dxa"/>
            <w:vAlign w:val="bottom"/>
          </w:tcPr>
          <w:p>
            <w:pPr>
              <w:spacing w:after="0"/>
              <w:rPr>
                <w:sz w:val="1"/>
                <w:szCs w:val="1"/>
                <w:color w:val="auto"/>
              </w:rPr>
            </w:pPr>
          </w:p>
        </w:tc>
      </w:tr>
      <w:tr>
        <w:trPr>
          <w:trHeight w:val="263"/>
        </w:trPr>
        <w:tc>
          <w:tcPr>
            <w:tcW w:w="3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60" w:type="dxa"/>
            <w:vAlign w:val="bottom"/>
          </w:tcPr>
          <w:p>
            <w:pPr>
              <w:ind w:left="18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63"/>
        </w:trPr>
        <w:tc>
          <w:tcPr>
            <w:tcW w:w="3160" w:type="dxa"/>
            <w:vAlign w:val="bottom"/>
          </w:tcPr>
          <w:p>
            <w:pPr>
              <w:ind w:left="20"/>
              <w:spacing w:after="0"/>
              <w:rPr>
                <w:sz w:val="20"/>
                <w:szCs w:val="20"/>
                <w:color w:val="auto"/>
              </w:rPr>
            </w:pPr>
            <w:r>
              <w:rPr>
                <w:rFonts w:ascii="Arial" w:cs="Arial" w:eastAsia="Arial" w:hAnsi="Arial"/>
                <w:sz w:val="18"/>
                <w:szCs w:val="18"/>
                <w:color w:val="auto"/>
              </w:rPr>
              <w:t>Remeasurement of warrant liability</w:t>
            </w:r>
          </w:p>
        </w:tc>
        <w:tc>
          <w:tcPr>
            <w:tcW w:w="2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losses from termination of</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exclusive supply agreement</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color w:val="auto"/>
              </w:rPr>
              <w:t>Costs of termination of exclusive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60" w:type="dxa"/>
            <w:vAlign w:val="bottom"/>
          </w:tcPr>
          <w:p>
            <w:pPr>
              <w:ind w:left="180"/>
              <w:spacing w:after="0" w:line="233" w:lineRule="exact"/>
              <w:rPr>
                <w:sz w:val="20"/>
                <w:szCs w:val="20"/>
                <w:color w:val="auto"/>
              </w:rPr>
            </w:pPr>
            <w:r>
              <w:rPr>
                <w:rFonts w:ascii="Arial" w:cs="Arial" w:eastAsia="Arial" w:hAnsi="Arial"/>
                <w:sz w:val="18"/>
                <w:szCs w:val="18"/>
                <w:color w:val="auto"/>
              </w:rPr>
              <w:t>supply agreement</w:t>
            </w:r>
            <w:r>
              <w:rPr>
                <w:rFonts w:ascii="Arial" w:cs="Arial" w:eastAsia="Arial" w:hAnsi="Arial"/>
                <w:sz w:val="21"/>
                <w:szCs w:val="21"/>
                <w:color w:val="auto"/>
                <w:vertAlign w:val="superscript"/>
              </w:rPr>
              <w:t>(c)</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70"/>
        </w:trPr>
        <w:tc>
          <w:tcPr>
            <w:tcW w:w="3160" w:type="dxa"/>
            <w:vAlign w:val="bottom"/>
          </w:tcPr>
          <w:p>
            <w:pPr>
              <w:ind w:left="20"/>
              <w:spacing w:after="0"/>
              <w:rPr>
                <w:sz w:val="20"/>
                <w:szCs w:val="20"/>
                <w:color w:val="auto"/>
              </w:rPr>
            </w:pPr>
            <w:r>
              <w:rPr>
                <w:rFonts w:ascii="Arial" w:cs="Arial" w:eastAsia="Arial" w:hAnsi="Arial"/>
                <w:sz w:val="18"/>
                <w:szCs w:val="18"/>
                <w:color w:val="auto"/>
              </w:rPr>
              <w:t>Other expense (income), net</w:t>
            </w:r>
            <w:r>
              <w:rPr>
                <w:rFonts w:ascii="Arial" w:cs="Arial" w:eastAsia="Arial" w:hAnsi="Arial"/>
                <w:sz w:val="21"/>
                <w:szCs w:val="21"/>
                <w:color w:val="auto"/>
                <w:vertAlign w:val="superscript"/>
              </w:rPr>
              <w:t>(d)</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6"/>
                <w:szCs w:val="16"/>
                <w:color w:val="auto"/>
              </w:rPr>
              <w:t>___________________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6" w:right="80" w:hanging="326"/>
        <w:spacing w:after="0" w:line="246" w:lineRule="auto"/>
        <w:tabs>
          <w:tab w:leader="none" w:pos="3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connection with the termination of an exclusive supply agreement with a co-manufacturer in May 2017, we recorded restructuring expenses related to the impairment write-off of long-lived assets, primarily comprised of certain unrecoverable equipment located at the co-manufacturer’s site and company-paid leasehold improvements to the co-manufacturer’s facility, and legal and other expenses associated with the dispute with the co-manufacturer. See “Management’s Discussion and Analysis of Financial Condition and Results of Operations” and “Business—Legal Proceedings” elsewhere in this prospectus.</w:t>
      </w:r>
    </w:p>
    <w:p>
      <w:pPr>
        <w:spacing w:after="0" w:line="2" w:lineRule="exact"/>
        <w:rPr>
          <w:rFonts w:ascii="Arial" w:cs="Arial" w:eastAsia="Arial" w:hAnsi="Arial"/>
          <w:sz w:val="16"/>
          <w:szCs w:val="16"/>
          <w:color w:val="auto"/>
        </w:rPr>
      </w:pPr>
    </w:p>
    <w:p>
      <w:pPr>
        <w:ind w:left="326" w:right="40" w:hanging="326"/>
        <w:spacing w:after="0" w:line="246" w:lineRule="auto"/>
        <w:tabs>
          <w:tab w:leader="none" w:pos="3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additional charges related to inventory losses incurred as a result of termination of an exclusive supply agreement with a co-manufacturer and is recorded in cost of goods sold.</w:t>
      </w:r>
    </w:p>
    <w:p>
      <w:pPr>
        <w:ind w:left="326" w:right="520" w:hanging="326"/>
        <w:spacing w:after="0" w:line="246" w:lineRule="auto"/>
        <w:tabs>
          <w:tab w:leader="none" w:pos="3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additional charges incurred as a result of termination of an exclusive supply agreement with a co-manufacturer and is recorded in selling, general and administrative expenses.</w:t>
      </w:r>
    </w:p>
    <w:p>
      <w:pPr>
        <w:ind w:left="326" w:hanging="326"/>
        <w:spacing w:after="0"/>
        <w:tabs>
          <w:tab w:leader="none" w:pos="3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expenses associated with the conversion of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86"/>
          </w:cols>
          <w:pgMar w:left="914" w:top="881" w:right="8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as well as the other information in this prospectus, before deciding whether to invest in shares of our common stock. If any of the following risks actually occurs, our business, results of operations, financial condition and/or growth prospects could be materially adversely affected. In this case, the trading price of our common stock would likely decline and you might lose part or all your investment in our 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Brand, Our Products and Our 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have experienced net losses in almost every period since our inception. In the six months ended June 29, 2019, we incurred a net loss of $16.1 million. In the years ended December 31, 2016, 2017 and 2018, we incurred net losses of $25.1 million, $30.4 million and $29.9 million, respectively. We anticipate that our operating expenses and capital expenditures will increase substantially in the foreseeable future as we continue to invest to increase our customer base, supplier network and co-manufacturing partners, expand our marketing channels, invest in our distribution and manufacturing facilities, hire additional employees and enhance our technology and production capabilities. Our expansion efforts may prove more expensive than we anticipate, and we may not succeed in increasing our revenues and margins sufficiently to offset the anticipated higher expenses. We incur significant expenses in developing our innovative products, building out our manufacturing facilities, obtaining and storing ingredients and other products and marketing the products we offer. In addition, many of our expenses, including the costs associated with our existing and any future manufacturing facilities, are fixed. Accordingly, we may not be able to achieve or sustain profitability, and we may incur significant losses for the foreseeable future.</w:t>
      </w:r>
    </w:p>
    <w:p>
      <w:pPr>
        <w:spacing w:after="0" w:line="24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If we fail to effectively expand our manufacturing and production capacity, our business and operating results and our brand reputation could be harmed.</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If we do not have sufficient capacity to meet our customers’ demands and to satisfy increased demand, we will need to expand our operations, supply and manufacturing capabilities. However, there is risk in our ability to effectively scale production processes and effectively manage our supply chain requirements. We must accurately forecast demand for our products in order to ensure we have adequate available manufacturing capacity. Our forecasts are based on multiple assumptions which may cause our estimates to be inaccurate and affect our ability to obtain adequate manufacturing capacity (whether our own manufacturing capacity or co-manufacturing capacity) in order to meet the demand for our products, which could prevent us from meeting increased customer demand and harm our brand and our business and in some cases may result in fines we must pay customers or distributors if we are unable to fulfill orders placed by them in a timely manner or at all.</w:t>
      </w:r>
    </w:p>
    <w:p>
      <w:pPr>
        <w:spacing w:after="0" w:line="15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However, if we overestimate our demand and overbuild our capacity, we may have significantly underutilized assets and may experience reduced margins. If we do not accurately align our manufacturing capabilities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23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Because we rely on a limited number of third-party suppliers, we may not be able to obtain raw materials on a timely basis or in sufficient quantities to produce our products or meet the demand for our products.</w:t>
      </w:r>
    </w:p>
    <w:p>
      <w:pPr>
        <w:spacing w:after="0" w:line="1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rely on a limited number of vendors to supply us with raw materials. Our financial performance depends in large part on our ability to arrange for the purchase of raw materials in sufficient quantities at competitive prices. We are not assured of continued supply or pricing of raw materials. Any of our suppliers could discontinue or seek to alter their relationship with 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68" w:right="239" w:bottom="1440" w:gutter="0" w:footer="0" w:header="0"/>
        </w:sectPr>
      </w:pPr>
    </w:p>
    <w:bookmarkStart w:id="19" w:name="page20"/>
    <w:bookmarkEnd w:id="19"/>
    <w:p>
      <w:pPr>
        <w:ind w:right="40" w:firstLine="324"/>
        <w:spacing w:after="0" w:line="253" w:lineRule="auto"/>
        <w:rPr>
          <w:sz w:val="20"/>
          <w:szCs w:val="20"/>
          <w:color w:val="auto"/>
        </w:rPr>
      </w:pPr>
      <w:r>
        <w:rPr>
          <w:rFonts w:ascii="Arial" w:cs="Arial" w:eastAsia="Arial" w:hAnsi="Arial"/>
          <w:sz w:val="18"/>
          <w:szCs w:val="18"/>
          <w:color w:val="auto"/>
        </w:rPr>
        <w:t>We currently have two suppliers for the pea protein used in our fresh products. We have in the past experienced interruptions in the supply of pea protein from one supplier that resulted in delays in delivery to us. We could experience similar delays in the future from either or both of these suppliers. Any disruption in the supply of pea protein from these suppliers would have a material adverse effect on our business if we cannot replace these suppliers in a timely manner or at all. For more information regarding contract terms, see the section of this prospectus captioned “Business—Supply Agreements.”</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our pea protein suppliers manufacture their products at a limited number of facilities. A natural disaster, fire, power interruption, work stoppage or other calamity affecting any of these facilities, or any interruption in their operations, could negatively impact our ability to obtain required quantities of pea protein in a timely manner, or at all, which could materially reduce our net product sales and have a material adverse effect on our business and financial condition.</w:t>
      </w:r>
    </w:p>
    <w:p>
      <w:pPr>
        <w:spacing w:after="0" w:line="15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Events that adversely affect our suppliers of pea protein and other raw materials could impair our ability to obtain raw material inventory in the quantities that we desire. Such events include problems with our suppliers’ businesses, finances, labor relations, ability to import raw materials, costs, production, insurance and reputation, as well as natural disasters, fires or other catastrophic occurrences. We continuously seek alternative sources of protein to use in our products, but we may not be successful in diversifying the raw materials we use in our products.</w:t>
      </w:r>
    </w:p>
    <w:p>
      <w:pPr>
        <w:spacing w:after="0" w:line="152"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 we are unable to manage our supply chain effectively and ensure that our products are available to meet consumer demand, our operating costs could increase and our profit margins could decrease.</w:t>
      </w:r>
    </w:p>
    <w:p>
      <w:pPr>
        <w:spacing w:after="0" w:line="23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pea protein that meets our standards.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ability to ensure a continuing supply of ingredients at competitive prices depends on many factors beyond our control, such as the number and size of farms that grow certain crops such as Canadian and European yellow peas, the vagaries of these farming businesses (including poor harvests impacting the quality of the peas grown), changes in national and world economic conditions and our ability to forecast our ingredient requirements. The high 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offshore, and the availability of such ingredients may be affected by events in other countries, including France and Canada.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to distributors and retailers and may adversely affect our business, results of operations and financial condition.</w:t>
      </w:r>
    </w:p>
    <w:p>
      <w:pPr>
        <w:spacing w:after="0" w:line="24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We use a limited number of distributors for the substantial majority of our sales, and if we experience the loss of one or more distributors and cannot replace them in a timely manner, our results of operations may be adversely affected.</w:t>
      </w:r>
    </w:p>
    <w:p>
      <w:pPr>
        <w:spacing w:after="0" w:line="1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Many retailers purchase our products through food distributors which purchase, store, sell, and deliver our products to retailers. In the six months ended June 29, 2019, our largest distributors in terms of their respective percentage of our gross revenues included the following: DOT Foods, Inc. (“DOT”), 22% and United Natural Foods, Inc. (“UNFI”), 21%. In 2018, our largest distributors in terms of their</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382" w:right="279" w:bottom="1440" w:gutter="0" w:footer="0" w:header="0"/>
        </w:sectPr>
      </w:pPr>
    </w:p>
    <w:bookmarkStart w:id="20" w:name="page21"/>
    <w:bookmarkEnd w:id="20"/>
    <w:p>
      <w:pPr>
        <w:spacing w:after="0" w:line="252" w:lineRule="auto"/>
        <w:rPr>
          <w:sz w:val="20"/>
          <w:szCs w:val="20"/>
          <w:color w:val="auto"/>
        </w:rPr>
      </w:pPr>
      <w:r>
        <w:rPr>
          <w:rFonts w:ascii="Arial" w:cs="Arial" w:eastAsia="Arial" w:hAnsi="Arial"/>
          <w:sz w:val="18"/>
          <w:szCs w:val="18"/>
          <w:color w:val="auto"/>
        </w:rPr>
        <w:t>respective percentage of our gross revenues included the following: UNFI, 32%; DOT, 21%; and Sysco Merchandising and Supply Chain Services, Inc., 13%. We expect that most of our sales will be made through a core number of distributors for the foreseeable future. Since these distributors act as intermediaries between us and the retail grocers or restaurants and foodservice providers, we do not have short-term or long-term commitments or minimum purchase volumes in our contracts with them that ensure future sales of our products. If we lose one or more of our significant distributors and cannot replace the distributor in a timely manner or at all, our business, results of operation and financial condition may be materially adversely affected.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customers or the loss of a significant customer could negatively impact our sales and profitability.</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Supermarkets in North America and the European Union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152"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The loss of any large customer, the reduction of purchasing levels or the cancellation of any business from a large customer for an extended length of time could negatively impact our sales and profitability.</w:t>
      </w:r>
    </w:p>
    <w:p>
      <w:pPr>
        <w:spacing w:after="0" w:line="142"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Furthermore, as retailers consolidate, they may reduce the number of branded products they offer in order to accommodate private label products and generate more competitive terms from branded suppliers. Consequently, our financial results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w:t>
      </w:r>
    </w:p>
    <w:p>
      <w:pPr>
        <w:spacing w:after="0" w:line="24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We do not currently have any written contracts with our co-manufacturers in the United States. Loss of one or more of our co-manufacturers or our failure to timely identify and establish relationships with new co-manufacturers could harm our business and impede our growth.</w:t>
      </w:r>
    </w:p>
    <w:p>
      <w:pPr>
        <w:spacing w:after="0" w:line="136"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A significant amount of our revenue is derived from products manufactured at manufacturing facilities owned and operated by our co-manufacturers. We do not currently have written manufacturing contracts with our co-manufacturers in the United States. Because of the absence of such contracts, any of such co-manufacturers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An interruption in, or the loss of operations at, one or more of our co-manufacturing facilities, which may be caused by work stoppages, disease outbreaks or pandemics,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5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believe there are a limited number of competent, high-quality co-manufacturers in the industry that meet our strict quality and control standards, and as we seek to obtain additional or alternative co-manufacturing arrangements in the future, there can be no assurance that we would be able to do so on satisfactory terms, in a timely manner, or at all. Therefore, the loss of one or more co-manufacturers, any disruption or delay at a co-manufacturer or any failure to identify and engage co-manufacturers for new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82" w:right="259" w:bottom="1440" w:gutter="0" w:footer="0" w:header="0"/>
        </w:sectPr>
      </w:pPr>
    </w:p>
    <w:bookmarkStart w:id="21" w:name="page22"/>
    <w:bookmarkEnd w:id="21"/>
    <w:p>
      <w:pPr>
        <w:ind w:right="20"/>
        <w:spacing w:after="0" w:line="262" w:lineRule="auto"/>
        <w:rPr>
          <w:sz w:val="20"/>
          <w:szCs w:val="20"/>
          <w:color w:val="auto"/>
        </w:rPr>
      </w:pPr>
      <w:r>
        <w:rPr>
          <w:rFonts w:ascii="Arial" w:cs="Arial" w:eastAsia="Arial" w:hAnsi="Arial"/>
          <w:sz w:val="18"/>
          <w:szCs w:val="18"/>
          <w:color w:val="auto"/>
        </w:rPr>
        <w:t>products and product extensions could delay, postpone or reduce production of our products, which could have a material adverse effect on our business,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in our highly competitive market.</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operate in a highly competitive market. Numerous brands and products compete for limited retailer shelf space, foodservice and restaurant customers and consumers. In our market, competition is based on, among other things, product quality and taste, brand recognition and loyalty, product variety, interesting or unique product names, product packaging and package design, shelf space, reputation, price, advertising, promotion and nutritional claims.</w:t>
      </w:r>
    </w:p>
    <w:p>
      <w:pPr>
        <w:spacing w:after="0" w:line="15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compete with conventional animal-protein companies such as Cargill, Hormel, JBS, Tyson and WH Group (including its Smithfield division),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1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also compete with other food brands that develop and sell plant-based protein products, including, but not limited to, Boca Foods, Field Roast Grain Meat Co., Gardein, Impossible Foods, Lightlife, Morningstar Farms and Tofurky, and with companies which may be more innovative, have more resources and be able to bring new products to market faster and to more quickly exploit and serve niche markets such as lab-grown or “clean meat.” We compete with these competitors for foodservice and restaurant customers, retailer shelf space and consumers.</w:t>
      </w:r>
    </w:p>
    <w:p>
      <w:pPr>
        <w:spacing w:after="0" w:line="152"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Conventional food companies may acquire our competitors or launch their own plant-based protein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 See “Business—Competition” in this prospectus.</w:t>
      </w:r>
    </w:p>
    <w:p>
      <w:pPr>
        <w:spacing w:after="0" w:line="244"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the Beyond Burger, the build-out and equipping of our Manhattan Beach Project Innovation Center, and manufacturing facility improvements and purchases of manufacturing equipment. We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53"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As of June 29, 2019, we had cash and cash equivalents of $277.0 million. Our operating plan may change because of factors currently unknown to us, and we may need to seek additional funds sooner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82" w:right="239" w:bottom="1440" w:gutter="0" w:footer="0" w:header="0"/>
        </w:sectPr>
      </w:pPr>
    </w:p>
    <w:bookmarkStart w:id="22" w:name="page23"/>
    <w:bookmarkEnd w:id="22"/>
    <w:p>
      <w:pPr>
        <w:ind w:right="20"/>
        <w:spacing w:after="0" w:line="254" w:lineRule="auto"/>
        <w:rPr>
          <w:sz w:val="20"/>
          <w:szCs w:val="20"/>
          <w:color w:val="auto"/>
        </w:rPr>
      </w:pPr>
      <w:r>
        <w:rPr>
          <w:rFonts w:ascii="Arial" w:cs="Arial" w:eastAsia="Arial" w:hAnsi="Arial"/>
          <w:sz w:val="18"/>
          <w:szCs w:val="18"/>
          <w:color w:val="auto"/>
        </w:rPr>
        <w:t>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71" w:lineRule="exact"/>
        <w:rPr>
          <w:sz w:val="20"/>
          <w:szCs w:val="20"/>
          <w:color w:val="auto"/>
        </w:rPr>
      </w:pPr>
    </w:p>
    <w:p>
      <w:pPr>
        <w:ind w:left="660" w:right="18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142"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142"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costs associated with our current litigation with a former co-manufacturer;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4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w:t>
      </w:r>
    </w:p>
    <w:p>
      <w:pPr>
        <w:spacing w:after="0" w:line="171"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12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believe our consumers rely on us to provide them with high-quality plant-based protein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operating results. Although we believe we have a rigorous quality control process, there can be no assurance that our products will always comply with the standards set for our products. For example, although we strive to keep our products free of pathogenic organisms, they may not be easily detected and cross-contamination can occur. In addition, in 2017, before our products were shipped to distributors or customers, we discovered, through our quality control process, that certain of our products manufactured by a former co-manufacturer were contaminated with salmonella. There is no assurance that this health risk will always be preempted by our quality control processes.</w:t>
      </w:r>
    </w:p>
    <w:p>
      <w:pPr>
        <w:spacing w:after="0" w:line="15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then the value of our brand would be diminished, and our business, results of operations and financial condition would be adversely affected.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82" w:right="239" w:bottom="1440" w:gutter="0" w:footer="0" w:header="0"/>
        </w:sectPr>
      </w:pPr>
    </w:p>
    <w:bookmarkStart w:id="23" w:name="page24"/>
    <w:bookmarkEnd w:id="23"/>
    <w:p>
      <w:pPr>
        <w:ind w:firstLine="324"/>
        <w:spacing w:after="0" w:line="254" w:lineRule="auto"/>
        <w:rPr>
          <w:sz w:val="20"/>
          <w:szCs w:val="20"/>
          <w:color w:val="auto"/>
        </w:rPr>
      </w:pPr>
      <w:r>
        <w:rPr>
          <w:rFonts w:ascii="Arial" w:cs="Arial" w:eastAsia="Arial" w:hAnsi="Arial"/>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protein products and may significantly reduce our brand value. Issues regarding the safety of any of our products, regardless of the cause, may have a substantial and adverse effect on our brand, reputation and operating results.</w:t>
      </w:r>
    </w:p>
    <w:p>
      <w:pPr>
        <w:spacing w:after="0" w:line="15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23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13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could result in the discontinuance of sales of these products or our relationships with such suppliers,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5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and comparable state laws. Food recalls could result in significant losses due to their costs, the destruction of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spacing w:after="0" w:line="15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Recently issued FDA regulations will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and operating results.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82" w:right="259" w:bottom="1440" w:gutter="0" w:footer="0" w:header="0"/>
        </w:sectPr>
      </w:pPr>
    </w:p>
    <w:bookmarkStart w:id="24" w:name="page25"/>
    <w:bookmarkEnd w:id="24"/>
    <w:p>
      <w:pPr>
        <w:ind w:right="40"/>
        <w:spacing w:after="0" w:line="287" w:lineRule="auto"/>
        <w:rPr>
          <w:sz w:val="20"/>
          <w:szCs w:val="20"/>
          <w:color w:val="auto"/>
        </w:rPr>
      </w:pPr>
      <w:r>
        <w:rPr>
          <w:rFonts w:ascii="Arial" w:cs="Arial" w:eastAsia="Arial" w:hAnsi="Arial"/>
          <w:sz w:val="18"/>
          <w:szCs w:val="18"/>
          <w:b w:val="1"/>
          <w:bCs w:val="1"/>
          <w:i w:val="1"/>
          <w:iCs w:val="1"/>
          <w:color w:val="auto"/>
        </w:rPr>
        <w:t>Sales of the Beyond Burger contribute a significant portion of our revenue. A reduction in sales of the Beyond Burger would have an adverse effect on our financial condition.</w:t>
      </w:r>
    </w:p>
    <w:p>
      <w:pPr>
        <w:spacing w:after="0" w:line="12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Beyond Burger accounted for approximately 48% and 70% of our gross revenues in 2017 and 2018, respectively, and approximately 56% of our gross revenues in the six months ended June 29, 2019. The Beyond Burger is our flagship product and has been the focal point of our development and marketing efforts, and we believe that sales of the Beyond Burger will continue to constitute a significant portion of our revenues, income and cash flow for the foreseeable future. We cannot be certain that we will be able to continue to expand production and distribution of the Beyond Burger, or that customer demand for our other existing and future products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23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The primary components of all of our products are manufactured in our two Columbia, Missouri facilities and any damage or disruption at these facilities may harm our business. Moreover, Columbia, Missouri has a tight labor market and we may be unable to hire and retain employees at these facilities.</w:t>
      </w:r>
    </w:p>
    <w:p>
      <w:pPr>
        <w:spacing w:after="0" w:line="136"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A significant portion of our operations are located in our two Columbia, Missouri facilities. A natural disaster, fire, power interruption, work stoppage or other calamity at one or both of these facilities would significantly 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plans for addressing our rapid growth include expanding operations at our Columbia, Missouri facilities and/or seeking an alternative or additional facility. In this tight labor market, we may be unable to hire and retain skilled employees, which will severely hamper our expansion plans, product development and manufacturing efforts. As of April 2019, the Columbia area had an unemployment rate of 2.0%. As a result of this tight labor market, we currently rely on temporary workers in addition to full-time employees, and in the future, we may be unable to attract and retain employees with the skills we require, which could impact our ability to expand our operations.</w:t>
      </w:r>
    </w:p>
    <w:p>
      <w:pPr>
        <w:spacing w:after="0" w:line="23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may not successfully ramp up operations at our new Columbia, Missouri facility or this facility may not operate in accordance with our expectations.</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June 2018, we commenced manufacturing operations in our new Columbia, Missouri facility and expect to add more production capacity through 2021. Any substantial delay in bringing this facility up to full production on our current schedule may hinder our ability to produce all of the product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In addition, we have hired and will need to hire and retain more skilled employees to operate the expanded facility in this tight labor market. Even if our new Columbia, Missouri facility is brought up to full production according to our current schedule, it may not provide us with all of the operational and financial benefits we expect to receive.</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Columbia, Missouri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68" w:right="259" w:bottom="1440" w:gutter="0" w:footer="0" w:header="0"/>
        </w:sectPr>
      </w:pPr>
    </w:p>
    <w:bookmarkStart w:id="25" w:name="page26"/>
    <w:bookmarkEnd w:id="25"/>
    <w:p>
      <w:pPr>
        <w:ind w:right="40"/>
        <w:spacing w:after="0" w:line="254" w:lineRule="auto"/>
        <w:rPr>
          <w:sz w:val="20"/>
          <w:szCs w:val="20"/>
          <w:color w:val="auto"/>
        </w:rPr>
      </w:pPr>
      <w:r>
        <w:rPr>
          <w:rFonts w:ascii="Arial" w:cs="Arial" w:eastAsia="Arial" w:hAnsi="Arial"/>
          <w:sz w:val="18"/>
          <w:szCs w:val="18"/>
          <w:color w:val="auto"/>
        </w:rPr>
        <w:t>regulatory issues, equipment failure or delays in raw material deliveries. Any such disruption or unanticipated event may cause significant interruptions or delays in our business and the reduction or loss of inventory may render us unable to fulfill customer orders in a timely manner, or at all. We have property and business disruption insurance in place for our Columbia, Missouri facilities; however, such insurance coverage may not be sufficient to cover all of our potential losses and may not continue to be available to us on acceptable terms, or at all.</w:t>
      </w:r>
    </w:p>
    <w:p>
      <w:pPr>
        <w:spacing w:after="0" w:line="236"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i w:val="1"/>
          <w:iCs w:val="1"/>
          <w:color w:val="auto"/>
        </w:rPr>
        <w:t>Failure to introduce new products or successfully improve existing products may adversely affect our ability to continue to grow.</w:t>
      </w:r>
    </w:p>
    <w:p>
      <w:pPr>
        <w:spacing w:after="0" w:line="20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including complying with applicable governmental regulations, and the success of our management and sales and marketing teams in introducing and marketing new products. Our innovation staff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and market new products that appeal to consumers may lead to a decrease in our growth, sales and profitability.</w:t>
      </w:r>
    </w:p>
    <w:p>
      <w:pPr>
        <w:spacing w:after="0" w:line="15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Additionally, the development and introduction of new products requires substantial research, development and marketing expenditures, which we may be unable to recoup if the new products do not gain widespread market acceptance. If we are unsuccessful in meeting our objectives with respect to new or improved products, our business could be harmed.</w:t>
      </w:r>
    </w:p>
    <w:p>
      <w:pPr>
        <w:spacing w:after="0" w:line="2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12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success, and our ability to increase revenue and operate profitably, depends in part on our ability to cost-effectively acquire new customers, to retain existing customers, and to keep existing customers engaged so that they continue to purchase products from us. If we are unable to cost-effectively acquire new customers, retain our existing customers or keep existing customers engaged, our business, financial condition and operating results would be materially adversely affected. Further, if customers do not perceive our product offerings to be of sufficient value and quality, or if we fail to offer new and relevant product offerings, we may not be able to attract or retain customers or engage existing customers so that they continue to purchase products from us. We may lose loyal customers to our competitors if we are unable to meet customers’ orders in a timely manner.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future growth effectively, our business could be materially adversely affected.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grown rapidly since inception and anticipate further growth. For example, our net revenues increased from $16.2 million at December 31, 2016 to $32.6 million at December 31, 2017 and to $ 87.9 million at December 31, 2018. Net revenues in the six months ended June 29, 2019 were $107.5 million. Our full-time employee count at June 29, 2019 (including contract employees) has more than doubled since December 31, 2016. This growth has placed significant demands on our management, financial, operational, technological and other resources. The anticipated growth and expansion of our business and our product offerings will place significant demands on our management and operations teams and require significant additional resources to meet our needs, which may not be available in a cost-effective manner, or at all. If we do not effectively manage our growth, we may not be able to execute on our business plan, respond to competitive pressures, take advantage of market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82" w:right="259" w:bottom="1440" w:gutter="0" w:footer="0" w:header="0"/>
        </w:sectPr>
      </w:pPr>
    </w:p>
    <w:bookmarkStart w:id="26" w:name="page27"/>
    <w:bookmarkEnd w:id="26"/>
    <w:p>
      <w:pPr>
        <w:ind w:right="20"/>
        <w:spacing w:after="0" w:line="262" w:lineRule="auto"/>
        <w:rPr>
          <w:sz w:val="20"/>
          <w:szCs w:val="20"/>
          <w:color w:val="auto"/>
        </w:rPr>
      </w:pPr>
      <w:r>
        <w:rPr>
          <w:rFonts w:ascii="Arial" w:cs="Arial" w:eastAsia="Arial" w:hAnsi="Arial"/>
          <w:sz w:val="18"/>
          <w:szCs w:val="18"/>
          <w:color w:val="auto"/>
        </w:rPr>
        <w:t>opportunities, satisfy customer requirements or maintain high-quality product offerings, any of which could harm our business, brand, results of operations and financial condition.</w:t>
      </w:r>
    </w:p>
    <w:p>
      <w:pPr>
        <w:spacing w:after="0" w:line="228"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b w:val="1"/>
          <w:bCs w:val="1"/>
          <w:i w:val="1"/>
          <w:iCs w:val="1"/>
          <w:color w:val="auto"/>
        </w:rPr>
        <w:t>We face intense competition in our market from our competitors, including manufacturers of animal-based meat products and other brands that produce plant-based protein products, and potential competitors and may lack sufficient financial or other resources to compete successfully.</w:t>
      </w:r>
    </w:p>
    <w:p>
      <w:pPr>
        <w:spacing w:after="0" w:line="136"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future success depends, in large part, on our ability to implement our growth strategy of expanding supply and distribution, improving placement of our products, attracting new consumers to our brand and introducing new products and product extensions. Our ability to implement this growth strategy depends, among other things, on our ability to:</w:t>
      </w:r>
    </w:p>
    <w:p>
      <w:pPr>
        <w:spacing w:after="0" w:line="148" w:lineRule="exact"/>
        <w:rPr>
          <w:sz w:val="20"/>
          <w:szCs w:val="20"/>
          <w:color w:val="auto"/>
        </w:rPr>
      </w:pPr>
    </w:p>
    <w:p>
      <w:pPr>
        <w:ind w:left="660" w:right="2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relationships with various suppliers, co-manufacturers, distributors, customers and other third parties, and expend time and effort to integrate new suppliers, co-manufacturers and customers into our fulfillment operations;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compete in the retail channel and the restaurant and foodservice channel;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secure placement in the meat case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and maintain brand loyalty;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new product lines and extensions.</w:t>
      </w:r>
    </w:p>
    <w:p>
      <w:pPr>
        <w:spacing w:after="0" w:line="17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may not be able to implement our growth strategy successfully. Our sales and operating results will be adversely affected if we fail to implement our growth strategy or if we invest resources in a growth strategy that ultimately proves unsuccessful.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intend to continue to expand our global footprint in order to enter into new markets. This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expand our business into new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impact the profitability of our business.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purchase large quantities of raw materials, including ingredients derived from Canadian and European yellow peas, mung beans, sunflower seeds, rice,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382" w:right="299" w:bottom="1440" w:gutter="0" w:footer="0" w:header="0"/>
        </w:sectPr>
      </w:pPr>
    </w:p>
    <w:bookmarkStart w:id="27" w:name="page28"/>
    <w:bookmarkEnd w:id="27"/>
    <w:p>
      <w:pPr>
        <w:ind w:right="400"/>
        <w:spacing w:after="0" w:line="262" w:lineRule="auto"/>
        <w:rPr>
          <w:sz w:val="20"/>
          <w:szCs w:val="20"/>
          <w:color w:val="auto"/>
        </w:rPr>
      </w:pPr>
      <w:r>
        <w:rPr>
          <w:rFonts w:ascii="Arial" w:cs="Arial" w:eastAsia="Arial" w:hAnsi="Arial"/>
          <w:sz w:val="18"/>
          <w:szCs w:val="18"/>
          <w:color w:val="auto"/>
        </w:rPr>
        <w:t>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our brand, our business could suffer.</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and our ability to provide a consistent, high-quality customer experience. Any negative publicity, regardless of its accuracy, could materially adversely affect our business.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w:t>
      </w:r>
    </w:p>
    <w:p>
      <w:pPr>
        <w:spacing w:after="0" w:line="23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business is focused on the development, manufacture, marketing and distribution of a line of branded plant-based protein products as alternatives to animal-based protein products. Consumer demand could change based on a number of possible factors, including dietary habits and nutritional values, concerns regarding the health effects of ingredients and shifts in preference for various product attributes. If consumer demand for our products decreased, our business and financial condition would suffer. In addition, sales of plant-based protein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protein to animal-based protein products, economic factors and social trends. A significant shift in consumer demand away from our products could reduce our sales or our market share and the prestige of our brand, which would harm our business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may slow over time and may not be indicative of future performance.</w:t>
      </w:r>
    </w:p>
    <w:p>
      <w:pPr>
        <w:spacing w:after="0" w:line="28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Although we have grown rapidly over the last several years, our revenue growth rates may slow over time due to a number of reasons, including increasing competition, market saturation, slowing demand for our offerings, increasing regulatory costs and challenges, and failure to capitalize on growth opportunities.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earnings may fluctuate as a result of our promotional activities.</w:t>
      </w:r>
    </w:p>
    <w:p>
      <w:pPr>
        <w:spacing w:after="0" w:line="193"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which may occasionally result in reduced margins. These programs include rebates, temporary on shelf price reductions, off-invoice discounts, retailer advertisements, product coupons and other trade activities. We anticipate that, at times, these promotional activities may adversely impact our net revenues and results of operations.</w:t>
      </w:r>
    </w:p>
    <w:p>
      <w:pPr>
        <w:spacing w:after="0" w:line="12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12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Historically, we have realized a higher portion of our net revenues, net income and operating cash flows in our second and third quarters due to weather and related increase in outdoor activities such as barbecues. Any factors that harm our second and third quarter operating results, including disruptions in our supply chain, adverse weather or unfavorable economic conditions, may have a disproportionate effect on our results of operations for the entire year.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8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Historical results are not indicative of future results.</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example, on May 25, 2017, following our termination of our supply agreement with Don Lee Farms, a co-manufacturer, Don Lee Farms filed a lawsuit against us in California state court claiming that we wrongfully terminated the parties’ contract and that we misappropriated their trade secrets principally by sharing with subsequent co-manufacturers the processes for manufacturing our products—processes which they claim to have developed. On July 27, 2017 we filed a cross-complaint, alleging that Don Lee Farms (1) breached the supply agreement, including by failing to provide saleable product, as certain of our products manufactured by Don Lee Farms were contaminated with salmonella and other foreign objects, and that Don Lee Farms did not take appropriate actions to address these issues; (2) engaged in unfair competition in violation of California’s Unfair Competition Law; and (3) unlawfully converted certain Beyond Meat property, including certain pieces of equipment.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Don Lee Farms is seeking from us and ProPortion unspecified compensatory and punitive damages, declaratory and injunctive relief, including the prohibition of our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 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w:t>
      </w:r>
    </w:p>
    <w:p>
      <w:pPr>
        <w:spacing w:after="0" w:line="1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intend to vigorously defend ourselves against the claims and prosecute our own. However,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68" w:right="259" w:bottom="1440" w:gutter="0" w:footer="0" w:header="0"/>
        </w:sectPr>
      </w:pPr>
    </w:p>
    <w:bookmarkStart w:id="29" w:name="page30"/>
    <w:bookmarkEnd w:id="29"/>
    <w:p>
      <w:pPr>
        <w:ind w:right="80"/>
        <w:spacing w:after="0" w:line="256" w:lineRule="auto"/>
        <w:rPr>
          <w:sz w:val="20"/>
          <w:szCs w:val="20"/>
          <w:color w:val="auto"/>
        </w:rPr>
      </w:pPr>
      <w:r>
        <w:rPr>
          <w:rFonts w:ascii="Arial" w:cs="Arial" w:eastAsia="Arial" w:hAnsi="Arial"/>
          <w:sz w:val="18"/>
          <w:szCs w:val="18"/>
          <w:color w:val="auto"/>
        </w:rPr>
        <w:t>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As another example, we also could be required to pay attorney’s fees and costs incurred by Don Lee Farms or ProPortion.</w:t>
      </w:r>
    </w:p>
    <w:p>
      <w:pPr>
        <w:spacing w:after="0" w:line="148"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claims, government investigations or other regulatory enforcement actions could subject us to civil and criminal penalties.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Consequently, we are subject to heightened risk of legal claims, government investigations or other regulatory enforcement actions. Although we have implemented policies and procedures designed to ensure compliance with existing laws and regulations, there can be no assurance that our employees, temporary workers, contractors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transportation providers to deliver our products on time, or at all, could result in lost sales.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currently rely upon third-party transportation providers for a significant portion of our product shipments. Our utilization of delivery services for shipments is subject to risks, including increases in fuel prices, which would increase our shipping costs, and employee strikes and inclement weather, which may impact the ability of providers to provide delivery services that adequately meet our shipping needs.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third-party transportation providers that we currently use, which in turn would increase our costs and thereby adversely affect our operating results.</w:t>
      </w:r>
    </w:p>
    <w:p>
      <w:pPr>
        <w:spacing w:after="0" w:line="23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2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For example, several of the reports rely on or employ projections of consumer adoption and incorporate data from secondary sources such as company websites as well as industry, trade and government publications. While our estimates 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30" w:name="page31"/>
    <w:bookmarkEnd w:id="30"/>
    <w:p>
      <w:pPr>
        <w:ind w:right="540"/>
        <w:spacing w:after="0" w:line="256" w:lineRule="auto"/>
        <w:rPr>
          <w:sz w:val="20"/>
          <w:szCs w:val="20"/>
          <w:color w:val="auto"/>
        </w:rPr>
      </w:pPr>
      <w:r>
        <w:rPr>
          <w:rFonts w:ascii="Arial" w:cs="Arial" w:eastAsia="Arial" w:hAnsi="Arial"/>
          <w:sz w:val="18"/>
          <w:szCs w:val="18"/>
          <w:color w:val="auto"/>
        </w:rPr>
        <w:t>market size and expected growth of our market were made in good faith and are based on assumptions and estimates we believe to be reasonable, these estimates may not prove to be accurate. Even if the market in which we compete meets the size estimates and growth forecast in this prospectus, our business could fail to grow at the rate we anticipate, if at all.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our senior management may adversely affect our operations.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success is substantially dependent on the continued service of certain members of our senior management, including Ethan Brown, our Chief Executive Officer. These executives 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train and retain employees, we may not be able to grow or successfully operate our business.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and consumers.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are employed by professional employer organizations.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contract with a professional employer organization, or US PEO, that administers our human resources, payroll and employee benefits functions for our employees in the United States. We also contract with non-US PEOs to perform the same functions as the US PEO for employees outside the United States. Although we recruit and select our workers, each of our workers is also an employee of record of the relevant PEO. As a result, our workers are compensated through the relevant PEO, are governed by the work policies created by the relevant PEO and receive their annual wage statements and other payroll or labor related reports from the relevant PEO (e.g., W-2s from the US PEO for employees in the United States, T-4s for employees in Canada). This relationship permits management to focus on operations and profitability rather than payroll administration, but this relationship also exposes us to some risks. Among other risks, if the US PEO fails to adequately withhold or pay employer taxes or to comply with other laws, such as the Fair Labor Standards Act, the Family and Medical Leave Act, the Employee Retirement Income Security Act or state and federal anti-discrimination laws, each of which is outside of our control, we would be liable for such violations, and indemnification provisions with the US PEO, if applicable, may not be sufficient to insulate us from those liabilities. If any of the non-US PEOs fail to adequately withhold or pay employer taxes or to comply with applicable laws, we may be held liable for such violations notwithstanding any indemnification provisions with the non-US 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31" w:name="page32"/>
    <w:bookmarkEnd w:id="31"/>
    <w:p>
      <w:pPr>
        <w:ind w:right="400"/>
        <w:spacing w:after="0" w:line="287" w:lineRule="auto"/>
        <w:rPr>
          <w:sz w:val="20"/>
          <w:szCs w:val="20"/>
          <w:color w:val="auto"/>
        </w:rPr>
      </w:pPr>
      <w:r>
        <w:rPr>
          <w:rFonts w:ascii="Arial" w:cs="Arial" w:eastAsia="Arial" w:hAnsi="Arial"/>
          <w:sz w:val="18"/>
          <w:szCs w:val="18"/>
          <w:b w:val="1"/>
          <w:bCs w:val="1"/>
          <w:i w:val="1"/>
          <w:iCs w:val="1"/>
          <w:color w:val="auto"/>
        </w:rPr>
        <w:t>We rely on information technology systems and any inadequacy, failure, interruption or security breaches of those systems may harm our ability to effectively operate our business.</w:t>
      </w:r>
    </w:p>
    <w:p>
      <w:pPr>
        <w:spacing w:after="0" w:line="1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natural disasters, systems failures, viruses and security breaches. Any such damage or interruption could have a material adverse effect on our business.</w:t>
      </w:r>
    </w:p>
    <w:p>
      <w:pPr>
        <w:spacing w:after="0" w:line="238"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A cybersecurity incident or other technology disruptions could negatively impact our business and our relationships with customers.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a strategy to grow through acquisitions and to pursue new initiatives that improve our operations and cost structure, we will also be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worldwide economy may adversely affect our business, results of operations and financial condition.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Adverse and uncertain economic conditions may impact distributor, retailer, foodservice and consumer demand for our products. In addition, our ability to manage normal commercial relationships with our suppliers, co-manufacturers, distributors, retailers, foodservice consumers and creditors may suffer. Consumers may shift purchases to lower-priced or other perceived value offerings during economic downturns.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Our results of operations depend upon, among other things, our ability to maintain and increase sales volume with our existing distributors, retailer and foodservice customers, our ability to attract new consumers, the financial condition of our consumers and our ability to provide products that appeal to consumers at the right price. Prolonged unfavorable economic conditions may have an adverse effect on our sales and profitability.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68"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A major earthquake, tsunami, tornado or other natural disaster could seriously disrupt our entire business.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corporate offices and research and development functions are located in El Segundo, California, and our industrial manufacturing facilities are located in Columbia, Missouri. The impact of a major earthquake or tsunami, or both, or other natural disasters in the Los Angeles area, or a tornado or other natural disaster in the Columbia area, on our facilities and overall operations is difficult to predict, but such a natural disaster could seriously disrupt our entire business. Our insurance may not adequately cover our losses and expenses in the event of such a natural disaster. As a result, natural disasters, such as a major earthquake, tsunami or tornado in the Los Angeles or Columbia areas or in areas where our co-manufacturers are located, could lead to substantial losses.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There is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Canadian and European yellow peas, mung beans, sunflowers, rice, canola oil and coconut oil. Due to climate change, we may also be subjected to decreased availability of water, deteriorated quality of water or less favorable pricing for water, which could adversely impact our manufacturing and distribution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7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state regulation, and there is no assurance that we will be in compliance with all regulations.</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operations are subject to extensive regulation by the FDA, and other federal, state and local authorities. Specifically, we are subject to the requirements of the Federal Food, Drug and Cosmetic Act and regulations promulgated thereunder by the FDA. 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preventative controls regulations, current good manufacturing practices, or cGMPs, and supplier verification requirements. Our processing facilities, including those of our co-manufacturers, are subject to periodic inspection by federal, state and local authorities. We do not control the manufacturing processes of, and rely upon, our co-manufacturers for compliance with cGMPs for the manufacturing of our products that is conducted by our co-manufacturers. If we or our co-manufacturers cannot successfully manufacture products that conform to our specifications and the strict regulatory requirements of the FDA or others, we or they may be subject to adverse inspectional findings or enforcement actions, which could materially impact our ability to market our products, could result in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foreign regulatory authority determines that we or these co-manufacturers have not complied with the applicable regulatory requirements, our business may be materially impacted.</w:t>
      </w:r>
    </w:p>
    <w:p>
      <w:pPr>
        <w:spacing w:after="0" w:line="15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on the marketing or manufacturing of products, or refusals to permit the import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68" w:right="299" w:bottom="1440" w:gutter="0" w:footer="0" w:header="0"/>
        </w:sectPr>
      </w:pPr>
    </w:p>
    <w:bookmarkStart w:id="33" w:name="page34"/>
    <w:bookmarkEnd w:id="33"/>
    <w:p>
      <w:pPr>
        <w:spacing w:after="0" w:line="262" w:lineRule="auto"/>
        <w:rPr>
          <w:sz w:val="20"/>
          <w:szCs w:val="20"/>
          <w:color w:val="auto"/>
        </w:rPr>
      </w:pPr>
      <w:r>
        <w:rPr>
          <w:rFonts w:ascii="Arial" w:cs="Arial" w:eastAsia="Arial" w:hAnsi="Arial"/>
          <w:sz w:val="18"/>
          <w:szCs w:val="18"/>
          <w:color w:val="auto"/>
        </w:rPr>
        <w:t>or export of products, as well as potential criminal sanctions, which could result in increased operating costs resulting in a material effect on our operating results and business. See “Business—Government Regulation” in this 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or will be subject to international regulations that could adversely affect our business and results of operations.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or will be subject to extensive regulations internationally where we manufacture, distribute and/or sell our products. Our products are subject to numerous food safety and other laws and regulations relating to the sourcing, manufacturing,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and have not heard more from regulators in Canada. We have continued to export to Canada without further inquiry from Canadian officials. However, if regulators determine that the labeling and/or composition of any of our products is not in compliance with Canadian law or regulations, or if we or our co-manufacturers otherwise fail to comply with applicable laws and regulations in Canada or other jurisdictions,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w:t>
      </w:r>
    </w:p>
    <w:p>
      <w:pPr>
        <w:spacing w:after="0" w:line="15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addition, with our expanding international operations, we could be adversely affected by violations of the U.S. Foreign Corrupt Practices Act, or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or agents. Violations of these laws, or allegations of such violations, could disrupt our business and result in a material adverse effect on our results of operations, cash flows and financial condition.</w:t>
      </w:r>
    </w:p>
    <w:p>
      <w:pPr>
        <w:spacing w:after="0" w:line="24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Changes in existing laws or regulations, or the adoption of new laws or regulations may increase our costs and otherwise adversely affect our business, results of operations and financial condition.</w:t>
      </w:r>
    </w:p>
    <w:p>
      <w:pPr>
        <w:spacing w:after="0" w:line="121"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 manufacture and marketing of food products is highly regulated. We, our suppliers and co-manufacturers are subject to a variety of laws and regulations. These laws and regulations apply to many aspects of our business, including the manufacture, packaging, labeling, distribution, advertising, sale, quality and safety of our products, as well as the health and safety of our employees and the protection of the environment.</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United States, we are subject to regulation by various government agencies, including the FDA, Federal Trade Commission, or FTC, Occupational Safety and Health Administration and the Environmental Protection Agency, as well as various state and local agencies. We are also regulated outside the United States by various international regulatory bodies. In addition, we are subject to certain standards, such as Global Food Safety Initiative, or GFSI, standards and review by voluntary organizations, such as the Council of Better Business Bureaus’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82" w:right="259" w:bottom="1440" w:gutter="0" w:footer="0" w:header="0"/>
        </w:sectPr>
      </w:pPr>
    </w:p>
    <w:bookmarkStart w:id="34" w:name="page35"/>
    <w:bookmarkEnd w:id="34"/>
    <w:p>
      <w:pPr>
        <w:ind w:right="20" w:firstLine="324"/>
        <w:spacing w:after="0" w:line="252" w:lineRule="auto"/>
        <w:rPr>
          <w:sz w:val="20"/>
          <w:szCs w:val="20"/>
          <w:color w:val="auto"/>
        </w:rPr>
      </w:pPr>
      <w:r>
        <w:rPr>
          <w:rFonts w:ascii="Arial" w:cs="Arial" w:eastAsia="Arial" w:hAnsi="Arial"/>
          <w:sz w:val="18"/>
          <w:szCs w:val="18"/>
          <w:color w:val="auto"/>
        </w:rPr>
        <w:t>The regulatory environment in which we operate could change significantly and adversely in the future. Any change in manufacturing, labeling or packaging requirements for our products may lead to an increase in costs or interruptions in production, either of which could adversely affect our operations and financial condition. New or revised government laws and regulations could result in additional compliance costs and, in the event of non-compliance, civil remedies, including fines, injunctions, withdrawals, recalls or seizures and confiscations, as well as potential criminal sanctions, any of which may adversely affect our business, results of operations and financial condition. In particular, recent federal, state and foreign attention to the naming of plant-based meat products could result in standards or requirements that mandate changes to our current labeling.</w:t>
      </w:r>
    </w:p>
    <w:p>
      <w:pPr>
        <w:spacing w:after="0" w:line="23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in connection with plant-based protein products could adversely affect our business, prospects, results of operations or financial condition.</w:t>
      </w:r>
    </w:p>
    <w:p>
      <w:pPr>
        <w:spacing w:after="0" w:line="13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Canadian Food Inspection Agency, or the CFIA, could take action to impact our ability to use the term “meat” or similar words (such as “beef”) to describe our products. For example, in 2018, the state of Missouri passed a law prohibiting any person engaged in advertising, offering for sale, or sale of food products from misrepresenting a product as meat that is not derived from harvested production livestock or poultry. While the state of Missouri Department of Agriculture clarified its interpretation that products which include prominent disclosure that the product is “made from plants,” or comparable disclosure such as through the use of the phrase “plant-based,” are not misrepresented under the Missouri law, additional states have recently passed similar laws, and other regulators could always take a different position. Canadian Food and Drug Regulations also provide requirements for “simulated meat” products, including requirements around composition and naming.</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a food may be deemed misbranded if its labeling is false or misleading in any particular way, and the FDA , CFIA or other regulators could interpret the use of the term “meat” or any similar phrase(s) to describe our plant-based protein products as false or misleading or likely to create an erroneous impression regarding their composition. Recently, the FDA announced that it will reexamine its enforcement of the standard of identity for milk, the official definition of which involves “lacteal secretion,” which may result in the restriction of the use of the term “milk” to only those products that are animal-based (we note there is no comparable FDA standard of identity for “meat” or other terms that we use to label our products). The USDA has also received a petition from industry requesting that the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However, should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and our business, prospects, results of operations or financial condition could be adversely affected.</w:t>
      </w:r>
    </w:p>
    <w:p>
      <w:pPr>
        <w:spacing w:after="0" w:line="243"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b w:val="1"/>
          <w:bCs w:val="1"/>
          <w:i w:val="1"/>
          <w:iCs w:val="1"/>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13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If our suppliers or co-manufacturers fail to comply with food safety, environmental or other laws and regulations, or face allegations of non-compliance, their operations may be disrupted. Additionally, our co-manufacturers are required to maintain the quality of our products and to comply with our product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82" w:right="239" w:bottom="1440" w:gutter="0" w:footer="0" w:header="0"/>
        </w:sectPr>
      </w:pPr>
    </w:p>
    <w:bookmarkStart w:id="35" w:name="page36"/>
    <w:bookmarkEnd w:id="35"/>
    <w:p>
      <w:pPr>
        <w:ind w:right="20"/>
        <w:spacing w:after="0" w:line="251" w:lineRule="auto"/>
        <w:rPr>
          <w:sz w:val="20"/>
          <w:szCs w:val="20"/>
          <w:color w:val="auto"/>
        </w:rPr>
      </w:pPr>
      <w:r>
        <w:rPr>
          <w:rFonts w:ascii="Arial" w:cs="Arial" w:eastAsia="Arial" w:hAnsi="Arial"/>
          <w:sz w:val="18"/>
          <w:szCs w:val="18"/>
          <w:color w:val="auto"/>
        </w:rPr>
        <w:t>specifications. In the event of actual or alleged non-compliance,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and economic loss. For example, some of our co-manufacturers also process products with textured vegetable protein, a GMO product, and while we require them to process our products in separate designated quarters in their facilities, cross-contamination may occur and result in genetically modified organisms in our supply chain.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results of operations and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technology adequately, which may impact our commercial success.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a combination of patent protection, where appropriate and available, copyrights, trade secrets and trademarks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July 15, 2019, we had one issued U.S. patent and 18 pending patent applications, including five in the United States and 13 international patent applications.</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or USPTO, to determine who was the first to invent any of the subject matter covered by the patent claims of our applications.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5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Moreover, in the United States, the Leahy-Smith America Invents Act, or the Leahy-Smith Act, enacted in September 2011, brought significant changes to the U.S. patent system, including a change from a “first to invent” system to a “first to file” system. Other changes in the Leahy-Smith Act affect the way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82" w:right="259" w:bottom="1440" w:gutter="0" w:footer="0" w:header="0"/>
        </w:sectPr>
      </w:pPr>
    </w:p>
    <w:bookmarkStart w:id="36" w:name="page37"/>
    <w:bookmarkEnd w:id="36"/>
    <w:p>
      <w:pPr>
        <w:jc w:val="both"/>
        <w:ind w:right="320"/>
        <w:spacing w:after="0" w:line="256" w:lineRule="auto"/>
        <w:rPr>
          <w:sz w:val="20"/>
          <w:szCs w:val="20"/>
          <w:color w:val="auto"/>
        </w:rPr>
      </w:pPr>
      <w:r>
        <w:rPr>
          <w:rFonts w:ascii="Arial" w:cs="Arial" w:eastAsia="Arial" w:hAnsi="Arial"/>
          <w:sz w:val="18"/>
          <w:szCs w:val="18"/>
          <w:color w:val="auto"/>
        </w:rPr>
        <w:t>March 16, 2013. The Leahy-Smith Act and its implementation could increase the uncertainties and costs surrounding the prosecution of our patent applications and the enforcement or defense of our issued patents, which could have a material adverse effect on our business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adequately, which may harm the value of our brand.</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our intellectual property has substantial value and has contributed significantly to the success of our business. Our trademarks, including the Beyond Burger, Beyond Beef, Beyond Chicken, Beyond Meat, Beyond Sausage, Beyond Breakfast Sausage, The Cookout Classic, The Future of Protein and The Future of Protein Beyond Meat,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w:t>
      </w:r>
    </w:p>
    <w:p>
      <w:pPr>
        <w:spacing w:after="0" w:line="15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In addition, if we do not keep our trade secrets confidential, others may produce products with our recipes or formulations.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7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investors may lose confidence in our financial reporting and the trading price of our common stock may decline.</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We are in the process of upgrading our information technology systems and implementing additional financial and management controls, reporting systems and procedures in order to keep up with the requirements of being a reporting company under the Exchange Act. Additionally, the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82" w:right="259" w:bottom="1440" w:gutter="0" w:footer="0" w:header="0"/>
        </w:sectPr>
      </w:pPr>
    </w:p>
    <w:bookmarkStart w:id="37" w:name="page38"/>
    <w:bookmarkEnd w:id="37"/>
    <w:p>
      <w:pPr>
        <w:ind w:right="40"/>
        <w:spacing w:after="0" w:line="254" w:lineRule="auto"/>
        <w:rPr>
          <w:sz w:val="20"/>
          <w:szCs w:val="20"/>
          <w:color w:val="auto"/>
        </w:rPr>
      </w:pPr>
      <w:r>
        <w:rPr>
          <w:rFonts w:ascii="Arial" w:cs="Arial" w:eastAsia="Arial" w:hAnsi="Arial"/>
          <w:sz w:val="18"/>
          <w:szCs w:val="18"/>
          <w:color w:val="auto"/>
        </w:rPr>
        <w:t>rapid growth of our operations and the IPO have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150"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If we cease to be an “emerging growth company” as defined in the JOBS Act, commencing with our second annual report on Form 10-K that we will file after becoming a public reporting company, we must perform system and process evaluation and testing of our internal control over financial reporting to allow management to report on the effectiveness of our internal control over financial reporting in our Form 10</w:t>
      </w:r>
      <w:r>
        <w:rPr>
          <w:rFonts w:ascii="MS PGothic" w:cs="MS PGothic" w:eastAsia="MS PGothic" w:hAnsi="MS PGothic"/>
          <w:sz w:val="18"/>
          <w:szCs w:val="18"/>
          <w:color w:val="auto"/>
        </w:rPr>
        <w:t>‑</w:t>
      </w:r>
      <w:r>
        <w:rPr>
          <w:rFonts w:ascii="Arial" w:cs="Arial" w:eastAsia="Arial" w:hAnsi="Arial"/>
          <w:sz w:val="18"/>
          <w:szCs w:val="18"/>
          <w:color w:val="auto"/>
        </w:rPr>
        <w:t>K filing for that year, as required by Section 404 of the Sarbanes Oxley Act. The rules governing the standards that must be met for management to assess our internal control over financial reporting are complex and require significant documentation, testing and possible remediation. We expect to expend significant resources in developing the necessary documentation and testing procedures required by Section 404. We cannot be certain that the actions we will be taking to improve our internal controls over financial reporting will be sufficient, or that we will be able to implement our planned processes and procedures in a timely manner.</w:t>
      </w:r>
    </w:p>
    <w:p>
      <w:pPr>
        <w:spacing w:after="0" w:line="16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3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2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82" w:right="259" w:bottom="1440" w:gutter="0" w:footer="0" w:header="0"/>
        </w:sectPr>
      </w:pPr>
    </w:p>
    <w:bookmarkStart w:id="38" w:name="page39"/>
    <w:bookmarkEnd w:id="38"/>
    <w:p>
      <w:pPr>
        <w:ind w:right="80"/>
        <w:spacing w:after="0" w:line="262" w:lineRule="auto"/>
        <w:rPr>
          <w:sz w:val="20"/>
          <w:szCs w:val="20"/>
          <w:color w:val="auto"/>
        </w:rPr>
      </w:pPr>
      <w:r>
        <w:rPr>
          <w:rFonts w:ascii="Arial" w:cs="Arial" w:eastAsia="Arial" w:hAnsi="Arial"/>
          <w:sz w:val="18"/>
          <w:szCs w:val="18"/>
          <w:color w:val="auto"/>
        </w:rPr>
        <w:t>result, our financial statements may not be comparable to companies that comply with new or revised accounting pronouncements as of public company effective dates.</w:t>
      </w:r>
    </w:p>
    <w:p>
      <w:pPr>
        <w:spacing w:after="0" w:line="14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as long as we continue to be an emerging growth company, we also intend to take advantage of certain other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exemptions from the requirements of holding non-binding advisory votes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23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will require us to incur increased costs and may strain our resources, divert management’s attention and affect our ability to attract and retain qualified board members.</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related rules adopted by the SEC and the Nasdaq Global Select Market, impose significant requirements on public companies, including requiring establishment and maintenance of effective disclosure and financial controls and changes in corporate governance practices. Further, under the Dodd-Frank Wall Street Reform and Consumer Protection Act, or the Dodd-Frank Act, the SEC adopted rules and regulations related to corporate governance and executive compensation, such as “say on pay” and proxy access. Emerging growth companies are permitted to implement many of these requirements over a longer period and up to five years following the completion of its initial public offering. We intend to take advantage of this legislation for as long as we are permitted to do so. Once we become required to implement these requirements, we will incur additional compliance-related expenses. Additionally, the SEC and other regulators have continued to adopt new rules and regulations and make additional changes to existing regulations that require our compliance.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to respond to these requirements.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8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may continue to be highly volatile, and you could lose all or part of your investment.</w:t>
      </w:r>
    </w:p>
    <w:p>
      <w:pPr>
        <w:spacing w:after="0" w:line="193"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market price of our common stock following our IPO has been and is likely to continue to be highly volatile and could be subject to wide fluctuations in response to many factors discussed in this “Risk Factors” section, including:</w:t>
      </w:r>
    </w:p>
    <w:p>
      <w:pPr>
        <w:spacing w:after="0" w:line="142" w:lineRule="exact"/>
        <w:rPr>
          <w:sz w:val="20"/>
          <w:szCs w:val="20"/>
          <w:color w:val="auto"/>
        </w:rPr>
      </w:pPr>
    </w:p>
    <w:p>
      <w:pPr>
        <w:ind w:left="660" w:right="34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 including fluctuations in our quarterly and annual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conditions in our industry and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or trends in the packaged food sales industry or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 or loss of significant customers or other developments with respect to significant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7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or updated research or reports about us or our industry, or positive or negative recommendations or withdrawal of research coverage by securities analysts;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and our ability to obtain intellectual property protection for our products;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regulatory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expiration of contractual lock-up agreements with our executive officers, directors and stockholders;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68" w:right="419" w:bottom="1440" w:gutter="0" w:footer="0" w:header="0"/>
        </w:sectPr>
      </w:pPr>
    </w:p>
    <w:bookmarkStart w:id="40" w:name="page41"/>
    <w:bookmarkEnd w:id="40"/>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market and political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and adversely affect our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You may not be able to sell your shares quickly or at a recently reported market price if trading in our common stock does not remain active.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Subject to the restrictions set forth in the 180-day lock-up agreements entered into by each of our directors and officers and substantially all of our stockholders in connection with our IPO, as described elsewhere in this prospectus under the heading “Underwriting” (which restrictions may be waived, with or without notice, by Goldman Sachs &amp; Co. LLC and J.P. Morgan Securities LLC), outstanding shares of our common stock may be freely sold in the public market at any time to the extent permitted by Rules 144 and 701 under the Securities Act, or to the extent that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 We also have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received by the Company in this offering and may not use the net proceeds effectively.</w:t>
      </w:r>
    </w:p>
    <w:p>
      <w:pPr>
        <w:spacing w:after="0" w:line="121"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received by us in this offering. We cannot specify with certainty the uses to which we will apply these net proceeds. The failure by our management to apply these funds effectively could adversely affect our ability to continue maintaining and expanding our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incur immediate and substantial dilution.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offering price of our common stock is substantially higher than the net tangible book value per share of our common stock, which on an adjusted basis was $6.40 per share of our common stock as of June 29, 2019. As a result, you will incur immediate and substantial dilution in net tangible book value when you buy our common stock in this offering. This means that you will pay a higher price per share than the amount of our total tangible assets, less our total liabilities, divided by the number of shares of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23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or do not publish research or publish unfavorable research about our business, our stock price and trading volume could decline.</w:t>
      </w:r>
    </w:p>
    <w:p>
      <w:pPr>
        <w:spacing w:after="0" w:line="1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our stock price or trading volume to decline.</w:t>
      </w:r>
    </w:p>
    <w:p>
      <w:pPr>
        <w:spacing w:after="0" w:line="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234"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9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spacing w:after="0" w:line="23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4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71"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7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amended and restated certificate of incorporation regarding the election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68"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and removal of directors without the required approval of at least 66.67% of the shares entitled to vote at an election of directors;</w:t>
      </w:r>
    </w:p>
    <w:p>
      <w:pPr>
        <w:spacing w:after="0" w:line="18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52"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directors and executive officers and their affiliates and our stockholders holding more than 10% of our shares beneficially own, in the aggregate, approximately 29% of our outstanding capital stock as of July 10, 2019. As a result, these stockholders may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23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or our stockholders;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09" w:right="279" w:bottom="1440" w:gutter="0" w:footer="0" w:header="0"/>
        </w:sectPr>
      </w:pPr>
    </w:p>
    <w:bookmarkStart w:id="43" w:name="page44"/>
    <w:bookmarkEnd w:id="43"/>
    <w:p>
      <w:pPr>
        <w:ind w:firstLine="324"/>
        <w:spacing w:after="0" w:line="251"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determined in December 2018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2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Internal Revenue Code of 1986, as amended, or the Code.</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If we have experienced an ownership change at any time since our incorporation, we may already be subject to limitations on our ability to utilize our existing net operating losses and other tax attributes to offset taxable income. In addition, future changes in our stock ownership,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8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This prospectus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effectively expand our manufacturing and production capacity;</w:t>
      </w:r>
    </w:p>
    <w:p>
      <w:pPr>
        <w:spacing w:after="0" w:line="171" w:lineRule="exact"/>
        <w:rPr>
          <w:rFonts w:ascii="Arial" w:cs="Arial" w:eastAsia="Arial" w:hAnsi="Arial"/>
          <w:sz w:val="18"/>
          <w:szCs w:val="18"/>
          <w:color w:val="auto"/>
        </w:rPr>
      </w:pPr>
    </w:p>
    <w:p>
      <w:pPr>
        <w:ind w:left="660" w:right="98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enter new markets, manage our international expansion and comply with any applicable laws and regulations;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marketing efforts and the ability to grow brand awareness and maintain, protect and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and effectively expand our relationships with key strategic restaurant and foodservice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procure sufficient high quality, raw materials to manufacture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pea protein that meets our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tastes and preferences of our consumers;</w:t>
      </w:r>
    </w:p>
    <w:p>
      <w:pPr>
        <w:spacing w:after="0" w:line="171"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particularly involving our or any of our co-manufacturers’ manufacturing facilities or our suppliers’ facilities;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FDA governmental regulation and state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regulations or policies of governmental agencies or regulators relating to the labeling of our products;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68" w:right="239" w:bottom="1440" w:gutter="0" w:footer="0" w:header="0"/>
        </w:sectPr>
      </w:pPr>
    </w:p>
    <w:bookmarkStart w:id="45" w:name="page46"/>
    <w:bookmarkEnd w:id="45"/>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suppliers and co-manufacturers to comply with food safety, environmental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 service our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conditions and their impact on consumer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outcomes of legal or administrative proceedings;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and intellectual property adequately.</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addition, in this prospectus, the words “believe,” “may,” “will,” “will continue,” “could,” “will likely result,” “estimate,” “continue,” “anticipate,” “intend,” “plan,” “predict,” “project,” “expect,”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82" w:right="25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estimate that the net proceeds to us from our sale of 250,000 shares in this offering will be approximately $51.7 million, based on an assumed public offering price of $ 222.13 per share, which is the last reported sale price of our common stock on the Nasdaq Global Select Market on July 29, 2019, and after deducting the estimated underwriting discounts and commissions and estimated offering expenses payable by us. Each $1.00 increase (decrease) in the assumed public offering price of $222.13 per share would increase (decrease) the net proceeds to us from this offering by approximately $0.2 million, assuming the number of shares offered by us, as set forth on the cover page of this prospectus, remains the same and after deducting the estimated underwriting discounts and commissions and estimated offering expenses payable by us. The principal purpose of this offering is to facilitate an orderly distribution of shares for the selling stockholders in the offering. In addition, we intend to use the net proceeds received by us (i) to continue to increase our production and supply capabilities, (ii) to pay for marketing and promotional activities, and (iii) for general working capital purposes.</w:t>
      </w:r>
    </w:p>
    <w:p>
      <w:pPr>
        <w:spacing w:after="0" w:line="15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will not receive any proceeds from the sale of our common stock by the selling stockholders in this offering. We will, however, bear the costs, other than underwriting discounts and commissions, associated with the sale of these shares. The selling stockholders may include certain entities affiliated with or controlled by members of our board of directors.</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68" w:right="319" w:bottom="1440" w:gutter="0" w:footer="0" w:header="0"/>
        </w:sectPr>
      </w:pPr>
    </w:p>
    <w:bookmarkStart w:id="47" w:name="page48"/>
    <w:bookmarkEnd w:id="47"/>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 In addition, the terms of our current credit facilities contain restrictions on our ability to declare and pay cash dividends.</w:t>
      </w:r>
    </w:p>
    <w:p>
      <w:pPr>
        <w:spacing w:after="0" w:line="3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240" w:top="468" w:right="559" w:bottom="1440" w:gutter="0" w:footer="0" w:header="0"/>
        </w:sectPr>
      </w:pPr>
    </w:p>
    <w:bookmarkStart w:id="48" w:name="page49"/>
    <w:bookmarkEnd w:id="48"/>
    <w:p>
      <w:pPr>
        <w:ind w:left="4980"/>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June 29, 2019 on:</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71" w:lineRule="exact"/>
        <w:rPr>
          <w:rFonts w:ascii="Arial" w:cs="Arial" w:eastAsia="Arial" w:hAnsi="Arial"/>
          <w:sz w:val="18"/>
          <w:szCs w:val="18"/>
          <w:color w:val="auto"/>
        </w:rPr>
      </w:pPr>
    </w:p>
    <w:p>
      <w:pPr>
        <w:ind w:left="660" w:right="160" w:hanging="328"/>
        <w:spacing w:after="0" w:line="25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an as adjusted basis, giving effect to the sale and issuance of shares of our common stock by us in this offering (including 115,055 shares to be exercised and sold in the offering upon exercise of vested options but excluding proceeds from the exercise of these options) at an assumed public offering price of $ </w:t>
      </w:r>
      <w:r>
        <w:rPr>
          <w:rFonts w:ascii="Arial" w:cs="Arial" w:eastAsia="Arial" w:hAnsi="Arial"/>
          <w:sz w:val="16"/>
          <w:szCs w:val="16"/>
          <w:color w:val="auto"/>
        </w:rPr>
        <w:t>222.13</w:t>
      </w:r>
      <w:r>
        <w:rPr>
          <w:rFonts w:ascii="Arial" w:cs="Arial" w:eastAsia="Arial" w:hAnsi="Arial"/>
          <w:sz w:val="18"/>
          <w:szCs w:val="18"/>
          <w:color w:val="auto"/>
        </w:rPr>
        <w:t xml:space="preserve"> per share, which is the last reported sale price of our common stock on the Nasdaq Global Select Market on July 29, 2019, after deducting the estimated underwriting discounts and commissions and estimated offering expenses payable by us.</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capitalization following the closing of this offering will be adjusted based on the actual offering price and other terms of this offering determined at pricing. You should read this information in conjunction with our financial statements and the related notes appearing at the end of this prospectus, the information set forth under the headings "Use of Proceeds," "Selected Financial Data" and "Management's Discussion and Analysis of Financial Condition and Results of Operations" and the other financial information contained in this prospectus.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6"/>
                <w:szCs w:val="16"/>
                <w:b w:val="1"/>
                <w:bCs w:val="1"/>
                <w:color w:val="auto"/>
              </w:rPr>
              <w:t>As of June 29, 2019</w:t>
            </w:r>
          </w:p>
        </w:tc>
        <w:tc>
          <w:tcPr>
            <w:tcW w:w="0" w:type="dxa"/>
            <w:vAlign w:val="bottom"/>
          </w:tcPr>
          <w:p>
            <w:pPr>
              <w:spacing w:after="0"/>
              <w:rPr>
                <w:sz w:val="1"/>
                <w:szCs w:val="1"/>
                <w:color w:val="auto"/>
              </w:rPr>
            </w:pPr>
          </w:p>
        </w:tc>
      </w:tr>
      <w:tr>
        <w:trPr>
          <w:trHeight w:val="216"/>
        </w:trPr>
        <w:tc>
          <w:tcPr>
            <w:tcW w:w="78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38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Actual</w:t>
            </w:r>
          </w:p>
        </w:tc>
        <w:tc>
          <w:tcPr>
            <w:tcW w:w="220" w:type="dxa"/>
            <w:vAlign w:val="bottom"/>
          </w:tcPr>
          <w:p>
            <w:pPr>
              <w:spacing w:after="0"/>
              <w:rPr>
                <w:sz w:val="18"/>
                <w:szCs w:val="18"/>
                <w:color w:val="auto"/>
              </w:rPr>
            </w:pPr>
          </w:p>
        </w:tc>
        <w:tc>
          <w:tcPr>
            <w:tcW w:w="1500" w:type="dxa"/>
            <w:vAlign w:val="bottom"/>
          </w:tcPr>
          <w:p>
            <w:pPr>
              <w:jc w:val="right"/>
              <w:ind w:right="231"/>
              <w:spacing w:after="0" w:line="216" w:lineRule="exact"/>
              <w:rPr>
                <w:sz w:val="20"/>
                <w:szCs w:val="20"/>
                <w:color w:val="auto"/>
              </w:rPr>
            </w:pPr>
            <w:r>
              <w:rPr>
                <w:rFonts w:ascii="Arial" w:cs="Arial" w:eastAsia="Arial" w:hAnsi="Arial"/>
                <w:sz w:val="16"/>
                <w:szCs w:val="16"/>
                <w:b w:val="1"/>
                <w:bCs w:val="1"/>
                <w:color w:val="auto"/>
              </w:rPr>
              <w:t>As Adjusted</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368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276,987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328,709</w:t>
            </w:r>
          </w:p>
        </w:tc>
        <w:tc>
          <w:tcPr>
            <w:tcW w:w="0" w:type="dxa"/>
            <w:vAlign w:val="bottom"/>
          </w:tcPr>
          <w:p>
            <w:pPr>
              <w:spacing w:after="0"/>
              <w:rPr>
                <w:sz w:val="1"/>
                <w:szCs w:val="1"/>
                <w:color w:val="auto"/>
              </w:rPr>
            </w:pP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b w:val="1"/>
                <w:bCs w:val="1"/>
                <w:color w:val="auto"/>
              </w:rPr>
              <w:t>Debt:</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Revolving credit facility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Term loan facility</w:t>
            </w:r>
          </w:p>
        </w:tc>
        <w:tc>
          <w:tcPr>
            <w:tcW w:w="3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19,543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19,543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Equipment financing loan</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4,924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Total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30,467</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30,467</w:t>
            </w:r>
          </w:p>
        </w:tc>
        <w:tc>
          <w:tcPr>
            <w:tcW w:w="0" w:type="dxa"/>
            <w:vAlign w:val="bottom"/>
          </w:tcPr>
          <w:p>
            <w:pPr>
              <w:spacing w:after="0"/>
              <w:rPr>
                <w:sz w:val="1"/>
                <w:szCs w:val="1"/>
                <w:color w:val="auto"/>
              </w:rPr>
            </w:pP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Preferred stock par value $0.0001 per share (500,000 shares authorized, no shares issued</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840" w:type="dxa"/>
            <w:vAlign w:val="bottom"/>
            <w:gridSpan w:val="2"/>
          </w:tcPr>
          <w:p>
            <w:pPr>
              <w:ind w:left="480"/>
              <w:spacing w:after="0"/>
              <w:rPr>
                <w:sz w:val="20"/>
                <w:szCs w:val="20"/>
                <w:color w:val="auto"/>
              </w:rPr>
            </w:pPr>
            <w:r>
              <w:rPr>
                <w:rFonts w:ascii="Arial" w:cs="Arial" w:eastAsia="Arial" w:hAnsi="Arial"/>
                <w:sz w:val="18"/>
                <w:szCs w:val="18"/>
                <w:color w:val="auto"/>
              </w:rPr>
              <w:t>and outstanding, actual and as adjusted)</w:t>
            </w:r>
          </w:p>
        </w:tc>
        <w:tc>
          <w:tcPr>
            <w:tcW w:w="3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0" w:type="dxa"/>
            <w:vAlign w:val="bottom"/>
            <w:shd w:val="clear" w:color="auto" w:fill="CCEEFF"/>
          </w:tcPr>
          <w:p>
            <w:pPr>
              <w:spacing w:after="0"/>
              <w:rPr>
                <w:sz w:val="20"/>
                <w:szCs w:val="20"/>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 par value $0.0001 per share (500,000,000 shares authorized,</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60,167,521 shares issued and outstanding, actual; 60,532,576 shares issued and</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7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outstanding, as adjusted)</w:t>
            </w: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477,541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529,263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(145,762)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(145,762)</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7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331,785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383,507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capitalization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362,252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413,974</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ind w:left="5620"/>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________________</w:t>
      </w:r>
    </w:p>
    <w:p>
      <w:pPr>
        <w:spacing w:after="0" w:line="12" w:lineRule="exact"/>
        <w:rPr>
          <w:sz w:val="20"/>
          <w:szCs w:val="20"/>
          <w:color w:val="auto"/>
        </w:rPr>
      </w:pPr>
    </w:p>
    <w:p>
      <w:pPr>
        <w:ind w:left="340" w:right="20" w:hanging="332"/>
        <w:spacing w:after="0" w:line="25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$1.00 increase (decrease) in the assumed public offering price of $222.13 per share, which is the last reported sale price of our common stock on the Nasdaq Global Select Market on July 29, 2019, would increase (decrease) the as adjusted amount of each of cash and cash equivalents, additional paid-in capital, total stockholders' equity and total capitalization by approximately $240,625, assuming that the number of shares offered by us, as set forth on the cover page of this prospectus, remains the same and after deducting estimated underwriting discounts and commissions and estimated offering expenses payable by us.</w:t>
      </w:r>
    </w:p>
    <w:p>
      <w:pPr>
        <w:spacing w:after="0" w:line="146"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The total number of shares of our common stock reflected in the table above is based on 60,167,521 shares of common stock (including 140,560 unvested shares of restricted common stock subject to our repurchase right) outstanding as of June 29, 2019, plus 115,055 shares exercised in connection with this offering, and excludes:</w:t>
      </w:r>
    </w:p>
    <w:p>
      <w:pPr>
        <w:spacing w:after="0" w:line="148" w:lineRule="exact"/>
        <w:rPr>
          <w:sz w:val="20"/>
          <w:szCs w:val="20"/>
          <w:color w:val="auto"/>
        </w:rPr>
      </w:pPr>
    </w:p>
    <w:p>
      <w:pPr>
        <w:ind w:left="660" w:right="42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6,130,048 shares of common stock issuable upon exercise of stock options outstanding as of June 29, 2019, having a weighted-average exercise price of $11.01 per share (which excludes 115,055 shares of our common stock that we expect to be sold in this offering by certain selling stockholders upon the exercise of vested options prior to the closing of this offering) ;</w:t>
      </w:r>
    </w:p>
    <w:p>
      <w:pPr>
        <w:spacing w:after="0" w:line="148" w:lineRule="exact"/>
        <w:rPr>
          <w:sz w:val="20"/>
          <w:szCs w:val="20"/>
          <w:color w:val="auto"/>
        </w:rPr>
      </w:pPr>
    </w:p>
    <w:p>
      <w:pPr>
        <w:ind w:left="340"/>
        <w:spacing w:after="0"/>
        <w:tabs>
          <w:tab w:leader="none" w:pos="640" w:val="left"/>
          <w:tab w:leader="none" w:pos="8160" w:val="left"/>
        </w:tabs>
        <w:rPr>
          <w:sz w:val="20"/>
          <w:szCs w:val="20"/>
          <w:color w:val="auto"/>
        </w:rPr>
      </w:pPr>
      <w:r>
        <w:rPr>
          <w:rFonts w:ascii="Arial" w:cs="Arial" w:eastAsia="Arial" w:hAnsi="Arial"/>
          <w:sz w:val="18"/>
          <w:szCs w:val="18"/>
          <w:color w:val="auto"/>
        </w:rPr>
        <w:t>•</w:t>
        <w:tab/>
        <w:t>70,360 shares of common stock issuable upon the vesting of RSUs outstanding as of</w:t>
      </w:r>
      <w:r>
        <w:rPr>
          <w:sz w:val="20"/>
          <w:szCs w:val="20"/>
          <w:color w:val="auto"/>
        </w:rPr>
        <w:tab/>
      </w:r>
      <w:r>
        <w:rPr>
          <w:rFonts w:ascii="Arial" w:cs="Arial" w:eastAsia="Arial" w:hAnsi="Arial"/>
          <w:sz w:val="18"/>
          <w:szCs w:val="18"/>
          <w:color w:val="auto"/>
        </w:rPr>
        <w:t>June 29, 2019;</w:t>
      </w:r>
    </w:p>
    <w:p>
      <w:pPr>
        <w:spacing w:after="0" w:line="171" w:lineRule="exact"/>
        <w:rPr>
          <w:sz w:val="20"/>
          <w:szCs w:val="20"/>
          <w:color w:val="auto"/>
        </w:rPr>
      </w:pPr>
    </w:p>
    <w:p>
      <w:pPr>
        <w:ind w:left="66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3,437,794 shares of common stock reserved for future grant or issuance under our 2018 Plan as of June 29, 2019, plus shares that will automatically be added to the share reserve each year, as more fully described in “Executive Compensation—Employee Benefit Plans”; and</w:t>
      </w:r>
    </w:p>
    <w:p>
      <w:pPr>
        <w:spacing w:after="0" w:line="147" w:lineRule="exact"/>
        <w:rPr>
          <w:rFonts w:ascii="Arial" w:cs="Arial" w:eastAsia="Arial" w:hAnsi="Arial"/>
          <w:sz w:val="18"/>
          <w:szCs w:val="18"/>
          <w:color w:val="auto"/>
        </w:rPr>
      </w:pPr>
    </w:p>
    <w:p>
      <w:pPr>
        <w:ind w:left="660" w:right="680" w:hanging="328"/>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804,195 shares of common stock reserved for issuance under the 2018 Employee Stock Purchase Plan, plus shares that will automatically be added to the share reserve each year, as more fully described in “Executive Compensation—Employee Stock Purchase Plan.”</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82"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DILUTION</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as adjusted net tangible book value per share of our common stock after this offering. Our historical net tangible book value (deficit) as of June 29, 2019 was $ 331.8 million , or $ 5.51 per share of common stock. Our net tangible book value per share represents total tangible assets less total liabilities, divided by the number of shares of common stock outstanding as of June 29, 2019.</w:t>
      </w:r>
    </w:p>
    <w:p>
      <w:pPr>
        <w:spacing w:after="0" w:line="150"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After giving effect to (i) our sale of 250,000 shares of our common stock in this offering at an assumed public offering price of $222.13 per share, which is the last reported sale price of our common stock on the Nasdaq Global Select Market on July 29, 2019, and after deducting estimated underwriting discounts and commissions and estimated offering expenses payable by us, and (ii) the issuance of 115,055 shares of our common stock upon the exercise of options in connection with this offering, our as adjusted net tangible book value as of June 29, 2019 would have been approximately $ 383.5 million, or approximately $6.33 per share (excluding proceeds from the exercise of options in connection with this offering). This represents an immediate increase in net tangible book value of $0.82 per share to our existing stockholders and an immediate dilution of $ 215.80 per share to new investors purchasing shares of common stock in this offering. The following table illustrates this dilution on a per share basis: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public offering price per share</w:t>
            </w:r>
          </w:p>
        </w:tc>
        <w:tc>
          <w:tcPr>
            <w:tcW w:w="64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222.13</w:t>
            </w: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Historical net tangible book value per share as of June 29, 2019</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5"/>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w:t>
            </w: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6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7"/>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6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w:t>
            </w:r>
          </w:p>
        </w:tc>
      </w:tr>
      <w:tr>
        <w:trPr>
          <w:trHeight w:val="250"/>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215.80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Each $1.00 increase (decrease) in the assumed public offering price of $ 222.13 per share, which is the last reported sale price of our common stock on the Nasdaq Global Select Market on July 29, 2019 , would not increase (decrease) the as adjusted net tangible book value per share after this offering or dilution per share to new investors.</w:t>
      </w:r>
    </w:p>
    <w:p>
      <w:pPr>
        <w:spacing w:after="0" w:line="148"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The following table summarizes, on an as adjusted basis described above, as of June 29, 2019, the differences between the number of shares purchased from us, the total consideration paid to us in cash and the average price per share that existing stockholders and new investors paid. The calculation below is based on an assumed public offering price of $ 222.13 per share, which is the last reported sale price of our common stock on the Nasdaq Global Select Market on July 29, 2019, before deducting the estimated underwriting discounts and commissions and estimated offering expenses payable by us.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3560" w:type="dxa"/>
            <w:vAlign w:val="bottom"/>
            <w:gridSpan w:val="4"/>
          </w:tcPr>
          <w:p>
            <w:pPr>
              <w:ind w:left="1040"/>
              <w:spacing w:after="0"/>
              <w:rPr>
                <w:sz w:val="20"/>
                <w:szCs w:val="20"/>
                <w:color w:val="auto"/>
              </w:rPr>
            </w:pPr>
            <w:r>
              <w:rPr>
                <w:rFonts w:ascii="Arial" w:cs="Arial" w:eastAsia="Arial" w:hAnsi="Arial"/>
                <w:sz w:val="16"/>
                <w:szCs w:val="16"/>
                <w:b w:val="1"/>
                <w:bCs w:val="1"/>
                <w:color w:val="auto"/>
              </w:rPr>
              <w:t>Shares purchased</w:t>
            </w:r>
          </w:p>
        </w:tc>
        <w:tc>
          <w:tcPr>
            <w:tcW w:w="340" w:type="dxa"/>
            <w:vAlign w:val="bottom"/>
          </w:tcPr>
          <w:p>
            <w:pPr>
              <w:spacing w:after="0"/>
              <w:rPr>
                <w:sz w:val="19"/>
                <w:szCs w:val="19"/>
                <w:color w:val="auto"/>
              </w:rPr>
            </w:pPr>
          </w:p>
        </w:tc>
        <w:tc>
          <w:tcPr>
            <w:tcW w:w="3120" w:type="dxa"/>
            <w:vAlign w:val="bottom"/>
            <w:gridSpan w:val="3"/>
          </w:tcPr>
          <w:p>
            <w:pPr>
              <w:jc w:val="right"/>
              <w:ind w:right="892"/>
              <w:spacing w:after="0"/>
              <w:rPr>
                <w:sz w:val="20"/>
                <w:szCs w:val="20"/>
                <w:color w:val="auto"/>
              </w:rPr>
            </w:pPr>
            <w:r>
              <w:rPr>
                <w:rFonts w:ascii="Arial" w:cs="Arial" w:eastAsia="Arial" w:hAnsi="Arial"/>
                <w:sz w:val="16"/>
                <w:szCs w:val="16"/>
                <w:b w:val="1"/>
                <w:bCs w:val="1"/>
                <w:color w:val="auto"/>
              </w:rPr>
              <w:t>Total consideration</w:t>
            </w:r>
          </w:p>
        </w:tc>
        <w:tc>
          <w:tcPr>
            <w:tcW w:w="120" w:type="dxa"/>
            <w:vAlign w:val="bottom"/>
          </w:tcPr>
          <w:p>
            <w:pPr>
              <w:spacing w:after="0"/>
              <w:rPr>
                <w:sz w:val="19"/>
                <w:szCs w:val="19"/>
                <w:color w:val="auto"/>
              </w:rPr>
            </w:pPr>
          </w:p>
        </w:tc>
        <w:tc>
          <w:tcPr>
            <w:tcW w:w="160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36"/>
        </w:trPr>
        <w:tc>
          <w:tcPr>
            <w:tcW w:w="268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6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price per share</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Existing stockholders</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60,167,521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482,952,380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investors</w:t>
            </w: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55,532,500</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222.13</w:t>
            </w: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60,417,521</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538,484,880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dilution information discussed above is illustrative only and will change based on the actual offering price, the number of shares we sell and other terms of this offering that will be determined at pricing.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68" w:right="239" w:bottom="1440" w:gutter="0" w:footer="0" w:header="0"/>
        </w:sectPr>
      </w:pPr>
    </w:p>
    <w:bookmarkStart w:id="51" w:name="page52"/>
    <w:bookmarkEnd w:id="51"/>
    <w:p>
      <w:pPr>
        <w:ind w:right="420" w:firstLine="324"/>
        <w:spacing w:after="0" w:line="262" w:lineRule="auto"/>
        <w:rPr>
          <w:sz w:val="20"/>
          <w:szCs w:val="20"/>
          <w:color w:val="auto"/>
        </w:rPr>
      </w:pPr>
      <w:r>
        <w:rPr>
          <w:rFonts w:ascii="Arial" w:cs="Arial" w:eastAsia="Arial" w:hAnsi="Arial"/>
          <w:sz w:val="18"/>
          <w:szCs w:val="18"/>
          <w:color w:val="auto"/>
        </w:rPr>
        <w:t>The total number of shares of our common stock reflected in the discussion and table above excludes 115,055 shares of our common stock to be sold in this offering by certain selling stockholders upon the exercise of vested options and:</w:t>
      </w:r>
    </w:p>
    <w:p>
      <w:pPr>
        <w:spacing w:after="0" w:line="142" w:lineRule="exact"/>
        <w:rPr>
          <w:sz w:val="20"/>
          <w:szCs w:val="20"/>
          <w:color w:val="auto"/>
        </w:rPr>
      </w:pPr>
    </w:p>
    <w:p>
      <w:pPr>
        <w:ind w:left="660" w:right="40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6,130,048 shares of common stock issuable upon exercise of stock options outstanding as of June 29, 2019, having a weighted-average exercise price of $11.01 per share (which excludes 115,055 shares of our common stock that we expect to be sold in this offering by certain selling stockholders upon the exercise of vested options prior to the closing of this offering) ;</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70,360 shares of common stock issuable upon the vesting of RSUs outstanding as of June 29, 2019;</w:t>
      </w:r>
    </w:p>
    <w:p>
      <w:pPr>
        <w:spacing w:after="0" w:line="17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3,437,794 shares of common stock reserved for future grant or issuance under the 2018 Plan as of June 29, 2019, plus shares that will automatically be added to the share reserve each year, as more fully described in “Executive Compensation—Employee Benefit Plans”; and</w:t>
      </w:r>
    </w:p>
    <w:p>
      <w:pPr>
        <w:spacing w:after="0" w:line="147" w:lineRule="exact"/>
        <w:rPr>
          <w:rFonts w:ascii="Arial" w:cs="Arial" w:eastAsia="Arial" w:hAnsi="Arial"/>
          <w:sz w:val="18"/>
          <w:szCs w:val="18"/>
          <w:color w:val="auto"/>
        </w:rPr>
      </w:pPr>
    </w:p>
    <w:p>
      <w:pPr>
        <w:ind w:left="660" w:right="66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804,195 shares of common stock reserved for issuance under our 2018 Employee Stock Purchase Plan, plus shares that will automatically be added to the share reserve each year, as more fully described in “Executive Compensation—Employee Stock Purchase Plan.”</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 the extent that any outstanding options described above are exercised, new options are issued under our stock-based compensation plans, any of the outstanding RSUs described above are settled, or we issue additional shares of common stock or other equity or convertible debt securities in the future, there will be further dilution to investors participating in this offering. If all of the 6,245,103 shares of common stock issuable upon exercise of stock options outstanding as June 29, 2019 had been exercised as of June 29, 2019, the as adjusted net tangible book value per share after this offering would be $6.78, and dilution in net tangible book value per share to new investors would be $215.35.</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382"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following tables set forth summary financial data for the periods and at the dates indicated. The statements of operations data for the years ended December 31, 2016, 2017 and 2018 and the balance sheet data as of December 31, 2017 and 2018 have been derived from our audited financial statements included elsewhere in this prospectus. The statements of operations data for the six months ended June 30, 2018 and June 29, 2019 and the balance sheet data as of June 29, 2019 are derived from our unaudited interim condensed financial statements included elsewhere in this prospectus. In our opinion, the unaudited interim condensed financial data has been prepared on a basis consistent with our audited financial statements and contains all adjustments, consisting only of normal and recurring adjustments, necessary for a fair presentation of such financial data.</w:t>
      </w:r>
    </w:p>
    <w:p>
      <w:pPr>
        <w:spacing w:after="0" w:line="15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historical results are not necessarily indicative of the results to be expected for any future periods and our operating results for the six-month period ended June 29, 2019 are not necessarily indicative of the results that may be expected for the fiscal year ending December 31, 2019 or any other interim periods or any future year or period. You should read the following financial information together with the information under “Capitalization,” “Management’s Discussion and Analysis of Financial Condition and Results of Operations,” “Selected Financial Data” and our financial statements and related notes included elsewhere in this prospectus.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June 29, 2019</w:t>
            </w:r>
          </w:p>
        </w:tc>
        <w:tc>
          <w:tcPr>
            <w:tcW w:w="0" w:type="dxa"/>
            <w:vAlign w:val="bottom"/>
          </w:tcPr>
          <w:p>
            <w:pPr>
              <w:spacing w:after="0"/>
              <w:rPr>
                <w:sz w:val="1"/>
                <w:szCs w:val="1"/>
                <w:color w:val="auto"/>
              </w:rPr>
            </w:pPr>
          </w:p>
        </w:tc>
      </w:tr>
      <w:tr>
        <w:trPr>
          <w:trHeight w:val="216"/>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32,581</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87,934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107,457</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22,494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34,772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73,945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Gross (loss) profit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33,512</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45,563</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17,524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36,643</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5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Remeasurement of warrant liability</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5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before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Borders>
              <w:bottom w:val="single" w:sz="8" w:color="CCEEFF"/>
            </w:tcBorders>
            <w:gridSpan w:val="3"/>
          </w:tcPr>
          <w:p>
            <w:pPr>
              <w:ind w:left="40"/>
              <w:spacing w:after="0" w:line="237" w:lineRule="exact"/>
              <w:rPr>
                <w:sz w:val="20"/>
                <w:szCs w:val="20"/>
                <w:color w:val="auto"/>
              </w:rPr>
            </w:pPr>
            <w:r>
              <w:rPr>
                <w:rFonts w:ascii="Arial" w:cs="Arial" w:eastAsia="Arial" w:hAnsi="Arial"/>
                <w:sz w:val="18"/>
                <w:szCs w:val="18"/>
                <w:color w:val="auto"/>
              </w:rPr>
              <w:t>Net loss per common share—basic and diluted</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80"/>
        </w:trPr>
        <w:tc>
          <w:tcPr>
            <w:tcW w:w="4000" w:type="dxa"/>
            <w:vAlign w:val="bottom"/>
            <w:gridSpan w:val="3"/>
            <w:shd w:val="clear" w:color="auto" w:fill="CCEEFF"/>
          </w:tcPr>
          <w:p>
            <w:pPr>
              <w:ind w:left="40"/>
              <w:spacing w:after="0" w:line="180" w:lineRule="exact"/>
              <w:rPr>
                <w:sz w:val="20"/>
                <w:szCs w:val="20"/>
                <w:color w:val="auto"/>
              </w:rPr>
            </w:pPr>
            <w:r>
              <w:rPr>
                <w:rFonts w:ascii="Arial" w:cs="Arial" w:eastAsia="Arial" w:hAnsi="Arial"/>
                <w:sz w:val="18"/>
                <w:szCs w:val="18"/>
                <w:color w:val="auto"/>
              </w:rPr>
              <w:t>Weighted average shares of common stock</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4,566,757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5,457,629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6,287,172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5,933,806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23,206,203</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ind w:left="160"/>
              <w:spacing w:after="0" w:line="219" w:lineRule="exact"/>
              <w:rPr>
                <w:sz w:val="20"/>
                <w:szCs w:val="20"/>
                <w:color w:val="auto"/>
              </w:rPr>
            </w:pPr>
            <w:r>
              <w:rPr>
                <w:rFonts w:ascii="Arial" w:cs="Arial" w:eastAsia="Arial" w:hAnsi="Arial"/>
                <w:sz w:val="18"/>
                <w:szCs w:val="18"/>
                <w:color w:val="auto"/>
              </w:rPr>
              <w:t>outstanding—basic and diluted</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50"/>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Balance Sheet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June 29, 2019</w:t>
            </w:r>
          </w:p>
        </w:tc>
      </w:tr>
      <w:tr>
        <w:trPr>
          <w:trHeight w:val="216"/>
        </w:trPr>
        <w:tc>
          <w:tcPr>
            <w:tcW w:w="5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39,035</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54,271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276,987</w:t>
            </w: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39,819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77,659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321,393</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30,527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34,473</w:t>
            </w:r>
          </w:p>
        </w:tc>
      </w:tr>
      <w:tr>
        <w:trPr>
          <w:trHeight w:val="26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66,463</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133,749</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397,061</w:t>
            </w:r>
          </w:p>
        </w:tc>
      </w:tr>
      <w:tr>
        <w:trPr>
          <w:trHeight w:val="277"/>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30,467</w:t>
            </w:r>
          </w:p>
        </w:tc>
      </w:tr>
      <w:tr>
        <w:trPr>
          <w:trHeight w:val="26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Stock warrant liability</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148,194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199,540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Stockholders’ (deficit) equity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(95,913)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(121,750)</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331,785</w:t>
            </w:r>
          </w:p>
        </w:tc>
      </w:tr>
      <w:tr>
        <w:trPr>
          <w:trHeight w:val="204"/>
        </w:trPr>
        <w:tc>
          <w:tcPr>
            <w:tcW w:w="582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ind w:left="340" w:right="600" w:hanging="332"/>
        <w:spacing w:after="0" w:line="24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the years ended December 31, 2016, 2017 and 2018 and the six months ended June 30, 2018, all common and per share amounts have been adjusted retrospectively to reflect the 3-for-2 reverse stock split of our common stock on January 2, 2019.</w:t>
      </w: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280" w:type="dxa"/>
            <w:vAlign w:val="bottom"/>
          </w:tcPr>
          <w:p>
            <w:pPr>
              <w:jc w:val="right"/>
              <w:ind w:right="111"/>
              <w:spacing w:after="0"/>
              <w:rPr>
                <w:sz w:val="20"/>
                <w:szCs w:val="20"/>
                <w:color w:val="auto"/>
              </w:rPr>
            </w:pPr>
            <w:r>
              <w:rPr>
                <w:rFonts w:ascii="Arial" w:cs="Arial" w:eastAsia="Arial" w:hAnsi="Arial"/>
                <w:sz w:val="16"/>
                <w:szCs w:val="16"/>
                <w:b w:val="1"/>
                <w:bCs w:val="1"/>
                <w:color w:val="auto"/>
              </w:rPr>
              <w:t>June 29, 2019</w:t>
            </w:r>
          </w:p>
        </w:tc>
      </w:tr>
      <w:tr>
        <w:trPr>
          <w:trHeight w:val="216"/>
        </w:trPr>
        <w:tc>
          <w:tcPr>
            <w:tcW w:w="37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72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(21,957)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(17,557)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(19,312)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4,745</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3,957</w:t>
            </w:r>
          </w:p>
        </w:tc>
      </w:tr>
      <w:tr>
        <w:trPr>
          <w:trHeight w:val="277"/>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(7,908)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(22,228)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9,973</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31.2 %</w:t>
            </w:r>
          </w:p>
        </w:tc>
      </w:tr>
      <w:tr>
        <w:trPr>
          <w:trHeight w:val="277"/>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as a % of net revenues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7"/>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Adjusted EBITDA as a % of net revenues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04"/>
        </w:trPr>
        <w:tc>
          <w:tcPr>
            <w:tcW w:w="2760" w:type="dxa"/>
            <w:vAlign w:val="bottom"/>
            <w:gridSpan w:val="2"/>
          </w:tcPr>
          <w:p>
            <w:pPr>
              <w:spacing w:after="0"/>
              <w:rPr>
                <w:sz w:val="20"/>
                <w:szCs w:val="20"/>
                <w:color w:val="auto"/>
              </w:rPr>
            </w:pPr>
            <w:r>
              <w:rPr>
                <w:rFonts w:ascii="Arial" w:cs="Arial" w:eastAsia="Arial" w:hAnsi="Arial"/>
                <w:sz w:val="16"/>
                <w:szCs w:val="16"/>
                <w:color w:val="auto"/>
              </w:rPr>
              <w:t>___________________</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ind w:left="340" w:right="36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is a financial measure that is not calculated in accordance with GAAP. We define Adjusted EBITDA as net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2"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as a % of net revenues is defined as Adjusted EBITDA divided by net revenues. Adjusted EBITDA as a % of net revenues is a financial measure that is not calculated in accordance with GAAP.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non-GAAP financial measures in assessing our operating performance and in our financial communications:</w:t>
      </w:r>
    </w:p>
    <w:p>
      <w:pPr>
        <w:spacing w:after="0" w:line="153"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is defined as net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as a % of net revenues</w:t>
      </w:r>
      <w:r>
        <w:rPr>
          <w:rFonts w:ascii="Arial" w:cs="Arial" w:eastAsia="Arial" w:hAnsi="Arial"/>
          <w:sz w:val="18"/>
          <w:szCs w:val="18"/>
          <w:color w:val="auto"/>
        </w:rPr>
        <w:t>” is defined as Adjusted EBITDA divided by net revenues.</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use Adjusted EBITDA and Adjusted EBITDA as a % of net revenues because they are important measures upon which our management assesses our operating performance. We use Adjusted EBITDA and Adjusted EBITDA as a % of net revenues as key performance measures because we believe these measures facilitate operating performance comparison from period-to-period by excluding potential differences primarily caused by the impact of restructuring, asset depreciation and amortization, non-cash share-based compensation and non-operational charges including the impact to cost of goods sold and SG&amp;A expenses related to the termination of an exclusive co-manufacturing agreement, early extinguishment of convertible notes and remeasurement of warrant liability. Because Adjusted EBITDA and Adjusted EBITDA as a % of net revenues facilitate internal comparisons of our historical operating performance on a more consistent basis, we also use those measures for our business planning purposes. In addition, we believe Adjusted EBITDA and Adjusted EBITDA as a % of net revenues are widely used by investors, securities analysts, ratings agencies and other parties in evaluating companies in our industry as a measure of our operational performance.</w:t>
      </w:r>
    </w:p>
    <w:p>
      <w:pPr>
        <w:spacing w:after="0" w:line="1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Adjusted EBITDA should not be considered as an alternative to net loss or any other measure of financial performance calculated and presented in accordance with GAAP. There are a number of limitations related to the use of Adjusted EBITDA rather than net loss, which is the most directly comparable GAAP measure. Some of these limitations are:</w:t>
      </w:r>
    </w:p>
    <w:p>
      <w:pPr>
        <w:spacing w:after="0" w:line="148" w:lineRule="exact"/>
        <w:rPr>
          <w:sz w:val="20"/>
          <w:szCs w:val="20"/>
          <w:color w:val="auto"/>
        </w:rPr>
      </w:pPr>
    </w:p>
    <w:p>
      <w:pPr>
        <w:ind w:left="660" w:right="4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expenses and therefore does not include all of our compensation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that may increase or decrease cash available to us; and</w:t>
      </w:r>
    </w:p>
    <w:p>
      <w:pPr>
        <w:spacing w:after="0" w:line="17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2"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These non-GAAP financial measures should not be considered in isolation or as a substitute for financial information provided in accordance with GAAP. Below we have provided a reconciliation of Adjusted EBITDA to net loss, as reported, the most directly comparable financial measure calculated and presented in accordance with GAAP, for each of the periods presented.</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68" w:right="27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29, 2019</w:t>
            </w:r>
          </w:p>
        </w:tc>
      </w:tr>
      <w:tr>
        <w:trPr>
          <w:trHeight w:val="34"/>
        </w:trPr>
        <w:tc>
          <w:tcPr>
            <w:tcW w:w="40" w:type="dxa"/>
            <w:vAlign w:val="bottom"/>
            <w:tcBorders>
              <w:bottom w:val="single" w:sz="8" w:color="CCEEFF"/>
            </w:tcBorders>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as reported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(25,149)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(30,384)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(29,886)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(13,092)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(16,090)</w:t>
            </w:r>
          </w:p>
        </w:tc>
      </w:tr>
      <w:tr>
        <w:trPr>
          <w:trHeight w:val="26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2"/>
                <w:szCs w:val="22"/>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21</w:t>
            </w:r>
          </w:p>
        </w:tc>
      </w:tr>
      <w:tr>
        <w:trPr>
          <w:trHeight w:val="277"/>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1,474</w:t>
            </w:r>
          </w:p>
        </w:tc>
      </w:tr>
      <w:tr>
        <w:trPr>
          <w:trHeight w:val="26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22"/>
                <w:szCs w:val="22"/>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3,957</w:t>
            </w:r>
          </w:p>
        </w:tc>
      </w:tr>
      <w:tr>
        <w:trPr>
          <w:trHeight w:val="277"/>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1,241</w:t>
            </w:r>
          </w:p>
        </w:tc>
      </w:tr>
      <w:tr>
        <w:trPr>
          <w:trHeight w:val="226"/>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Inventory losses from termination of</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3560" w:type="dxa"/>
            <w:vAlign w:val="bottom"/>
            <w:gridSpan w:val="2"/>
          </w:tcPr>
          <w:p>
            <w:pPr>
              <w:ind w:left="160"/>
              <w:spacing w:after="0" w:line="233" w:lineRule="exact"/>
              <w:rPr>
                <w:sz w:val="20"/>
                <w:szCs w:val="20"/>
                <w:color w:val="auto"/>
              </w:rPr>
            </w:pPr>
            <w:r>
              <w:rPr>
                <w:rFonts w:ascii="Arial" w:cs="Arial" w:eastAsia="Arial" w:hAnsi="Arial"/>
                <w:sz w:val="18"/>
                <w:szCs w:val="18"/>
                <w:color w:val="auto"/>
              </w:rPr>
              <w:t>exclusive supply agreement</w:t>
            </w:r>
            <w:r>
              <w:rPr>
                <w:rFonts w:ascii="Arial" w:cs="Arial" w:eastAsia="Arial" w:hAnsi="Arial"/>
                <w:sz w:val="21"/>
                <w:szCs w:val="21"/>
                <w:color w:val="auto"/>
                <w:vertAlign w:val="superscript"/>
              </w:rPr>
              <w:t>(2)</w:t>
            </w:r>
          </w:p>
        </w:tc>
        <w:tc>
          <w:tcPr>
            <w:tcW w:w="3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26"/>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Costs of termination of exclusive supply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3"/>
        </w:trPr>
        <w:tc>
          <w:tcPr>
            <w:tcW w:w="4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ind w:left="160"/>
              <w:spacing w:after="0" w:line="233" w:lineRule="exact"/>
              <w:rPr>
                <w:sz w:val="20"/>
                <w:szCs w:val="20"/>
                <w:color w:val="auto"/>
              </w:rPr>
            </w:pPr>
            <w:r>
              <w:rPr>
                <w:rFonts w:ascii="Arial" w:cs="Arial" w:eastAsia="Arial" w:hAnsi="Arial"/>
                <w:sz w:val="18"/>
                <w:szCs w:val="18"/>
                <w:color w:val="auto"/>
              </w:rPr>
              <w:t>agreement</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2"/>
                <w:szCs w:val="22"/>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2,678</w:t>
            </w:r>
          </w:p>
        </w:tc>
      </w:tr>
      <w:tr>
        <w:trPr>
          <w:trHeight w:val="277"/>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Remeasurement of warrant liability</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12,503</w:t>
            </w:r>
          </w:p>
        </w:tc>
      </w:tr>
      <w:tr>
        <w:trPr>
          <w:trHeight w:val="270"/>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(1,039)</w:t>
            </w:r>
          </w:p>
        </w:tc>
      </w:tr>
      <w:tr>
        <w:trPr>
          <w:trHeight w:val="250"/>
        </w:trPr>
        <w:tc>
          <w:tcPr>
            <w:tcW w:w="36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4,745</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as a % of net revenues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7"/>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Adjusted EBITDA as a % of net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04"/>
        </w:trPr>
        <w:tc>
          <w:tcPr>
            <w:tcW w:w="360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ind w:left="340" w:right="14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connection with the termination of an exclusive supply agreement with a co-manufacturer in May 2017, we recorded restructuring expenses related to the impairment write-off of long-lived assets, primarily comprised of certain unrecoverable equipment located at the co-manufacturer’s site and company-paid leasehold improvements to the co-manufacturer’s facility, and legal and other expenses associated with the dispute with the co-manufacturer for the 2017 and 2018 fiscal years, and primarily comprised of legal and other expenses associated with this dispute in the three and six months ended June 29, 2019. See “Management’s Discussion and Analysis of Financial Condition and Results of Operations” and “Business—Legal Proceedings” elsewhere in this prospectus.</w:t>
      </w:r>
    </w:p>
    <w:p>
      <w:pPr>
        <w:spacing w:after="0" w:line="2"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additional charges related to inventory losses incurred as a result of termination of an exclusive supply agreement with a co-manufacturer and is recorded in cost of goods sold.</w:t>
      </w:r>
    </w:p>
    <w:p>
      <w:pPr>
        <w:ind w:left="340" w:right="46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additional charges incurred as a result of termination of an exclusive supply agreement with a co-manufacturer and is recorded in selling, general and administrative expenses.</w:t>
      </w: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expenses associated with the conversion of our convertible notes.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82"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3" w:lineRule="exact"/>
        <w:rPr>
          <w:sz w:val="20"/>
          <w:szCs w:val="20"/>
          <w:color w:val="auto"/>
        </w:rPr>
      </w:pPr>
    </w:p>
    <w:p>
      <w:pPr>
        <w:jc w:val="both"/>
        <w:ind w:right="180" w:firstLine="324"/>
        <w:spacing w:after="0" w:line="258"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“Risk Factors” and “Special Note Regarding Forward-Looking Statements.” The following discussion of our financial condition and results of operations should be read in conjunction with our financial statements and related notes included elsewhere in this prospectus, as well as the information presented under “Selected Financial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sell a range of plant-based products across the three main meat platforms of beef, pork and poultry. They are offered in ready-to-cook formats (merchandised in the meat case), which we refer to as our “fresh” platform, and ready-to-heat formats (merchandised in the freezer), which we refer to as our “frozen” platform. Our products are currently available in approximately 53,000 points of distribution primarily in the United States and Canada as well as several other countries, across mainstream grocery, mass merchandiser and natural retailer channels, and various food-away-from-home channels, including restaurants, foodservice outlets and schools.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May 6, 2019, we completed our initial public offering of common stock, in which we sold 11,068,750 shares, including 1,443,750 shares pursuant to the underwriters’ over-allotment option. The shares began trading on the Nasdaq Global Select Market on May 2, 2019. The shares were sold at an IPO price of $25.00 per share for net proceeds of approximately $252.4 million, after deducting underwriting discounts and commissions of $19.4 million and estimated offering expenses of approximately $4.9 million payable by us. Upon the closing of the IPO, all outstanding shares of our convertible preferred stock automatically converted into 41,562,111 shares of common stock on a one-for-one basis, and warrants exercisable for convertible preferred stock were automatically converted into warrants exercisable for 160,767 shares of common stock.</w:t>
      </w:r>
    </w:p>
    <w:p>
      <w:pPr>
        <w:spacing w:after="0" w:line="153"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We continue to experience strong sales growth over prior periods. Net revenues increased from $16.2 million in 2016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six months ended June 30, 2018, our net revenues were $30.1 million compared to $107.5 million for the six months ended June 29, 2019. The Beyond Burger is our flagship product and has been the focal point of our development and marketing efforts. The Beyond Burger accounted for approximately 70% of our gross revenues in 2018</w:t>
      </w:r>
    </w:p>
    <w:p>
      <w:pPr>
        <w:spacing w:after="0" w:line="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and approximately 56% of our gross revenues for the six months ended June 29, 2019. We believe that sales of the Beyond Burger will continue to constitute a significant portion of our revenues, income and cash flow for the foreseeable future.</w:t>
      </w:r>
    </w:p>
    <w:p>
      <w:pPr>
        <w:spacing w:after="0" w:line="14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generated losses from inception. Net loss in 2016, 2017 and 2018 was $25.1 million, $30.4 million and $29.9 million, respectively, and $16.1 million for the six months ended June 29, 2019 compared to $13.1 million for the six months ended June 30, 2018, respectively, as we invested in innovation and growth of our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60" w:right="259" w:bottom="1440" w:gutter="0" w:footer="0" w:header="0"/>
        </w:sectPr>
      </w:pPr>
    </w:p>
    <w:bookmarkStart w:id="57" w:name="page58"/>
    <w:bookmarkEnd w:id="57"/>
    <w:p>
      <w:pPr>
        <w:ind w:right="20" w:firstLine="324"/>
        <w:spacing w:after="0" w:line="256"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generate net revenues primarily from sales of our products, including the Beyond Burger, Beyond Sausage and other plant-based meat products to our customers, which include mainstream grocery, mass merchandiser and natural retailers, as well as restaurants and other foodservice outlets mainly in the United States.</w:t>
      </w:r>
    </w:p>
    <w:p>
      <w:pPr>
        <w:spacing w:after="0" w:line="14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continue to experience substantial growth in net revenues over the prior periods. The following factors and trends in our business have driven net revenue growth over this period and are expected to be key drivers of our net revenue growth for the foreseeable future:</w:t>
      </w:r>
    </w:p>
    <w:p>
      <w:pPr>
        <w:spacing w:after="0" w:line="142" w:lineRule="exact"/>
        <w:rPr>
          <w:sz w:val="20"/>
          <w:szCs w:val="20"/>
          <w:color w:val="auto"/>
        </w:rPr>
      </w:pPr>
    </w:p>
    <w:p>
      <w:pPr>
        <w:ind w:left="660" w:right="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and natural retailer customers, and our restaurant and foodservice channel, including restaurants, foodservice outlets and schools;</w:t>
      </w:r>
    </w:p>
    <w:p>
      <w:pPr>
        <w:spacing w:after="0" w:line="142"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velocity of our fresh product sales across our channels, by which we mean that the volume of our products sold per outlet has generally increased period-over-period due to greater adoption of and demand for our products;</w:t>
      </w:r>
    </w:p>
    <w:p>
      <w:pPr>
        <w:spacing w:after="0" w:line="142"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continued innovation, including enhancing existing products and introducing new products that appeal to a broad range of consumers, including those who typically eat animal-based meat;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marketing efforts as we continue to build our brand and drive consumer adoption of our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market trends, including growing consumer demand for nutritious, convenient and high protein plant-based foods.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w:t>
      </w:r>
    </w:p>
    <w:p>
      <w:pPr>
        <w:spacing w:after="0" w:line="171" w:lineRule="exact"/>
        <w:rPr>
          <w:sz w:val="20"/>
          <w:szCs w:val="20"/>
          <w:color w:val="auto"/>
        </w:rPr>
      </w:pPr>
    </w:p>
    <w:p>
      <w:pPr>
        <w:ind w:left="660" w:hanging="328"/>
        <w:spacing w:after="0" w:line="291"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increased production levels as we scale production to meet demand for our products across our distribution channels both domestically and internationally, including Australia, Europe, Hong Kong, Israel, South Africa, South Korea and parts of the Middle East; and</w:t>
      </w:r>
    </w:p>
    <w:p>
      <w:pPr>
        <w:spacing w:after="0" w:line="120" w:lineRule="exact"/>
        <w:rPr>
          <w:rFonts w:ascii="Arial" w:cs="Arial" w:eastAsia="Arial" w:hAnsi="Arial"/>
          <w:sz w:val="17"/>
          <w:szCs w:val="17"/>
          <w:color w:val="auto"/>
        </w:rPr>
      </w:pPr>
    </w:p>
    <w:p>
      <w:pPr>
        <w:ind w:left="660" w:right="5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desire by restaurant and foodservice establishments to add plant-based products to their menus and to highlight these offerings.</w:t>
      </w:r>
    </w:p>
    <w:p>
      <w:pPr>
        <w:spacing w:after="0" w:line="14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Net revenues from sales in our retail channel increased by 192.0% from $11.7 million in the three months ended June 30, 2018 to $34.1 million in the three months ended June 29, 2019. Net revenues from sales in our restaurant and foodservice channel increased by 483.0% from $5.7 million in the three months ended June 30, 2018 to $33.1 million in the three months ended June 29, 2019.</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from sales in our retail channel increased by 156.1% from $21.0 million in the six months ended June 30, 2018 to</w:t>
      </w:r>
    </w:p>
    <w:p>
      <w:pPr>
        <w:spacing w:after="0" w:line="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$53.7 million in the six months ended June 29, 2019. Net revenues from sales in our restaurant and foodservice channel increased by 486.2% from $9.2 million in the three months ended June 30, 2018 to $53.8 million in the six months ended June 29, 2019. We expect further growth in both channels as we increase our production capacity in response to demand and add new customers.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82" w:right="259" w:bottom="1440" w:gutter="0" w:footer="0" w:header="0"/>
        </w:sectPr>
      </w:pPr>
    </w:p>
    <w:bookmarkStart w:id="58" w:name="page59"/>
    <w:bookmarkEnd w:id="58"/>
    <w:p>
      <w:pPr>
        <w:ind w:right="540" w:firstLine="324"/>
        <w:spacing w:after="0" w:line="256" w:lineRule="auto"/>
        <w:rPr>
          <w:sz w:val="20"/>
          <w:szCs w:val="20"/>
          <w:color w:val="auto"/>
        </w:rPr>
      </w:pPr>
      <w:r>
        <w:rPr>
          <w:rFonts w:ascii="Arial" w:cs="Arial" w:eastAsia="Arial" w:hAnsi="Arial"/>
          <w:sz w:val="18"/>
          <w:szCs w:val="18"/>
          <w:color w:val="auto"/>
        </w:rPr>
        <w:t>Net revenues from sales in our retail channel increased by 106.5% in 2017 from $12.3 million in 2016 to $25.5 million in 2017 and by 99.2% to $50.8 million in 2018. Net revenues from sales in our restaurant and foodservice channel increased by 84.7% in 2017 from $3.8 million in 2016 to $7.1 million in 2017 and by 424.0% to $37.1 million in 2018.</w:t>
      </w:r>
    </w:p>
    <w:p>
      <w:pPr>
        <w:spacing w:after="0" w:line="14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distribute our products internationally, using distributors in Australia, Chile, the European Union, Hong Kong, Ireland, Israel, the Middle East, New Zealand, the Philippines, Singapore, South Africa, South Korea, Taiwan and the United Kingdom. Our international net revenues (excluding revenues from Canada) are included in our restaurant and foodservice channel and were approximately 3% and 12%, respectively, of our net revenues in the three months ended June 30, 2018 and June 29, 2019 and were approximately 2% and 13%, respectively, of our net revenues in the six months ended June 30, 2018 and June 29, 2019.</w:t>
      </w:r>
    </w:p>
    <w:p>
      <w:pPr>
        <w:spacing w:after="0" w:line="15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2017 and 2018, our international sales represented approximately 1% and 7%, respectively, of our gross revenues. All of our long-lived assets are in the United States and we have no long -lived assets in any international locations. Net revenues from sales to the Canadian market are included with net revenues from sales to the United States market.</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Over the next few years, the main driver of growth in our net revenues is expected to be sales of our fresh products, primarily the Beyond Burger, in both our retail channel and our restaurant and foodservice channel predominantly in the United States, as well as internationally. We also expect net revenues and gross margin to benefit from increased sales of our fresh products due to the higher net selling price per pound of our fresh platform products compared to our frozen platform products.</w:t>
      </w:r>
    </w:p>
    <w:p>
      <w:pPr>
        <w:spacing w:after="0" w:line="150"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As we seek to continue to rapidly grow our net revenues, we face several challenges. In 2017, continuing into 2018, demand for our products exceeded our expectations and production capacity, significantly constraining our net revenue growth relative to our total demand opportunity. While we have significantly expanded our production capacity to address production shortfall, we may experience a lag in production relative to customer demand if our growth rate exceeds our expectations.</w:t>
      </w:r>
    </w:p>
    <w:p>
      <w:pPr>
        <w:spacing w:after="0" w:line="15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We anticipate that these promotional activities could impact our net revenues and that changes in such activities could impact period-over-period results.</w:t>
      </w:r>
    </w:p>
    <w:p>
      <w:pPr>
        <w:spacing w:after="0" w:line="1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will vary from period to period depending on the volume and mix of our products sold, particularly between products in our fresh and frozen platforms, and the channels through which our products are sold, causing variability in our results.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(Loss) Profit</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Gross (loss) profit consists of our net revenues less costs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products.In order to keep pace with demand, we have had to very quickly scale production and we have not always been able to meet all demand for our products. As a result, we have had to quickly expand our sources of supply for our core protein inputs such as pea protein. Our growth has also significantly increased facility and warehouse utilization rates. We intend to continue to increase our production capabilities at our two in-house manufacturing facilities in Columbia, Missouri. As a result, we expect our cost of goods sold to increase in absolute dollars to support our growth. However, we expect such expenses to decrease as a percentage of net revenues over time as we continue to scale our business.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82" w:right="239" w:bottom="1440" w:gutter="0" w:footer="0" w:header="0"/>
        </w:sectPr>
      </w:pPr>
    </w:p>
    <w:bookmarkStart w:id="59" w:name="page60"/>
    <w:bookmarkEnd w:id="59"/>
    <w:p>
      <w:pPr>
        <w:ind w:right="40" w:firstLine="324"/>
        <w:spacing w:after="0" w:line="252" w:lineRule="auto"/>
        <w:rPr>
          <w:sz w:val="20"/>
          <w:szCs w:val="20"/>
          <w:color w:val="auto"/>
        </w:rPr>
      </w:pPr>
      <w:r>
        <w:rPr>
          <w:rFonts w:ascii="Arial" w:cs="Arial" w:eastAsia="Arial" w:hAnsi="Arial"/>
          <w:sz w:val="18"/>
          <w:szCs w:val="18"/>
          <w:color w:val="auto"/>
        </w:rPr>
        <w:t>Gross margin improved by 1,880 basis points from 15.0% in the three months ended June 30, 2018 to 33.8% in the three months ended June 29, 2019, and by 1,570 basis points from 15.5% in the six months ended June 30, 2018 to 31.2% in the six months ended June 29, 2019. Gross margin improved by 323 basis points from (39.0)% in 2016 to (6.7)% in 2017 and by 267 basis points to 20.0% in 2018. Gross margin benefited from an increase in the amount of products sold, improved production efficiencies, and from a greater proportion of revenues from products in our fresh platform which have a higher net selling price per pound. As we continue to expand production and are able to increase manufacturing efficiency and leverage the cost of our fixed production and staff costs, we expect to increase our gross margin. We also expect to continue to increase gross margin through ingredient cost savings achieved through scale of purchasing and through expanding our co-manufacturing network and negotiating lower tolling fees.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and share-based compensation. Our research and development efforts are focused on enhancements to our product formulations and production processes in addition to the development of new products. We expect to continue to invest substantial amounts in research and development, as most recently evidenced in the build-out of our state-of-the-art Manhattan Beach Project Innovation Center. Research and development and innovation are core elements of our business strategy, as we believe they represent a critical competitive advantage for us. We believe that we need to continue to rapidly innovate in order to be able to continue to capture a larger market share of consumers who typically eat animal-based meats. We expect these expenses to increase somewhat in absolute dollars, but to decrease as a percentage of net revenues as we continue to scale production.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8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SG&amp;A expenses consist primarily of marketing, selling and administrative expenses, including personnel and related expenses, share-based compensation, outbound shipping and handling costs, non-manufacturing rent expense, depreciation and amortization expense on non-manufacturing assets and other miscellaneous operating items. Marketing and selling expenses include advertising costs, costs associated with consumer promotions, product samples and sales aids incurred to acquire new customers, retain existing customers and build our brand awareness. Administrative expenses include the expenses related to management, accounting, IT, and other office functions. We expect SG&amp;A expenses to increase in absolute dollars as we increase our domestic and international expansion efforts to meet our product demand and incur costs related to our status as a public company.</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selling and marketing expense is expected to increase, both through a greater focus on marketing and through additions to our sales organizations. We expect to significantly expand our marketing efforts to achieve greater brand awareness, attract new customers and increase market penetration. We have historically had a very small sales force, with only nine full-time sales employees as of December 31, 2017 growing to 28 full-time sales employees as of June 29, 2019. As we continue to grow, we expect to expand our sales force to address additional opportunities, which could substantially increase our selling expense. Our administrative expenses are expected to increase as a public company with increased personnel cost in accounting, IT and compliance-related expenses.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May 2017, management approved a plan to terminate an exclusive supply agreement with one of our co-manufacturers. See “—Results of Operations—Three and Six Months Ended June 29, 2019 Compared to Three and Six Months ended June 30, 2018—Restructuring Expenses” for a discussion of these expenses.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82"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As our business continues to grow, we expect to see additional seasonality effects, with revenue growth tending to be greater in the second and third quarters of the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items in our statements of operations for the periods presented: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11"/>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right"/>
              <w:ind w:right="371"/>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9"/>
                <w:szCs w:val="19"/>
                <w:color w:val="auto"/>
              </w:rPr>
            </w:pPr>
          </w:p>
        </w:tc>
      </w:tr>
      <w:tr>
        <w:trPr>
          <w:trHeight w:val="216"/>
        </w:trPr>
        <w:tc>
          <w:tcPr>
            <w:tcW w:w="27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June 29, 2019</w:t>
            </w:r>
          </w:p>
        </w:tc>
        <w:tc>
          <w:tcPr>
            <w:tcW w:w="1260" w:type="dxa"/>
            <w:vAlign w:val="bottom"/>
            <w:gridSpan w:val="4"/>
          </w:tcPr>
          <w:p>
            <w:pPr>
              <w:ind w:left="40"/>
              <w:spacing w:after="0"/>
              <w:rPr>
                <w:sz w:val="20"/>
                <w:szCs w:val="20"/>
                <w:color w:val="auto"/>
              </w:rPr>
            </w:pPr>
            <w:r>
              <w:rPr>
                <w:rFonts w:ascii="Arial" w:cs="Arial" w:eastAsia="Arial" w:hAnsi="Arial"/>
                <w:sz w:val="16"/>
                <w:szCs w:val="16"/>
                <w:b w:val="1"/>
                <w:bCs w:val="1"/>
                <w:color w:val="auto"/>
              </w:rPr>
              <w:t>June 30, 2018</w:t>
            </w:r>
          </w:p>
        </w:tc>
        <w:tc>
          <w:tcPr>
            <w:tcW w:w="1260" w:type="dxa"/>
            <w:vAlign w:val="bottom"/>
            <w:gridSpan w:val="4"/>
          </w:tcPr>
          <w:p>
            <w:pPr>
              <w:ind w:left="40"/>
              <w:spacing w:after="0"/>
              <w:rPr>
                <w:sz w:val="20"/>
                <w:szCs w:val="20"/>
                <w:color w:val="auto"/>
              </w:rPr>
            </w:pPr>
            <w:r>
              <w:rPr>
                <w:rFonts w:ascii="Arial" w:cs="Arial" w:eastAsia="Arial" w:hAnsi="Arial"/>
                <w:sz w:val="16"/>
                <w:szCs w:val="16"/>
                <w:b w:val="1"/>
                <w:bCs w:val="1"/>
                <w:color w:val="auto"/>
              </w:rPr>
              <w:t>June 29, 2019</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16,182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30,143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107,457</w:t>
            </w:r>
          </w:p>
        </w:tc>
        <w:tc>
          <w:tcPr>
            <w:tcW w:w="140" w:type="dxa"/>
            <w:vAlign w:val="bottom"/>
          </w:tcPr>
          <w:p>
            <w:pPr>
              <w:spacing w:after="0"/>
              <w:rPr>
                <w:sz w:val="21"/>
                <w:szCs w:val="21"/>
                <w:color w:val="auto"/>
              </w:rPr>
            </w:pPr>
          </w:p>
        </w:tc>
      </w:tr>
      <w:tr>
        <w:trPr>
          <w:trHeight w:val="264"/>
        </w:trPr>
        <w:tc>
          <w:tcPr>
            <w:tcW w:w="27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22,494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70,360</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14,755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25,474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73,945</w:t>
            </w:r>
          </w:p>
        </w:tc>
        <w:tc>
          <w:tcPr>
            <w:tcW w:w="140" w:type="dxa"/>
            <w:vAlign w:val="bottom"/>
          </w:tcPr>
          <w:p>
            <w:pPr>
              <w:spacing w:after="0"/>
              <w:rPr>
                <w:sz w:val="22"/>
                <w:szCs w:val="22"/>
                <w:color w:val="auto"/>
              </w:rPr>
            </w:pPr>
          </w:p>
        </w:tc>
      </w:tr>
      <w:tr>
        <w:trPr>
          <w:trHeight w:val="257"/>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2,612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22,741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4,669</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33,512</w:t>
            </w:r>
          </w:p>
        </w:tc>
        <w:tc>
          <w:tcPr>
            <w:tcW w:w="140" w:type="dxa"/>
            <w:vAlign w:val="bottom"/>
          </w:tcPr>
          <w:p>
            <w:pPr>
              <w:spacing w:after="0"/>
              <w:rPr>
                <w:sz w:val="22"/>
                <w:szCs w:val="22"/>
                <w:color w:val="auto"/>
              </w:rPr>
            </w:pPr>
          </w:p>
        </w:tc>
      </w:tr>
      <w:tr>
        <w:trPr>
          <w:trHeight w:val="209"/>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266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8,710</w:t>
            </w:r>
          </w:p>
        </w:tc>
        <w:tc>
          <w:tcPr>
            <w:tcW w:w="140" w:type="dxa"/>
            <w:vAlign w:val="bottom"/>
          </w:tcPr>
          <w:p>
            <w:pPr>
              <w:spacing w:after="0"/>
              <w:rPr>
                <w:sz w:val="19"/>
                <w:szCs w:val="19"/>
                <w:color w:val="auto"/>
              </w:rPr>
            </w:pPr>
          </w:p>
        </w:tc>
      </w:tr>
      <w:tr>
        <w:trPr>
          <w:trHeight w:val="235"/>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7,043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12,780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26,692</w:t>
            </w:r>
          </w:p>
        </w:tc>
        <w:tc>
          <w:tcPr>
            <w:tcW w:w="140" w:type="dxa"/>
            <w:vAlign w:val="bottom"/>
          </w:tcPr>
          <w:p>
            <w:pPr>
              <w:spacing w:after="0"/>
              <w:rPr>
                <w:sz w:val="20"/>
                <w:szCs w:val="20"/>
                <w:color w:val="auto"/>
              </w:rPr>
            </w:pPr>
          </w:p>
        </w:tc>
      </w:tr>
      <w:tr>
        <w:trPr>
          <w:trHeight w:val="264"/>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22"/>
                <w:szCs w:val="22"/>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22"/>
                <w:szCs w:val="22"/>
                <w:color w:val="auto"/>
              </w:rPr>
            </w:pPr>
          </w:p>
        </w:tc>
      </w:tr>
      <w:tr>
        <w:trPr>
          <w:trHeight w:val="250"/>
        </w:trPr>
        <w:tc>
          <w:tcPr>
            <w:tcW w:w="27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18,454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9,888</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20,574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17,524</w:t>
            </w: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36,643</w:t>
            </w:r>
          </w:p>
        </w:tc>
        <w:tc>
          <w:tcPr>
            <w:tcW w:w="140" w:type="dxa"/>
            <w:vAlign w:val="bottom"/>
          </w:tcPr>
          <w:p>
            <w:pPr>
              <w:spacing w:after="0"/>
              <w:rPr>
                <w:sz w:val="21"/>
                <w:szCs w:val="21"/>
                <w:color w:val="auto"/>
              </w:rPr>
            </w:pPr>
          </w:p>
        </w:tc>
      </w:tr>
      <w:tr>
        <w:trPr>
          <w:trHeight w:val="257"/>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(24,766)</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(28,565)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1380" w:type="dxa"/>
            <w:vAlign w:val="bottom"/>
            <w:gridSpan w:val="33"/>
          </w:tcPr>
          <w:p>
            <w:pPr>
              <w:ind w:left="300"/>
              <w:spacing w:after="0"/>
              <w:rPr>
                <w:sz w:val="20"/>
                <w:szCs w:val="20"/>
                <w:color w:val="auto"/>
              </w:rPr>
            </w:pPr>
            <w:r>
              <w:rPr>
                <w:rFonts w:ascii="Arial" w:cs="Arial" w:eastAsia="Arial" w:hAnsi="Arial"/>
                <w:sz w:val="18"/>
                <w:szCs w:val="18"/>
                <w:color w:val="auto"/>
              </w:rPr>
              <w:t>The following table presents selected items in our statements of operations as a percentage of net revenues for the respective periods</w:t>
            </w:r>
          </w:p>
        </w:tc>
      </w:tr>
      <w:tr>
        <w:trPr>
          <w:trHeight w:val="217"/>
        </w:trPr>
        <w:tc>
          <w:tcPr>
            <w:tcW w:w="2700" w:type="dxa"/>
            <w:vAlign w:val="bottom"/>
            <w:gridSpan w:val="4"/>
          </w:tcPr>
          <w:p>
            <w:pPr>
              <w:spacing w:after="0"/>
              <w:rPr>
                <w:sz w:val="20"/>
                <w:szCs w:val="20"/>
                <w:color w:val="auto"/>
              </w:rPr>
            </w:pPr>
            <w:r>
              <w:rPr>
                <w:rFonts w:ascii="Arial" w:cs="Arial" w:eastAsia="Arial" w:hAnsi="Arial"/>
                <w:sz w:val="18"/>
                <w:szCs w:val="18"/>
                <w:color w:val="auto"/>
              </w:rPr>
              <w:t>presented: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69"/>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27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6"/>
                <w:szCs w:val="16"/>
                <w:b w:val="1"/>
                <w:bCs w:val="1"/>
                <w:color w:val="auto"/>
              </w:rPr>
              <w:t>June 30, 2018</w:t>
            </w:r>
          </w:p>
        </w:tc>
        <w:tc>
          <w:tcPr>
            <w:tcW w:w="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29, 2019</w:t>
            </w:r>
          </w:p>
        </w:tc>
        <w:tc>
          <w:tcPr>
            <w:tcW w:w="1260" w:type="dxa"/>
            <w:vAlign w:val="bottom"/>
            <w:gridSpan w:val="4"/>
          </w:tcPr>
          <w:p>
            <w:pPr>
              <w:ind w:left="80"/>
              <w:spacing w:after="0"/>
              <w:rPr>
                <w:sz w:val="20"/>
                <w:szCs w:val="20"/>
                <w:color w:val="auto"/>
              </w:rPr>
            </w:pPr>
            <w:r>
              <w:rPr>
                <w:rFonts w:ascii="Arial" w:cs="Arial" w:eastAsia="Arial" w:hAnsi="Arial"/>
                <w:sz w:val="16"/>
                <w:szCs w:val="16"/>
                <w:b w:val="1"/>
                <w:bCs w:val="1"/>
                <w:color w:val="auto"/>
              </w:rPr>
              <w:t>June 30, 2018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9"/>
              </w:rPr>
              <w:t>June 29, 2019</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r>
      <w:tr>
        <w:trPr>
          <w:trHeight w:val="264"/>
        </w:trPr>
        <w:tc>
          <w:tcPr>
            <w:tcW w:w="24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80.0</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84.5</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68.8</w:t>
            </w:r>
          </w:p>
        </w:tc>
        <w:tc>
          <w:tcPr>
            <w:tcW w:w="140" w:type="dxa"/>
            <w:vAlign w:val="bottom"/>
            <w:tcBorders>
              <w:bottom w:val="single" w:sz="8" w:color="auto"/>
            </w:tcBorders>
          </w:tcPr>
          <w:p>
            <w:pPr>
              <w:spacing w:after="0"/>
              <w:rPr>
                <w:sz w:val="22"/>
                <w:szCs w:val="22"/>
                <w:color w:val="auto"/>
              </w:rPr>
            </w:pPr>
          </w:p>
        </w:tc>
      </w:tr>
      <w:tr>
        <w:trPr>
          <w:trHeight w:val="250"/>
        </w:trPr>
        <w:tc>
          <w:tcPr>
            <w:tcW w:w="2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40" w:type="dxa"/>
            <w:vAlign w:val="bottom"/>
            <w:tcBorders>
              <w:bottom w:val="single" w:sz="8" w:color="auto"/>
            </w:tcBorders>
            <w:shd w:val="clear" w:color="auto" w:fill="CCEEFF"/>
          </w:tcPr>
          <w:p>
            <w:pPr>
              <w:spacing w:after="0"/>
              <w:rPr>
                <w:sz w:val="21"/>
                <w:szCs w:val="21"/>
                <w:color w:val="auto"/>
              </w:rPr>
            </w:pPr>
          </w:p>
        </w:tc>
      </w:tr>
      <w:tr>
        <w:trPr>
          <w:trHeight w:val="215"/>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266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r>
      <w:tr>
        <w:trPr>
          <w:trHeight w:val="235"/>
        </w:trPr>
        <w:tc>
          <w:tcPr>
            <w:tcW w:w="2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20"/>
                <w:szCs w:val="20"/>
                <w:color w:val="auto"/>
              </w:rPr>
            </w:pPr>
          </w:p>
        </w:tc>
      </w:tr>
      <w:tr>
        <w:trPr>
          <w:trHeight w:val="264"/>
        </w:trPr>
        <w:tc>
          <w:tcPr>
            <w:tcW w:w="24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Restructuring expenses</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rPr>
                <w:sz w:val="22"/>
                <w:szCs w:val="22"/>
                <w:color w:val="auto"/>
              </w:rPr>
            </w:pPr>
          </w:p>
        </w:tc>
      </w:tr>
      <w:tr>
        <w:trPr>
          <w:trHeight w:val="250"/>
        </w:trPr>
        <w:tc>
          <w:tcPr>
            <w:tcW w:w="2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58.1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auto"/>
            </w:tcBorders>
            <w:shd w:val="clear" w:color="auto" w:fill="CCEEFF"/>
          </w:tcPr>
          <w:p>
            <w:pPr>
              <w:spacing w:after="0"/>
              <w:rPr>
                <w:sz w:val="21"/>
                <w:szCs w:val="21"/>
                <w:color w:val="auto"/>
              </w:rPr>
            </w:pPr>
          </w:p>
        </w:tc>
      </w:tr>
      <w:tr>
        <w:trPr>
          <w:trHeight w:val="257"/>
        </w:trPr>
        <w:tc>
          <w:tcPr>
            <w:tcW w:w="2700" w:type="dxa"/>
            <w:vAlign w:val="bottom"/>
            <w:gridSpan w:val="4"/>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b w:val="1"/>
          <w:bCs w:val="1"/>
          <w:i w:val="1"/>
          <w:iCs w:val="1"/>
          <w:color w:val="auto"/>
        </w:rPr>
        <w:t>Three and Six Months Ended June 30, 2018 Compared to Three and Six Months Ended June 29, 2019</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0"/>
        </w:trPr>
        <w:tc>
          <w:tcPr>
            <w:tcW w:w="1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60" w:type="dxa"/>
            <w:vAlign w:val="bottom"/>
          </w:tcPr>
          <w:p>
            <w:pPr>
              <w:ind w:left="220"/>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ind w:left="8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5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ind w:left="8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1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Gross Fresh</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rPr>
              <w:t>Platform</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67,722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52,603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106,528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81,813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35"/>
        </w:trPr>
        <w:tc>
          <w:tcPr>
            <w:tcW w:w="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Frozen</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Platform</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4"/>
        </w:trPr>
        <w:tc>
          <w:tcPr>
            <w:tcW w:w="4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141.0%</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67,251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49,884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107,457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77,314</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9"/>
              </w:rPr>
              <w:t>June 29,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7"/>
                <w:szCs w:val="17"/>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June 29,</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0"/>
        </w:trPr>
        <w:tc>
          <w:tcPr>
            <w:tcW w:w="1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60" w:type="dxa"/>
            <w:vAlign w:val="bottom"/>
          </w:tcPr>
          <w:p>
            <w:pPr>
              <w:ind w:left="200"/>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1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ind w:left="6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3"/>
              <w:spacing w:after="0" w:line="181"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5"/>
          </w:tcPr>
          <w:p>
            <w:pPr>
              <w:ind w:left="6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92"/>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1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11,684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34,120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22,436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20,972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53,699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32,727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35"/>
        </w:trPr>
        <w:tc>
          <w:tcPr>
            <w:tcW w:w="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Foodservice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5,683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27,448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53,758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r>
      <w:tr>
        <w:trPr>
          <w:trHeight w:val="257"/>
        </w:trPr>
        <w:tc>
          <w:tcPr>
            <w:tcW w:w="40" w:type="dxa"/>
            <w:vAlign w:val="bottom"/>
          </w:tcPr>
          <w:p>
            <w:pPr>
              <w:spacing w:after="0"/>
              <w:rPr>
                <w:sz w:val="22"/>
                <w:szCs w:val="22"/>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17,367</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67,251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49,884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30,143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107,457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77,314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256.5%</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Net revenues increased by $ 49.9 million, or 287.2%, and $77.3 million, or 256.5%, in the three and six months ended June 29, 2019, respectively, as compared to the prior-year periods primarily due to strong growth in sales volumes of products in our fresh platform across both our retail and our restaurant and foodservice channels, driven by expansion in the number of retail and foodservice points of distribution, including new strategic customers, international customers and greater demand from our existing customers. Net revenues from international customers (excluding the Canadian market) in the three and six months ended June 29, 2019 were approximately 12% and 13% of net revenues, respectively, as compared to approximately 3% and 2% of net revenues, respectively, in the prior-year periods. We discontinued our frozen chicken strips product line during the first quarter of 2019, causing a decline in frozen product revenues consistent with our shift to concentrate more on our fresh products platform.</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Gross revenues from sales of products in our fresh platform in the three and six months ended June 29, 2019 increased $52.6 million, or 347.9%, and $ 81.8 million, or 331.0%, respectively, primarily due to increases in sales of the Beyond Burger and Beyond Sausage. Net revenues from retail sales in the three and six months ended June 29, 2019 increased $ 22.4 million, or 192.0%, and $32.7 million, or 156.1%, respectively, primarily due to increase in sales of the Beyond Burger. Net revenues from sales through our restaurant and foodservice channel in the three and six months ended June 29, 2019 increased $27.4 million, or 483.0%, and $44.6 million, or 486.2%, respectively, primarily due to increases in sales of the Beyond Burger, which was being served in approximately 18,000 restaurant and foodservice outlets worldwide as of June 16, 2019, and due to increased sales of Beyond Sausage.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0"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6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21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Change</w:t>
            </w:r>
          </w:p>
        </w:tc>
      </w:tr>
      <w:tr>
        <w:trPr>
          <w:trHeight w:val="198"/>
        </w:trPr>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June 29,</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June 30,</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June 29,</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0"/>
        </w:trPr>
        <w:tc>
          <w:tcPr>
            <w:tcW w:w="20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(in thousands)</w:t>
            </w:r>
          </w:p>
        </w:tc>
        <w:tc>
          <w:tcPr>
            <w:tcW w:w="1120" w:type="dxa"/>
            <w:vAlign w:val="bottom"/>
          </w:tcPr>
          <w:p>
            <w:pPr>
              <w:ind w:left="380"/>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120" w:type="dxa"/>
            <w:vAlign w:val="bottom"/>
          </w:tcPr>
          <w:p>
            <w:pPr>
              <w:jc w:val="right"/>
              <w:ind w:right="299"/>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820" w:type="dxa"/>
            <w:vAlign w:val="bottom"/>
          </w:tcPr>
          <w:p>
            <w:pPr>
              <w:ind w:left="200"/>
              <w:spacing w:after="0" w:line="181" w:lineRule="exact"/>
              <w:rPr>
                <w:sz w:val="20"/>
                <w:szCs w:val="20"/>
                <w:color w:val="auto"/>
              </w:rPr>
            </w:pPr>
            <w:r>
              <w:rPr>
                <w:rFonts w:ascii="Arial" w:cs="Arial" w:eastAsia="Arial" w:hAnsi="Arial"/>
                <w:sz w:val="16"/>
                <w:szCs w:val="16"/>
                <w:b w:val="1"/>
                <w:bCs w:val="1"/>
                <w:color w:val="auto"/>
                <w:w w:val="99"/>
              </w:rPr>
              <w:t>Amount</w:t>
            </w:r>
          </w:p>
        </w:tc>
        <w:tc>
          <w:tcPr>
            <w:tcW w:w="1440" w:type="dxa"/>
            <w:vAlign w:val="bottom"/>
            <w:gridSpan w:val="3"/>
          </w:tcPr>
          <w:p>
            <w:pPr>
              <w:jc w:val="right"/>
              <w:ind w:right="500"/>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239"/>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000" w:type="dxa"/>
            <w:vAlign w:val="bottom"/>
          </w:tcPr>
          <w:p>
            <w:pPr>
              <w:jc w:val="right"/>
              <w:ind w:right="239"/>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820" w:type="dxa"/>
            <w:vAlign w:val="bottom"/>
          </w:tcPr>
          <w:p>
            <w:pPr>
              <w:ind w:left="200"/>
              <w:spacing w:after="0" w:line="181" w:lineRule="exact"/>
              <w:rPr>
                <w:sz w:val="20"/>
                <w:szCs w:val="20"/>
                <w:color w:val="auto"/>
              </w:rPr>
            </w:pPr>
            <w:r>
              <w:rPr>
                <w:rFonts w:ascii="Arial" w:cs="Arial" w:eastAsia="Arial" w:hAnsi="Arial"/>
                <w:sz w:val="16"/>
                <w:szCs w:val="16"/>
                <w:b w:val="1"/>
                <w:bCs w:val="1"/>
                <w:color w:val="auto"/>
                <w:w w:val="99"/>
              </w:rPr>
              <w:t>Amount</w:t>
            </w:r>
          </w:p>
        </w:tc>
        <w:tc>
          <w:tcPr>
            <w:tcW w:w="1440" w:type="dxa"/>
            <w:vAlign w:val="bottom"/>
            <w:gridSpan w:val="3"/>
          </w:tcPr>
          <w:p>
            <w:pPr>
              <w:jc w:val="right"/>
              <w:ind w:right="500"/>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112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4,609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ind w:right="37"/>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left="93"/>
              <w:spacing w:after="0"/>
              <w:rPr>
                <w:sz w:val="20"/>
                <w:szCs w:val="20"/>
                <w:color w:val="auto"/>
              </w:rPr>
            </w:pPr>
            <w:r>
              <w:rPr>
                <w:rFonts w:ascii="Arial" w:cs="Arial" w:eastAsia="Arial" w:hAnsi="Arial"/>
                <w:sz w:val="18"/>
                <w:szCs w:val="18"/>
                <w:color w:val="auto"/>
              </w:rPr>
              <w:t>7,236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7"/>
              <w:spacing w:after="0"/>
              <w:rPr>
                <w:sz w:val="20"/>
                <w:szCs w:val="20"/>
                <w:color w:val="auto"/>
              </w:rPr>
            </w:pPr>
            <w:r>
              <w:rPr>
                <w:rFonts w:ascii="Arial" w:cs="Arial" w:eastAsia="Arial" w:hAnsi="Arial"/>
                <w:sz w:val="18"/>
                <w:szCs w:val="18"/>
                <w:color w:val="auto"/>
              </w:rPr>
              <w:t>4,999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223.5 %</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rPr>
              <w:t>1,034</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145.7 %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rPr>
              <w:t>8,270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4,596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ind w:left="300"/>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5"/>
          </w:tcPr>
          <w:p>
            <w:pPr>
              <w:ind w:left="14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29,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June 29,</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0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ind w:left="300"/>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33"/>
              <w:spacing w:after="0" w:line="181"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6"/>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12"/>
              <w:spacing w:after="0" w:line="181" w:lineRule="exact"/>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19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6"/>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92"/>
              <w:spacing w:after="0" w:line="18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Restaurant and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Foodservice:</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4,978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628.5%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5,428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530.1%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10,064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8,389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Cost of Goods Sold</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 w:type="dxa"/>
            <w:vAlign w:val="bottom"/>
          </w:tcPr>
          <w:p>
            <w:pPr>
              <w:spacing w:after="0"/>
              <w:rPr>
                <w:sz w:val="24"/>
                <w:szCs w:val="24"/>
                <w:color w:val="auto"/>
              </w:rPr>
            </w:pPr>
          </w:p>
        </w:tc>
        <w:tc>
          <w:tcPr>
            <w:tcW w:w="20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ind w:right="29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74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5"/>
          </w:tcPr>
          <w:p>
            <w:pPr>
              <w:ind w:left="6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29,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ind w:left="2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Arial" w:cs="Arial" w:eastAsia="Arial" w:hAnsi="Arial"/>
                <w:sz w:val="16"/>
                <w:szCs w:val="16"/>
                <w:b w:val="1"/>
                <w:bCs w:val="1"/>
                <w:color w:val="auto"/>
              </w:rPr>
              <w:t>June 29,</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0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9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3"/>
              <w:spacing w:after="0" w:line="181"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6"/>
          </w:tcPr>
          <w:p>
            <w:pPr>
              <w:ind w:left="14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34"/>
              <w:spacing w:after="0" w:line="181"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3"/>
              <w:spacing w:after="0" w:line="181" w:lineRule="exact"/>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6"/>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72"/>
              <w:spacing w:after="0" w:line="181"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14,755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44,510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29,755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201.7%  $</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25,474</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rPr>
              <w:t>73,945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48,471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Cost of goods sold increased by $29.8 million, or 201.7%, and $48.5 million, or 190.3%, respectively, in the three and six months ended June 29, 2019 as compared to the prior-year periods, primarily due to the increase in the sales volume of our products.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0"/>
        </w:trPr>
        <w:tc>
          <w:tcPr>
            <w:tcW w:w="19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80" w:type="dxa"/>
            <w:vAlign w:val="bottom"/>
          </w:tcPr>
          <w:p>
            <w:pPr>
              <w:jc w:val="right"/>
              <w:ind w:right="315"/>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34"/>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440" w:type="dxa"/>
            <w:vAlign w:val="bottom"/>
            <w:gridSpan w:val="3"/>
          </w:tcPr>
          <w:p>
            <w:pPr>
              <w:ind w:left="18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3"/>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75"/>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34"/>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480" w:type="dxa"/>
            <w:vAlign w:val="bottom"/>
            <w:gridSpan w:val="3"/>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73"/>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1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22,741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20,129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770.6%  $</w:t>
            </w: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33,512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28,843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r>
      <w:tr>
        <w:trPr>
          <w:trHeight w:val="257"/>
        </w:trPr>
        <w:tc>
          <w:tcPr>
            <w:tcW w:w="192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N/A</w:t>
            </w: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Gross profit in the three months ended June 29, 2019 was $22.7 million as compared to gross profit of $2.6 million in the prior-year period, an improvement of $20.1 million. Gross profit in the six months ended June 29, 2019, was $33.5 million as compared to gross profit of</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$4.7 million in the six months ended June 30, 2018, an improvement of $28.8 million. The improvement in gross profit and gross margin was primarily due to an increase in the amount of products sold, with resulting operating leverage, and improved production efficiencies. The greater proportion of product revenues from our fresh platform also contributed to the improvement in gross margin, due to a higher net selling price per pound of products in our fresh versus frozen platform. We include outbound shipping and handling costs within SG&amp;A expenses. As a result, our gross profit and gross margin may not be comparable to other entities that present all shipping and handling costs as a component of cost of goods sold.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82"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June 30,</w:t>
            </w:r>
          </w:p>
        </w:tc>
        <w:tc>
          <w:tcPr>
            <w:tcW w:w="16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0"/>
        </w:trPr>
        <w:tc>
          <w:tcPr>
            <w:tcW w:w="228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940" w:type="dxa"/>
            <w:vAlign w:val="bottom"/>
          </w:tcPr>
          <w:p>
            <w:pPr>
              <w:ind w:left="200"/>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9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7"/>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2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Research and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 $</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68.7%  $</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bl>
    <w:p>
      <w:pPr>
        <w:spacing w:after="0" w:line="161" w:lineRule="exact"/>
        <w:rPr>
          <w:sz w:val="20"/>
          <w:szCs w:val="20"/>
          <w:color w:val="auto"/>
        </w:rPr>
      </w:pPr>
    </w:p>
    <w:p>
      <w:pPr>
        <w:jc w:val="both"/>
        <w:ind w:right="340" w:firstLine="324"/>
        <w:spacing w:after="0" w:line="278" w:lineRule="auto"/>
        <w:rPr>
          <w:sz w:val="20"/>
          <w:szCs w:val="20"/>
          <w:color w:val="auto"/>
        </w:rPr>
      </w:pPr>
      <w:r>
        <w:rPr>
          <w:rFonts w:ascii="Arial" w:cs="Arial" w:eastAsia="Arial" w:hAnsi="Arial"/>
          <w:sz w:val="17"/>
          <w:szCs w:val="17"/>
          <w:color w:val="auto"/>
        </w:rPr>
        <w:t>Research and development expenses increased $1.7 million, or 68.7%, and $ 4.6 million, or 112.3%, in the three and six months ended June 29, 2019, respectively, as compared to the prior-year periods. Research and development expenses increased primarily due to higher headcount, higher scale-up expenses and higher depreciation and amortization expense compared to the respective prior-year periods.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SG&amp;A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9"/>
                <w:szCs w:val="19"/>
                <w:color w:val="auto"/>
              </w:rPr>
            </w:pPr>
          </w:p>
        </w:tc>
        <w:tc>
          <w:tcPr>
            <w:tcW w:w="150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June 29,</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0"/>
        </w:trPr>
        <w:tc>
          <w:tcPr>
            <w:tcW w:w="21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5"/>
                <w:szCs w:val="15"/>
                <w:color w:val="auto"/>
              </w:rPr>
            </w:pPr>
          </w:p>
        </w:tc>
        <w:tc>
          <w:tcPr>
            <w:tcW w:w="940" w:type="dxa"/>
            <w:vAlign w:val="bottom"/>
          </w:tcPr>
          <w:p>
            <w:pPr>
              <w:ind w:left="200"/>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9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57"/>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56"/>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500" w:type="dxa"/>
            <w:vAlign w:val="bottom"/>
            <w:gridSpan w:val="3"/>
          </w:tcPr>
          <w:p>
            <w:pPr>
              <w:ind w:left="200"/>
              <w:spacing w:after="0" w:line="181" w:lineRule="exact"/>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74"/>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15,515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120.3%  $</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12,780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26,692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13,912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SG&amp;A expenses increased by $8.5 million, or 120.3%, in the three months ended June 29, 2019 as compared to the prior-year period. The increase was primarily due to $3.6 million in higher salaries and related expenses resulting from a higher headcount, $0.6 million in higher consulting and professional fees, $0.8 million in higher outbound freight expenses, $0.8 million in higher broker commissions, $ 0.5 million in higher marketing service expenses related to restricted stock issued to brand ambassadors, $0.4 million in higher supply chain expenses, $0.4 million in higher travel expenses and $0.4 million in higher insurance cost.</w:t>
      </w:r>
    </w:p>
    <w:p>
      <w:pPr>
        <w:spacing w:after="0" w:line="1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SG&amp;A expenses increased by $13.9 million, or 108.9%, in the six months ended June 29, 2019, as compared to the prior-year period. The increase was primarily due to $6.6 million in higher salaries and related expenses, resulting from a higher headcount, $1.3 million in higher consulting and professional fees, $1.1 million in higher outbound freight expenses, $1.1 million in higher broker commissions, $ 0.8 million in higher marketing service expenses related to restricted stock issued to brand ambassadors, $0.8 million in higher supply chain expenses, $0.6 million in higher travel expenses and $0.5 million in higher insurance cost.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termination in May 2017 of an exclusive supply agreement with one of our co- manufacturers due to non-performance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agreement, we recorded restructuring expenses of $0.8 million and $0.3 million in the three months ended June 29,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respectively, and $1.2 million and $0.6 million in the six months ended June 29, 2019 and June 30, 2018, respectively,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legal and other expenses associated with the dispute. As of June 29, 2019 and December 31, 2018, there were no accrued unpaid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associated with this contract termination, although we continue to incur legal fees in connection with our ongoing efforts to resolve this</w:t>
      </w:r>
    </w:p>
    <w:p>
      <w:pPr>
        <w:spacing w:after="0" w:line="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dispute. See </w:t>
      </w:r>
      <w:hyperlink w:anchor="page181">
        <w:r>
          <w:rPr>
            <w:rFonts w:ascii="Arial" w:cs="Arial" w:eastAsia="Arial" w:hAnsi="Arial"/>
            <w:sz w:val="18"/>
            <w:szCs w:val="18"/>
            <w:u w:val="single" w:color="auto"/>
            <w:color w:val="0000EE"/>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and “Business—Legal Proceedings” included elsewhere in this prospectus.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2"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i w:val="1"/>
          <w:iCs w:val="1"/>
          <w:color w:val="auto"/>
        </w:rPr>
        <w:t>Total Other Expense, Net</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Total other expense, net primarily includes expense associated with the remeasurement of our preferred stock warrant liability and common stock warrant liability. On May 6, 2019, in connection with the IPO, the warrants exercisable for convertible preferred stock were automatically converted into warrants exercisable for common stock. We remeasured and reclassified the common stock warrant liability to additional-paid-in-capital in connection with the IPO and recorded $11.7 million and $12.5 million, respectively, in remeasurement of warrant liability in the three and six months ended June 29, 2019.</w:t>
      </w:r>
    </w:p>
    <w:p>
      <w:pPr>
        <w:spacing w:after="0" w:line="15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Subsequent to the closing of the IPO, all outstanding warrants to purchase shares of common stock were cashless exercised and no warrants were outstanding as of June 29, 2019.</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(Loss) from Operations</w:t>
      </w:r>
    </w:p>
    <w:p>
      <w:pPr>
        <w:spacing w:after="0" w:line="18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Loss from operations was $7.3 million for the three months ended June 30, 2018 compared to income from operations of $2.2 million for the three months ended June 29, 2019. Loss from operations for the six months ended June 30, 2018 was $12.9 million compared to loss from operations of $3.1 million for the six months ended June 29, 2019. This improvement was driven entirely by the year-over-year increase in gross profit, partially offset by higher operating expenses to support our expanded manufacturing and supply chain operations, higher administrative costs associated with being a public company, and continued investment in innovation and marketing capabilities.</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p>
    <w:p>
      <w:pPr>
        <w:spacing w:after="0" w:line="155"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For the three and six months ended June 29, 2019 and June 30, 2018, we recorded income tax expense of $21,000 and $0, respectively, in our condensed statements of operations. No tax benefit was provided for losses incurred because those losses are offset by a full valuation allowance.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Loss</w:t>
      </w:r>
    </w:p>
    <w:p>
      <w:pPr>
        <w:spacing w:after="0" w:line="18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Net loss was $ 7.4 million for the three months ended June 30, 2018 compared to net loss of $9.4 million for the three months ended June 29, 2019. Net loss was $13.1 million for the six months ended June 30, 2018 compared to net loss of $16.1 million for the six months ended June 29, 2019. The expanded net loss was primarily the result of the remeasurement of our common stock warrant liability in connection with the IPO, higher operating expenses and higher interest expense, partially offset by the increase in gross profit.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2"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2018</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5"/>
          </w:tcPr>
          <w:p>
            <w:pPr>
              <w:ind w:left="108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19"/>
                <w:szCs w:val="19"/>
                <w:color w:val="auto"/>
              </w:rPr>
            </w:pPr>
          </w:p>
        </w:tc>
      </w:tr>
      <w:tr>
        <w:trPr>
          <w:trHeight w:val="216"/>
        </w:trPr>
        <w:tc>
          <w:tcPr>
            <w:tcW w:w="46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Gross Fresh Platform</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18,109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60"/>
              <w:spacing w:after="0"/>
              <w:rPr>
                <w:sz w:val="20"/>
                <w:szCs w:val="20"/>
                <w:color w:val="auto"/>
              </w:rPr>
            </w:pPr>
            <w:r>
              <w:rPr>
                <w:rFonts w:ascii="Arial" w:cs="Arial" w:eastAsia="Arial" w:hAnsi="Arial"/>
                <w:sz w:val="18"/>
                <w:szCs w:val="18"/>
                <w:color w:val="auto"/>
              </w:rPr>
              <w:t>81,686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63,577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351.1 %</w:t>
            </w:r>
          </w:p>
        </w:tc>
      </w:tr>
      <w:tr>
        <w:trPr>
          <w:trHeight w:val="277"/>
        </w:trPr>
        <w:tc>
          <w:tcPr>
            <w:tcW w:w="40" w:type="dxa"/>
            <w:vAlign w:val="bottom"/>
            <w:shd w:val="clear" w:color="auto" w:fill="CCEEFF"/>
          </w:tcPr>
          <w:p>
            <w:pPr>
              <w:spacing w:after="0"/>
              <w:rPr>
                <w:sz w:val="24"/>
                <w:szCs w:val="24"/>
                <w:color w:val="auto"/>
              </w:rPr>
            </w:pPr>
          </w:p>
        </w:tc>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Frozen Platform</w:t>
            </w: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19,588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15,896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(18.8)</w:t>
            </w:r>
          </w:p>
        </w:tc>
      </w:tr>
      <w:tr>
        <w:trPr>
          <w:trHeight w:val="264"/>
        </w:trPr>
        <w:tc>
          <w:tcPr>
            <w:tcW w:w="4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(9,648)</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88.6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87,934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55,353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8"/>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5"/>
          </w:tcPr>
          <w:p>
            <w:pPr>
              <w:ind w:left="110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24"/>
                <w:szCs w:val="24"/>
                <w:color w:val="auto"/>
              </w:rPr>
            </w:pPr>
          </w:p>
        </w:tc>
      </w:tr>
      <w:tr>
        <w:trPr>
          <w:trHeight w:val="216"/>
        </w:trPr>
        <w:tc>
          <w:tcPr>
            <w:tcW w:w="46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ind w:left="600"/>
              <w:spacing w:after="0"/>
              <w:rPr>
                <w:sz w:val="20"/>
                <w:szCs w:val="20"/>
                <w:color w:val="auto"/>
              </w:rPr>
            </w:pPr>
            <w:r>
              <w:rPr>
                <w:rFonts w:ascii="Arial" w:cs="Arial" w:eastAsia="Arial" w:hAnsi="Arial"/>
                <w:sz w:val="18"/>
                <w:szCs w:val="18"/>
                <w:color w:val="auto"/>
              </w:rPr>
              <w:t>50,779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25,289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70"/>
        </w:trPr>
        <w:tc>
          <w:tcPr>
            <w:tcW w:w="40" w:type="dxa"/>
            <w:vAlign w:val="bottom"/>
            <w:shd w:val="clear" w:color="auto" w:fill="CCEEFF"/>
          </w:tcPr>
          <w:p>
            <w:pPr>
              <w:spacing w:after="0"/>
              <w:rPr>
                <w:sz w:val="23"/>
                <w:szCs w:val="23"/>
                <w:color w:val="auto"/>
              </w:rPr>
            </w:pPr>
          </w:p>
        </w:tc>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 Foodservice</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37,155</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30,064</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424.0</w:t>
            </w:r>
          </w:p>
        </w:tc>
      </w:tr>
      <w:tr>
        <w:trPr>
          <w:trHeight w:val="257"/>
        </w:trPr>
        <w:tc>
          <w:tcPr>
            <w:tcW w:w="40" w:type="dxa"/>
            <w:vAlign w:val="bottom"/>
          </w:tcPr>
          <w:p>
            <w:pPr>
              <w:spacing w:after="0"/>
              <w:rPr>
                <w:sz w:val="22"/>
                <w:szCs w:val="22"/>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Net revenues</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ind w:left="600"/>
              <w:spacing w:after="0"/>
              <w:rPr>
                <w:sz w:val="20"/>
                <w:szCs w:val="20"/>
                <w:color w:val="auto"/>
              </w:rPr>
            </w:pPr>
            <w:r>
              <w:rPr>
                <w:rFonts w:ascii="Arial" w:cs="Arial" w:eastAsia="Arial" w:hAnsi="Arial"/>
                <w:sz w:val="18"/>
                <w:szCs w:val="18"/>
                <w:color w:val="auto"/>
              </w:rPr>
              <w:t>87,934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55,353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Net revenues increased by $55.4 million, or 169.9%, from 2017 to 2018 primarily due to strong growth in sales volumes of products in our fresh platform across both our retail and our restaurant and foodservice channels, partially offset by a decrease in net revenues from the frozen platform.</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Gross revenues from sales of products in our fresh platform increased $63.6 million, or 351.1%, primarily due to increases in sales of the Beyond Burger and Beyond Sausage. Net revenues from retail sales increased $25.3 million, or 99.2%, primarily due to increase in sales of the Beyond Burger. Net revenues from sales through our restaurant and foodservice channel increased $30.1 million, or 424.0%, primarily due to increased sales of the Beyond Burger, which was being served in approximately 11,000 restaurant and foodservice outlets at the end of 2018, and due to increased sales of Beyond Sausage in 2018.</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380" w:type="dxa"/>
            <w:vAlign w:val="bottom"/>
            <w:gridSpan w:val="4"/>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3"/>
          </w:tcPr>
          <w:p>
            <w:pPr>
              <w:ind w:left="142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19"/>
                <w:szCs w:val="19"/>
                <w:color w:val="auto"/>
              </w:rPr>
            </w:pP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6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228.0 %</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(14.0)</w:t>
            </w:r>
          </w:p>
        </w:tc>
      </w:tr>
      <w:tr>
        <w:trPr>
          <w:trHeight w:val="257"/>
        </w:trPr>
        <w:tc>
          <w:tcPr>
            <w:tcW w:w="40" w:type="dxa"/>
            <w:vAlign w:val="bottom"/>
          </w:tcPr>
          <w:p>
            <w:pPr>
              <w:spacing w:after="0"/>
              <w:rPr>
                <w:sz w:val="22"/>
                <w:szCs w:val="22"/>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8,712</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80" w:type="dxa"/>
            <w:vAlign w:val="bottom"/>
            <w:gridSpan w:val="4"/>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3"/>
          </w:tcPr>
          <w:p>
            <w:pPr>
              <w:ind w:left="142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24"/>
                <w:szCs w:val="24"/>
                <w:color w:val="auto"/>
              </w:rPr>
            </w:pP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6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Restaurant and foodservice:</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810.7 %</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57"/>
        </w:trPr>
        <w:tc>
          <w:tcPr>
            <w:tcW w:w="40" w:type="dxa"/>
            <w:vAlign w:val="bottom"/>
          </w:tcPr>
          <w:p>
            <w:pPr>
              <w:spacing w:after="0"/>
              <w:rPr>
                <w:sz w:val="22"/>
                <w:szCs w:val="22"/>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jc w:val="right"/>
              <w:ind w:right="3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i w:val="1"/>
          <w:iCs w:val="1"/>
          <w:color w:val="auto"/>
        </w:rPr>
        <w:t>Cost of Goods Sold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34,772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70,360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35,588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Cost of goods sold increased by $ 35.6 million, or 102.3%, from 2017 to 2018, primarily due to the increase in the sales volume of our products and from a 103% increase in manufacturing-related headcount to handle increased demand for our products. Cost of goods sold in 2017 includes $ 2.4 million in write-off of unrecoverable inventory related to the termination of an exclusive agreement with our co-manufacturer at the time. See “Business—Legal Proceedings” and Note 3 to our financial statements included in this prospectus for a description of the termination of this exclusive agreement.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(Loss) Profit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680" w:type="dxa"/>
            <w:vAlign w:val="bottom"/>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80" w:type="dxa"/>
            <w:vAlign w:val="bottom"/>
          </w:tcPr>
          <w:p>
            <w:pPr>
              <w:spacing w:after="0"/>
              <w:rPr>
                <w:sz w:val="19"/>
                <w:szCs w:val="19"/>
                <w:color w:val="auto"/>
              </w:rPr>
            </w:pPr>
          </w:p>
        </w:tc>
      </w:tr>
      <w:tr>
        <w:trPr>
          <w:trHeight w:val="216"/>
        </w:trPr>
        <w:tc>
          <w:tcPr>
            <w:tcW w:w="45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2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19,765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N/A</w:t>
            </w:r>
          </w:p>
        </w:tc>
      </w:tr>
      <w:tr>
        <w:trPr>
          <w:trHeight w:val="257"/>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1280" w:type="dxa"/>
            <w:vAlign w:val="bottom"/>
          </w:tcPr>
          <w:p>
            <w:pPr>
              <w:ind w:left="960"/>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Gross loss in 2017 was $ 2.2 million compared to gross profit of $ 17.6 million in 2018, an improvement of $19.8 million. The improvement in gross profit and gross margin was primarily due to an increase in the amount of products sold, resulting in the ability to leverage our fixed costs across a greater amount of revenue. The greater proportion of product revenues from our fresh platform also contributed to the improvement in margin, due to a higher net selling price per pound of products in our fresh versus frozen platform. As disclosed in Note 2 to our financial statements, elsewhere in this prospectus, we include outbound shipping and handling costs within selling, general and administrative expense. As a result, our gross profit and gross margin may not be comparable to other entities that present all shipping and handling costs as a component of cost of goods sold.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bl>
    <w:p>
      <w:pPr>
        <w:spacing w:after="0" w:line="161" w:lineRule="exact"/>
        <w:rPr>
          <w:sz w:val="20"/>
          <w:szCs w:val="20"/>
          <w:color w:val="auto"/>
        </w:rPr>
      </w:pPr>
    </w:p>
    <w:p>
      <w:pPr>
        <w:ind w:right="780" w:firstLine="324"/>
        <w:spacing w:after="0" w:line="262" w:lineRule="auto"/>
        <w:rPr>
          <w:sz w:val="20"/>
          <w:szCs w:val="20"/>
          <w:color w:val="auto"/>
        </w:rPr>
      </w:pPr>
      <w:r>
        <w:rPr>
          <w:rFonts w:ascii="Arial" w:cs="Arial" w:eastAsia="Arial" w:hAnsi="Arial"/>
          <w:sz w:val="18"/>
          <w:szCs w:val="18"/>
          <w:color w:val="auto"/>
        </w:rPr>
        <w:t>Research and development expenses increased $3.9 million, or 67.5%, from 2017 to 2018. Research and development expenses increased primarily due to higher scale-up expenses and depreciation and amortization expense.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34,461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17,318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bl>
    <w:p>
      <w:pPr>
        <w:spacing w:after="0" w:line="16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Selling, general and administrative expenses increased by $17.3 million, or 101.0%, from 2017 to 2018. The increase was primarily due to $6.8 million in higher salaries and related expenses due to a 224% increase in headcount, $2.7 million in higher outbound freight expenses, $1.9 million in higher supply chain expenses, $1.8 million in higher consulting and professional fees, $1.3 million in higher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2" w:right="239" w:bottom="1440" w:gutter="0" w:footer="0" w:header="0"/>
        </w:sectPr>
      </w:pPr>
    </w:p>
    <w:bookmarkStart w:id="67" w:name="page68"/>
    <w:bookmarkEnd w:id="67"/>
    <w:p>
      <w:pPr>
        <w:ind w:right="20"/>
        <w:spacing w:after="0" w:line="254" w:lineRule="auto"/>
        <w:rPr>
          <w:sz w:val="20"/>
          <w:szCs w:val="20"/>
          <w:color w:val="auto"/>
        </w:rPr>
      </w:pPr>
      <w:r>
        <w:rPr>
          <w:rFonts w:ascii="Arial" w:cs="Arial" w:eastAsia="Arial" w:hAnsi="Arial"/>
          <w:sz w:val="18"/>
          <w:szCs w:val="18"/>
          <w:color w:val="auto"/>
        </w:rPr>
        <w:t>marketing services, $0.9 million in higher travel expenses, and $0.7 million in higher broker commissions in the year ended December 31, 2018 compared to the prior year. Selling, general and administrative expenses in 2017 include $1.2 million primarily related to disputed fees resulting from the co-manufacturer’s failure to meet agreed upon minimum production and expedited outbound freight expenses we incurred for alternative arrangements after we terminated the exclusive supply agreement with this co-manufacturer.</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As a result of the termination in May 2017 of an exclusive supply agreement with one of our co- manufacturers due to non-performance under the agreement, we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$1.2 million primarily related to legal and other expenses associated with the dispute. See Note 9 to the financial statements included elsewhere in this prospectus. In addition, we recorded $2.4 million in write-off of unrecoverable inventory held at the co-manufacturer’s site, which is included in cost of goods sold, and $1.2 million primarily related to disputed fees for not meeting the agreed upon minimum production and expedited outbound freight expenses, which are included in selling, general and administrative expenses in our statement of operations for the year ended December 31, 2017. In 2018, we recorded $1.5 million in restructuring expenses related to this dispute, which consisted primarily of legal and other expenses. See Note 3 to the financial statements included elsewhere in this prospectus. As of December 31, 2017 and 2018, there were no accrued unpaid liabilities associated with this contract termination, although we continue to incur legal fees in connection with our ongoing efforts to resolve this dispute. See “Business —Legal Proceedings” included elsewhere in this prospectus.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8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2017 and 2018, we recorded income tax expense of $5,000 and $1,000, respectively. These amounts primarily consist of income taxes for state jurisdictions which have minimum tax requirements. No tax benefit was provided for losses incurred because those losses are offset by a full valuation allowance.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2017</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Gross Fresh Platform</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2,127.4%</w:t>
            </w:r>
          </w:p>
        </w:tc>
      </w:tr>
      <w:tr>
        <w:trPr>
          <w:trHeight w:val="277"/>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Frozen Platform</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78.4</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32,581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24"/>
                <w:szCs w:val="24"/>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25,490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 Foodservice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84.7</w:t>
            </w:r>
          </w:p>
        </w:tc>
      </w:tr>
      <w:tr>
        <w:trPr>
          <w:trHeight w:val="257"/>
        </w:trPr>
        <w:tc>
          <w:tcPr>
            <w:tcW w:w="40" w:type="dxa"/>
            <w:vAlign w:val="bottom"/>
          </w:tcPr>
          <w:p>
            <w:pPr>
              <w:spacing w:after="0"/>
              <w:rPr>
                <w:sz w:val="22"/>
                <w:szCs w:val="22"/>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32,581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16,399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3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68" w:name="page69"/>
    <w:bookmarkEnd w:id="68"/>
    <w:p>
      <w:pPr>
        <w:ind w:right="80" w:firstLine="324"/>
        <w:spacing w:after="0" w:line="252" w:lineRule="auto"/>
        <w:rPr>
          <w:sz w:val="20"/>
          <w:szCs w:val="20"/>
          <w:color w:val="auto"/>
        </w:rPr>
      </w:pPr>
      <w:r>
        <w:rPr>
          <w:rFonts w:ascii="Arial" w:cs="Arial" w:eastAsia="Arial" w:hAnsi="Arial"/>
          <w:sz w:val="18"/>
          <w:szCs w:val="18"/>
          <w:color w:val="auto"/>
        </w:rPr>
        <w:t>Net revenues increased by $16.4 million, or 101.3%, from 2016 to 2017 primarily due to strong growth in sales volumes of products in our fresh platform across both our retail and our restaurant and foodservice channels. Gross revenues from sales of products in our fresh platform increased $17.3 million, or 2,127.4%, primarily due to increases in sales of the Beyond Burger, which was first available commercially in the second quarter of 2016. Net revenues from retail sales increased by $13.1 million, or 106.5%, due primarily to the increase in sales of the Beyond Burger and modest growth in sales of products in our frozen platform. Net revenues from sales through our restaurant and foodservice channel increased $3.3 million, or 84.7%, primarily due to the national launch of the Beyond Burger, which resulted in it being served in approximately 10,000 restaurant and foodservice outlets.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ind w:left="320"/>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5"/>
          </w:tcPr>
          <w:p>
            <w:pPr>
              <w:ind w:left="22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1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0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8"/>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5"/>
          </w:tcPr>
          <w:p>
            <w:pPr>
              <w:ind w:left="110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Restaurant and foodservice:</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60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3,438.9 %</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Cost of Goods Sold</w:t>
            </w: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 w:type="dxa"/>
            <w:vAlign w:val="bottom"/>
          </w:tcPr>
          <w:p>
            <w:pPr>
              <w:spacing w:after="0"/>
              <w:rPr>
                <w:sz w:val="24"/>
                <w:szCs w:val="24"/>
                <w:color w:val="auto"/>
              </w:rPr>
            </w:pPr>
          </w:p>
        </w:tc>
        <w:tc>
          <w:tcPr>
            <w:tcW w:w="46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5"/>
          </w:tcPr>
          <w:p>
            <w:pPr>
              <w:ind w:left="20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1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22,494</w:t>
            </w:r>
          </w:p>
        </w:tc>
        <w:tc>
          <w:tcPr>
            <w:tcW w:w="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Cost of goods sold increased by $ 12.3 million, or 54.6%, from 2016 to 2017, primarily due to the increase in the sales volume of our products. Cost of goods sold includes the write-off of discontinued product inventories totaling $1.2 million in 2016, principally from the discontinuation of one line of frozen products after production began, but before formal commercial launch. Cost of goods sold in 2017 includes $2.4 million in write-off of unrecoverable inventory related to the termination of an exclusive agreement with our co-manufacturer at the time. See “Business—Legal Proceedings” and Note 3, </w:t>
      </w:r>
      <w:r>
        <w:rPr>
          <w:rFonts w:ascii="Arial" w:cs="Arial" w:eastAsia="Arial" w:hAnsi="Arial"/>
          <w:sz w:val="18"/>
          <w:szCs w:val="18"/>
          <w:i w:val="1"/>
          <w:iCs w:val="1"/>
          <w:color w:val="auto"/>
        </w:rPr>
        <w:t>Restructuring</w:t>
      </w:r>
      <w:r>
        <w:rPr>
          <w:rFonts w:ascii="Arial" w:cs="Arial" w:eastAsia="Arial" w:hAnsi="Arial"/>
          <w:sz w:val="18"/>
          <w:szCs w:val="18"/>
          <w:color w:val="auto"/>
        </w:rPr>
        <w:t>, to the Notes to Financial Statements included elsewhere in this prospectus for a description of the termination of this exclusive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82"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i w:val="1"/>
          <w:iCs w:val="1"/>
          <w:color w:val="auto"/>
        </w:rPr>
        <w:t>Gross Loss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60" w:type="dxa"/>
            <w:vAlign w:val="bottom"/>
            <w:gridSpan w:val="5"/>
          </w:tcPr>
          <w:p>
            <w:pPr>
              <w:ind w:left="4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68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spacing w:after="0"/>
              <w:rPr>
                <w:sz w:val="19"/>
                <w:szCs w:val="19"/>
                <w:color w:val="auto"/>
              </w:rPr>
            </w:pPr>
          </w:p>
        </w:tc>
      </w:tr>
      <w:tr>
        <w:trPr>
          <w:trHeight w:val="216"/>
        </w:trPr>
        <w:tc>
          <w:tcPr>
            <w:tcW w:w="45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9"/>
              </w:rPr>
              <w:t>N/A</w:t>
            </w:r>
          </w:p>
        </w:tc>
      </w:tr>
      <w:tr>
        <w:trPr>
          <w:trHeight w:val="257"/>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1260" w:type="dxa"/>
            <w:vAlign w:val="bottom"/>
          </w:tcPr>
          <w:p>
            <w:pPr>
              <w:ind w:left="940"/>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Gross loss in 2016 was $6.3 million compared to gross loss of $ 2.2 million in 2017, an improvement of $4.1 million. The improvement in gross loss and gross margin was primarily due to an increase in the amount of products sold, resulting in the ability to leverage our fixed costs across a greater amount of revenue. The greater proportion of product revenues from our fresh platform also contributed to the improvement in margin, due to a higher net selling price per pound of products in our fresh versus frozen platform.</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60" w:type="dxa"/>
            <w:vAlign w:val="bottom"/>
            <w:gridSpan w:val="3"/>
          </w:tcPr>
          <w:p>
            <w:pPr>
              <w:ind w:left="1120"/>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spacing w:after="0"/>
              <w:rPr>
                <w:sz w:val="19"/>
                <w:szCs w:val="19"/>
                <w:color w:val="auto"/>
              </w:rPr>
            </w:pPr>
          </w:p>
        </w:tc>
      </w:tr>
      <w:tr>
        <w:trPr>
          <w:trHeight w:val="216"/>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top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6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Research and development expenses from 2016 to 2017 were essentially flat, decreasing by $60,000 or 1.0%. Although research and development was flat, there were significant decreases in spend due to product development costs associated with the launch and scale-up of the Beyond Burger in 2016 which were absent in 2017, offset by significant expenses related to our investment in our Manhattan Beach Project Innovation Center and the hiring of new research scientists in 2017 to support our innovation program. Research and development headcount increased approximately 24.2% from 2016 to 2017.</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Selling, general and administrative expenses increased by $4.5 million, or 35.3%, from 2016 to 2017. The increase was primarily due to $1.2 million in higher outbound freight expenses, $1.9 million in higher salaries and related expenses due to a 18.5% increase in headcount, $0.3 million in higher rent expense from additional facilities and $0.3 million in higher professional fees in 2017 compared to 2016. Selling, general and administrative expenses in 2016 included $2.9 million in costs to transition certain manufacturing and packaging operations from our manufacturing facility in Columbia, Missouri to a third-party co-manufacturer. Selling, general and administrative expenses in 2017 include $1.2 million primarily relating to disputed fees resulting from a co-manufacturer’s failure to meet agreed upon minimum production and expedited outbound freight expenses we incurred for alternative arrangements after we terminated the exclusive supply agreement with this co-manufacturer.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a result of the termination in May 2017 of an exclusive supply agreement with one of our co-manufacturers due to non-performance under the agreement, we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$1.2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72" w:right="239" w:bottom="1440" w:gutter="0" w:footer="0" w:header="0"/>
        </w:sectPr>
      </w:pPr>
    </w:p>
    <w:bookmarkStart w:id="70" w:name="page71"/>
    <w:bookmarkEnd w:id="70"/>
    <w:p>
      <w:pPr>
        <w:ind w:right="20"/>
        <w:spacing w:after="0" w:line="255" w:lineRule="auto"/>
        <w:rPr>
          <w:sz w:val="20"/>
          <w:szCs w:val="20"/>
          <w:color w:val="auto"/>
        </w:rPr>
      </w:pPr>
      <w:r>
        <w:rPr>
          <w:rFonts w:ascii="Arial" w:cs="Arial" w:eastAsia="Arial" w:hAnsi="Arial"/>
          <w:sz w:val="18"/>
          <w:szCs w:val="18"/>
          <w:color w:val="auto"/>
        </w:rPr>
        <w:t xml:space="preserve">primarily related to legal and other expenses associated with the dispute.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Notes to Financial Statements included elsewhere in this prospectus. In addition, we recorded $2.4 million in write-off of unrecoverable inventory held at the co-manufacturer’s site, which is included in cost of goods sold, and $1.2 million primarily related to disputed fees for not meeting the agreed upon minimum production and expedited outbound freight expenses, which are included in selling, general and administrative expenses in our statement of operations for the year ended December 31, 2017.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to the Notes to Financial Statements included elsewhere in this prospectus. As of December 31, 2017, there were no accrued unpaid liabilities associated with this contract termination, although we continue to incur legal fees in connection with our ongoing efforts to resolve this dispute. See “Business—Legal Proceedings” included elsewhere in this prospectus.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69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69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have provided a 100% valuation allowance on our deferred tax assets. Provision for income taxes in 2016 and 2017 was primarily for cash taxes payable to various states.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periods presented. In management’s opinion, the data below have been prepared on the same basis as the audited financial statements included elsewhere in this prospectus and reflect all necessary adjustments, consisting only of normal recurring adjustments, necessary for a fair statement of this data. The results of historical periods are not necessarily indicative of the results to be expected for a full year or any future period. The following quarterly financial data should be read in conjunction with our audited financial statements and related notes included elsewhere in this prospectus.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5"/>
              <w:spacing w:after="0" w:line="140" w:lineRule="exact"/>
              <w:rPr>
                <w:sz w:val="20"/>
                <w:szCs w:val="20"/>
                <w:color w:val="auto"/>
              </w:rPr>
            </w:pPr>
            <w:r>
              <w:rPr>
                <w:rFonts w:ascii="Arial" w:cs="Arial" w:eastAsia="Arial" w:hAnsi="Arial"/>
                <w:sz w:val="13"/>
                <w:szCs w:val="13"/>
                <w:b w:val="1"/>
                <w:bCs w:val="1"/>
                <w:color w:val="auto"/>
              </w:rPr>
              <w:t>Apr. 1,</w:t>
            </w:r>
          </w:p>
        </w:tc>
        <w:tc>
          <w:tcPr>
            <w:tcW w:w="180" w:type="dxa"/>
            <w:vAlign w:val="bottom"/>
          </w:tcPr>
          <w:p>
            <w:pPr>
              <w:spacing w:after="0"/>
              <w:rPr>
                <w:sz w:val="12"/>
                <w:szCs w:val="12"/>
                <w:color w:val="auto"/>
              </w:rPr>
            </w:pPr>
          </w:p>
        </w:tc>
        <w:tc>
          <w:tcPr>
            <w:tcW w:w="740" w:type="dxa"/>
            <w:vAlign w:val="bottom"/>
          </w:tcPr>
          <w:p>
            <w:pPr>
              <w:jc w:val="right"/>
              <w:ind w:right="225"/>
              <w:spacing w:after="0" w:line="140" w:lineRule="exact"/>
              <w:rPr>
                <w:sz w:val="20"/>
                <w:szCs w:val="20"/>
                <w:color w:val="auto"/>
              </w:rPr>
            </w:pPr>
            <w:r>
              <w:rPr>
                <w:rFonts w:ascii="Arial" w:cs="Arial" w:eastAsia="Arial" w:hAnsi="Arial"/>
                <w:sz w:val="13"/>
                <w:szCs w:val="13"/>
                <w:b w:val="1"/>
                <w:bCs w:val="1"/>
                <w:color w:val="auto"/>
              </w:rPr>
              <w:t>Jul. 1,</w:t>
            </w:r>
          </w:p>
        </w:tc>
        <w:tc>
          <w:tcPr>
            <w:tcW w:w="160" w:type="dxa"/>
            <w:vAlign w:val="bottom"/>
          </w:tcPr>
          <w:p>
            <w:pPr>
              <w:spacing w:after="0"/>
              <w:rPr>
                <w:sz w:val="12"/>
                <w:szCs w:val="12"/>
                <w:color w:val="auto"/>
              </w:rPr>
            </w:pPr>
          </w:p>
        </w:tc>
        <w:tc>
          <w:tcPr>
            <w:tcW w:w="740" w:type="dxa"/>
            <w:vAlign w:val="bottom"/>
          </w:tcPr>
          <w:p>
            <w:pPr>
              <w:jc w:val="right"/>
              <w:ind w:right="145"/>
              <w:spacing w:after="0" w:line="140" w:lineRule="exact"/>
              <w:rPr>
                <w:sz w:val="20"/>
                <w:szCs w:val="20"/>
                <w:color w:val="auto"/>
              </w:rPr>
            </w:pPr>
            <w:r>
              <w:rPr>
                <w:rFonts w:ascii="Arial" w:cs="Arial" w:eastAsia="Arial" w:hAnsi="Arial"/>
                <w:sz w:val="13"/>
                <w:szCs w:val="13"/>
                <w:b w:val="1"/>
                <w:bCs w:val="1"/>
                <w:color w:val="auto"/>
              </w:rPr>
              <w:t>Sep. 30,</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Dec. 31,</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Mar. 31,</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Jun. 30,</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Sep. 29,</w:t>
            </w:r>
          </w:p>
        </w:tc>
        <w:tc>
          <w:tcPr>
            <w:tcW w:w="160" w:type="dxa"/>
            <w:vAlign w:val="bottom"/>
          </w:tcPr>
          <w:p>
            <w:pPr>
              <w:spacing w:after="0"/>
              <w:rPr>
                <w:sz w:val="12"/>
                <w:szCs w:val="12"/>
                <w:color w:val="auto"/>
              </w:rPr>
            </w:pPr>
          </w:p>
        </w:tc>
        <w:tc>
          <w:tcPr>
            <w:tcW w:w="760" w:type="dxa"/>
            <w:vAlign w:val="bottom"/>
          </w:tcPr>
          <w:p>
            <w:pPr>
              <w:jc w:val="right"/>
              <w:ind w:right="165"/>
              <w:spacing w:after="0" w:line="140" w:lineRule="exact"/>
              <w:rPr>
                <w:sz w:val="20"/>
                <w:szCs w:val="20"/>
                <w:color w:val="auto"/>
              </w:rPr>
            </w:pPr>
            <w:r>
              <w:rPr>
                <w:rFonts w:ascii="Arial" w:cs="Arial" w:eastAsia="Arial" w:hAnsi="Arial"/>
                <w:sz w:val="13"/>
                <w:szCs w:val="13"/>
                <w:b w:val="1"/>
                <w:bCs w:val="1"/>
                <w:color w:val="auto"/>
              </w:rPr>
              <w:t>Dec. 31,</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760" w:type="dxa"/>
            <w:vAlign w:val="bottom"/>
          </w:tcPr>
          <w:p>
            <w:pPr>
              <w:jc w:val="right"/>
              <w:ind w:right="285"/>
              <w:spacing w:after="0" w:line="144"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2"/>
                <w:szCs w:val="12"/>
                <w:color w:val="auto"/>
              </w:rPr>
            </w:pPr>
          </w:p>
        </w:tc>
        <w:tc>
          <w:tcPr>
            <w:tcW w:w="74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40" w:type="dxa"/>
            <w:vAlign w:val="bottom"/>
          </w:tcPr>
          <w:p>
            <w:pPr>
              <w:jc w:val="right"/>
              <w:ind w:right="245"/>
              <w:spacing w:after="0" w:line="144"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60" w:type="dxa"/>
            <w:vAlign w:val="bottom"/>
          </w:tcPr>
          <w:p>
            <w:pPr>
              <w:jc w:val="right"/>
              <w:ind w:right="245"/>
              <w:spacing w:after="0" w:line="144"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6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2018</w:t>
            </w:r>
          </w:p>
        </w:tc>
        <w:tc>
          <w:tcPr>
            <w:tcW w:w="920" w:type="dxa"/>
            <w:vAlign w:val="bottom"/>
            <w:gridSpan w:val="2"/>
          </w:tcPr>
          <w:p>
            <w:pPr>
              <w:jc w:val="right"/>
              <w:ind w:right="6"/>
              <w:spacing w:after="0" w:line="144" w:lineRule="exact"/>
              <w:rPr>
                <w:sz w:val="20"/>
                <w:szCs w:val="20"/>
                <w:color w:val="auto"/>
              </w:rPr>
            </w:pPr>
            <w:r>
              <w:rPr>
                <w:rFonts w:ascii="Arial" w:cs="Arial" w:eastAsia="Arial" w:hAnsi="Arial"/>
                <w:sz w:val="13"/>
                <w:szCs w:val="13"/>
                <w:b w:val="1"/>
                <w:bCs w:val="1"/>
                <w:color w:val="auto"/>
              </w:rPr>
              <w:t>Mar. 30, 2019</w:t>
            </w:r>
          </w:p>
        </w:tc>
        <w:tc>
          <w:tcPr>
            <w:tcW w:w="92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June 29, 2019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Net revenues</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6,173</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5,565</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9,391</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11,452</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12,776</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17,367</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26,277</w:t>
            </w: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31,514</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40,206</w:t>
            </w:r>
          </w:p>
        </w:tc>
        <w:tc>
          <w:tcPr>
            <w:tcW w:w="26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67,251</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Cost of goods sold</w:t>
            </w:r>
          </w:p>
        </w:tc>
        <w:tc>
          <w:tcPr>
            <w:tcW w:w="180" w:type="dxa"/>
            <w:vAlign w:val="bottom"/>
          </w:tcPr>
          <w:p>
            <w:pPr>
              <w:spacing w:after="0"/>
              <w:rPr>
                <w:sz w:val="16"/>
                <w:szCs w:val="16"/>
                <w:color w:val="auto"/>
              </w:rPr>
            </w:pPr>
          </w:p>
        </w:tc>
        <w:tc>
          <w:tcPr>
            <w:tcW w:w="760" w:type="dxa"/>
            <w:vAlign w:val="bottom"/>
          </w:tcPr>
          <w:p>
            <w:pPr>
              <w:jc w:val="right"/>
              <w:ind w:right="105"/>
              <w:spacing w:after="0"/>
              <w:rPr>
                <w:sz w:val="20"/>
                <w:szCs w:val="20"/>
                <w:color w:val="auto"/>
              </w:rPr>
            </w:pPr>
            <w:r>
              <w:rPr>
                <w:rFonts w:ascii="Arial" w:cs="Arial" w:eastAsia="Arial" w:hAnsi="Arial"/>
                <w:sz w:val="11"/>
                <w:szCs w:val="11"/>
                <w:color w:val="auto"/>
              </w:rPr>
              <w:t>6,210</w:t>
            </w:r>
          </w:p>
        </w:tc>
        <w:tc>
          <w:tcPr>
            <w:tcW w:w="180" w:type="dxa"/>
            <w:vAlign w:val="bottom"/>
          </w:tcPr>
          <w:p>
            <w:pPr>
              <w:spacing w:after="0"/>
              <w:rPr>
                <w:sz w:val="16"/>
                <w:szCs w:val="16"/>
                <w:color w:val="auto"/>
              </w:rPr>
            </w:pPr>
          </w:p>
        </w:tc>
        <w:tc>
          <w:tcPr>
            <w:tcW w:w="740" w:type="dxa"/>
            <w:vAlign w:val="bottom"/>
          </w:tcPr>
          <w:p>
            <w:pPr>
              <w:jc w:val="right"/>
              <w:ind w:right="105"/>
              <w:spacing w:after="0"/>
              <w:rPr>
                <w:sz w:val="20"/>
                <w:szCs w:val="20"/>
                <w:color w:val="auto"/>
              </w:rPr>
            </w:pPr>
            <w:r>
              <w:rPr>
                <w:rFonts w:ascii="Arial" w:cs="Arial" w:eastAsia="Arial" w:hAnsi="Arial"/>
                <w:sz w:val="11"/>
                <w:szCs w:val="11"/>
                <w:color w:val="auto"/>
              </w:rPr>
              <w:t>9,068</w:t>
            </w:r>
          </w:p>
        </w:tc>
        <w:tc>
          <w:tcPr>
            <w:tcW w:w="16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8,972</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10,522</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10,719</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14,755</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21,235</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23,651</w:t>
            </w:r>
          </w:p>
        </w:tc>
        <w:tc>
          <w:tcPr>
            <w:tcW w:w="280" w:type="dxa"/>
            <w:vAlign w:val="bottom"/>
          </w:tcPr>
          <w:p>
            <w:pPr>
              <w:spacing w:after="0"/>
              <w:rPr>
                <w:sz w:val="16"/>
                <w:szCs w:val="16"/>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29,435</w:t>
            </w:r>
          </w:p>
        </w:tc>
        <w:tc>
          <w:tcPr>
            <w:tcW w:w="260" w:type="dxa"/>
            <w:vAlign w:val="bottom"/>
          </w:tcPr>
          <w:p>
            <w:pPr>
              <w:spacing w:after="0"/>
              <w:rPr>
                <w:sz w:val="16"/>
                <w:szCs w:val="16"/>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44,510</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Gross (loss) profit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(37)</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(3,503)</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419</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930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2,057</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2,612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5,042</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7,863</w:t>
            </w: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10,771</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22,741</w:t>
            </w:r>
          </w:p>
        </w:tc>
        <w:tc>
          <w:tcPr>
            <w:tcW w:w="0" w:type="dxa"/>
            <w:vAlign w:val="bottom"/>
          </w:tcPr>
          <w:p>
            <w:pPr>
              <w:spacing w:after="0"/>
              <w:rPr>
                <w:sz w:val="1"/>
                <w:szCs w:val="1"/>
                <w:color w:val="auto"/>
              </w:rPr>
            </w:pPr>
          </w:p>
        </w:tc>
      </w:tr>
      <w:tr>
        <w:trPr>
          <w:trHeight w:val="147"/>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Gross margin</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(0.6)%</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(62.9)%</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19.2%</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26.8%</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Research and development expenses</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1,409</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1,181</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1,470</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1,662</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1,605</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2,497</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2,165</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3,320</w:t>
            </w: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4,498</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4,212</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w w:val="98"/>
              </w:rPr>
              <w:t>Selling, general and administrative expenses</w:t>
            </w:r>
          </w:p>
        </w:tc>
        <w:tc>
          <w:tcPr>
            <w:tcW w:w="180" w:type="dxa"/>
            <w:vAlign w:val="bottom"/>
          </w:tcPr>
          <w:p>
            <w:pPr>
              <w:spacing w:after="0"/>
              <w:rPr>
                <w:sz w:val="16"/>
                <w:szCs w:val="16"/>
                <w:color w:val="auto"/>
              </w:rPr>
            </w:pPr>
          </w:p>
        </w:tc>
        <w:tc>
          <w:tcPr>
            <w:tcW w:w="760" w:type="dxa"/>
            <w:vAlign w:val="bottom"/>
          </w:tcPr>
          <w:p>
            <w:pPr>
              <w:jc w:val="right"/>
              <w:ind w:right="105"/>
              <w:spacing w:after="0"/>
              <w:rPr>
                <w:sz w:val="20"/>
                <w:szCs w:val="20"/>
                <w:color w:val="auto"/>
              </w:rPr>
            </w:pPr>
            <w:r>
              <w:rPr>
                <w:rFonts w:ascii="Arial" w:cs="Arial" w:eastAsia="Arial" w:hAnsi="Arial"/>
                <w:sz w:val="11"/>
                <w:szCs w:val="11"/>
                <w:color w:val="auto"/>
              </w:rPr>
              <w:t>3,413</w:t>
            </w:r>
          </w:p>
        </w:tc>
        <w:tc>
          <w:tcPr>
            <w:tcW w:w="180" w:type="dxa"/>
            <w:vAlign w:val="bottom"/>
          </w:tcPr>
          <w:p>
            <w:pPr>
              <w:spacing w:after="0"/>
              <w:rPr>
                <w:sz w:val="16"/>
                <w:szCs w:val="16"/>
                <w:color w:val="auto"/>
              </w:rPr>
            </w:pPr>
          </w:p>
        </w:tc>
        <w:tc>
          <w:tcPr>
            <w:tcW w:w="740" w:type="dxa"/>
            <w:vAlign w:val="bottom"/>
          </w:tcPr>
          <w:p>
            <w:pPr>
              <w:jc w:val="right"/>
              <w:ind w:right="105"/>
              <w:spacing w:after="0"/>
              <w:rPr>
                <w:sz w:val="20"/>
                <w:szCs w:val="20"/>
                <w:color w:val="auto"/>
              </w:rPr>
            </w:pPr>
            <w:r>
              <w:rPr>
                <w:rFonts w:ascii="Arial" w:cs="Arial" w:eastAsia="Arial" w:hAnsi="Arial"/>
                <w:sz w:val="11"/>
                <w:szCs w:val="11"/>
                <w:color w:val="auto"/>
              </w:rPr>
              <w:t>3,934</w:t>
            </w:r>
          </w:p>
        </w:tc>
        <w:tc>
          <w:tcPr>
            <w:tcW w:w="16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5,006</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4,790</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5,737</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7,043</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10,353</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11,328</w:t>
            </w:r>
          </w:p>
        </w:tc>
        <w:tc>
          <w:tcPr>
            <w:tcW w:w="280" w:type="dxa"/>
            <w:vAlign w:val="bottom"/>
          </w:tcPr>
          <w:p>
            <w:pPr>
              <w:spacing w:after="0"/>
              <w:rPr>
                <w:sz w:val="16"/>
                <w:szCs w:val="16"/>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11,177</w:t>
            </w:r>
          </w:p>
        </w:tc>
        <w:tc>
          <w:tcPr>
            <w:tcW w:w="260" w:type="dxa"/>
            <w:vAlign w:val="bottom"/>
          </w:tcPr>
          <w:p>
            <w:pPr>
              <w:spacing w:after="0"/>
              <w:rPr>
                <w:sz w:val="16"/>
                <w:szCs w:val="16"/>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15,515</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Restructuring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19</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1"/>
                <w:szCs w:val="11"/>
                <w:color w:val="auto"/>
              </w:rPr>
              <w:t>2,463</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596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431</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294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348</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528</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345</w:t>
            </w: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394</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847</w:t>
            </w:r>
          </w:p>
        </w:tc>
        <w:tc>
          <w:tcPr>
            <w:tcW w:w="0" w:type="dxa"/>
            <w:vAlign w:val="bottom"/>
          </w:tcPr>
          <w:p>
            <w:pPr>
              <w:spacing w:after="0"/>
              <w:rPr>
                <w:sz w:val="1"/>
                <w:szCs w:val="1"/>
                <w:color w:val="auto"/>
              </w:rPr>
            </w:pPr>
          </w:p>
        </w:tc>
      </w:tr>
      <w:tr>
        <w:trPr>
          <w:trHeight w:val="188"/>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Total operating expenses</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05"/>
              <w:spacing w:after="0"/>
              <w:rPr>
                <w:sz w:val="20"/>
                <w:szCs w:val="20"/>
                <w:color w:val="auto"/>
              </w:rPr>
            </w:pPr>
            <w:r>
              <w:rPr>
                <w:rFonts w:ascii="Arial" w:cs="Arial" w:eastAsia="Arial" w:hAnsi="Arial"/>
                <w:sz w:val="11"/>
                <w:szCs w:val="11"/>
                <w:color w:val="auto"/>
              </w:rPr>
              <w:t>4,841</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05"/>
              <w:spacing w:after="0"/>
              <w:rPr>
                <w:sz w:val="20"/>
                <w:szCs w:val="20"/>
                <w:color w:val="auto"/>
              </w:rPr>
            </w:pPr>
            <w:r>
              <w:rPr>
                <w:rFonts w:ascii="Arial" w:cs="Arial" w:eastAsia="Arial" w:hAnsi="Arial"/>
                <w:sz w:val="11"/>
                <w:szCs w:val="11"/>
                <w:color w:val="auto"/>
              </w:rPr>
              <w:t>7,578</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7,072</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6,883</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7,636</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9,888</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rPr>
              <w:t>13,046</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rPr>
              <w:t>14,993</w:t>
            </w:r>
          </w:p>
        </w:tc>
        <w:tc>
          <w:tcPr>
            <w:tcW w:w="2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16,069</w:t>
            </w: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20,574</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Income (loss) from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(4,878)</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(11,081)</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(6,653)</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(5,953)</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(5,579)</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(7,276)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(8,004)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(7,130)</w:t>
            </w: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(5,298)</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2,167</w:t>
            </w:r>
          </w:p>
        </w:tc>
        <w:tc>
          <w:tcPr>
            <w:tcW w:w="0" w:type="dxa"/>
            <w:vAlign w:val="bottom"/>
          </w:tcPr>
          <w:p>
            <w:pPr>
              <w:spacing w:after="0"/>
              <w:rPr>
                <w:sz w:val="1"/>
                <w:szCs w:val="1"/>
                <w:color w:val="auto"/>
              </w:rPr>
            </w:pPr>
          </w:p>
        </w:tc>
      </w:tr>
      <w:tr>
        <w:trPr>
          <w:trHeight w:val="242"/>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Other expense, net:</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(30)</w:t>
            </w:r>
          </w:p>
        </w:tc>
        <w:tc>
          <w:tcPr>
            <w:tcW w:w="1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(38)</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(416)</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(518)</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(47)</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(28)</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(313)</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(740)</w:t>
            </w: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(733)</w:t>
            </w:r>
          </w:p>
        </w:tc>
        <w:tc>
          <w:tcPr>
            <w:tcW w:w="2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(741)</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Other (expense) income, net</w:t>
            </w:r>
          </w:p>
        </w:tc>
        <w:tc>
          <w:tcPr>
            <w:tcW w:w="18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(92)</w:t>
            </w:r>
          </w:p>
        </w:tc>
        <w:tc>
          <w:tcPr>
            <w:tcW w:w="18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(96)</w:t>
            </w:r>
          </w:p>
        </w:tc>
        <w:tc>
          <w:tcPr>
            <w:tcW w:w="160" w:type="dxa"/>
            <w:vAlign w:val="bottom"/>
          </w:tcPr>
          <w:p>
            <w:pPr>
              <w:spacing w:after="0"/>
              <w:rPr>
                <w:sz w:val="16"/>
                <w:szCs w:val="16"/>
                <w:color w:val="auto"/>
              </w:rPr>
            </w:pP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(92)</w:t>
            </w:r>
          </w:p>
        </w:tc>
        <w:tc>
          <w:tcPr>
            <w:tcW w:w="160" w:type="dxa"/>
            <w:vAlign w:val="bottom"/>
          </w:tcPr>
          <w:p>
            <w:pPr>
              <w:spacing w:after="0"/>
              <w:rPr>
                <w:sz w:val="16"/>
                <w:szCs w:val="16"/>
                <w:color w:val="auto"/>
              </w:rPr>
            </w:pPr>
          </w:p>
        </w:tc>
        <w:tc>
          <w:tcPr>
            <w:tcW w:w="760" w:type="dxa"/>
            <w:vAlign w:val="bottom"/>
          </w:tcPr>
          <w:p>
            <w:pPr>
              <w:jc w:val="right"/>
              <w:ind w:right="25"/>
              <w:spacing w:after="0"/>
              <w:rPr>
                <w:sz w:val="20"/>
                <w:szCs w:val="20"/>
                <w:color w:val="auto"/>
              </w:rPr>
            </w:pPr>
            <w:r>
              <w:rPr>
                <w:rFonts w:ascii="Arial" w:cs="Arial" w:eastAsia="Arial" w:hAnsi="Arial"/>
                <w:sz w:val="11"/>
                <w:szCs w:val="11"/>
                <w:color w:val="auto"/>
              </w:rPr>
              <w:t>(532)</w:t>
            </w:r>
          </w:p>
        </w:tc>
        <w:tc>
          <w:tcPr>
            <w:tcW w:w="16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(92)</w:t>
            </w:r>
          </w:p>
        </w:tc>
        <w:tc>
          <w:tcPr>
            <w:tcW w:w="160" w:type="dxa"/>
            <w:vAlign w:val="bottom"/>
          </w:tcPr>
          <w:p>
            <w:pPr>
              <w:spacing w:after="0"/>
              <w:rPr>
                <w:sz w:val="16"/>
                <w:szCs w:val="16"/>
                <w:color w:val="auto"/>
              </w:rPr>
            </w:pPr>
          </w:p>
        </w:tc>
        <w:tc>
          <w:tcPr>
            <w:tcW w:w="760" w:type="dxa"/>
            <w:vAlign w:val="bottom"/>
          </w:tcPr>
          <w:p>
            <w:pPr>
              <w:jc w:val="right"/>
              <w:ind w:right="45"/>
              <w:spacing w:after="0"/>
              <w:rPr>
                <w:sz w:val="20"/>
                <w:szCs w:val="20"/>
                <w:color w:val="auto"/>
              </w:rPr>
            </w:pPr>
            <w:r>
              <w:rPr>
                <w:rFonts w:ascii="Arial" w:cs="Arial" w:eastAsia="Arial" w:hAnsi="Arial"/>
                <w:sz w:val="11"/>
                <w:szCs w:val="11"/>
                <w:color w:val="auto"/>
              </w:rPr>
              <w:t>(1,025)</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419</w:t>
            </w:r>
          </w:p>
        </w:tc>
        <w:tc>
          <w:tcPr>
            <w:tcW w:w="280" w:type="dxa"/>
            <w:vAlign w:val="bottom"/>
          </w:tcPr>
          <w:p>
            <w:pPr>
              <w:spacing w:after="0"/>
              <w:rPr>
                <w:sz w:val="16"/>
                <w:szCs w:val="16"/>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(618)</w:t>
            </w:r>
          </w:p>
        </w:tc>
        <w:tc>
          <w:tcPr>
            <w:tcW w:w="260" w:type="dxa"/>
            <w:vAlign w:val="bottom"/>
          </w:tcPr>
          <w:p>
            <w:pPr>
              <w:spacing w:after="0"/>
              <w:rPr>
                <w:sz w:val="16"/>
                <w:szCs w:val="16"/>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(10,846)</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other expense, net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(122)</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(134)</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(508)</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(1,050)</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(117)</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(120)</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(1,338)</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(321)</w:t>
            </w: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(1,351)</w:t>
            </w: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(11,587)</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Loss before taxes</w:t>
            </w: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(5,000)</w:t>
            </w:r>
          </w:p>
        </w:tc>
        <w:tc>
          <w:tcPr>
            <w:tcW w:w="1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(11,215)</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(7,161)</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(7,003)</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(5,696)</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(7,396)</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(9,342)</w:t>
            </w: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(7,451)</w:t>
            </w: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(6,649)</w:t>
            </w:r>
          </w:p>
        </w:tc>
        <w:tc>
          <w:tcPr>
            <w:tcW w:w="2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(9,420)</w:t>
            </w:r>
          </w:p>
        </w:tc>
        <w:tc>
          <w:tcPr>
            <w:tcW w:w="0" w:type="dxa"/>
            <w:vAlign w:val="bottom"/>
          </w:tcPr>
          <w:p>
            <w:pPr>
              <w:spacing w:after="0"/>
              <w:rPr>
                <w:sz w:val="1"/>
                <w:szCs w:val="1"/>
                <w:color w:val="auto"/>
              </w:rPr>
            </w:pPr>
          </w:p>
        </w:tc>
      </w:tr>
      <w:tr>
        <w:trPr>
          <w:trHeight w:val="194"/>
        </w:trPr>
        <w:tc>
          <w:tcPr>
            <w:tcW w:w="2220" w:type="dxa"/>
            <w:vAlign w:val="bottom"/>
            <w:gridSpan w:val="3"/>
          </w:tcPr>
          <w:p>
            <w:pPr>
              <w:ind w:left="40"/>
              <w:spacing w:after="0"/>
              <w:rPr>
                <w:sz w:val="20"/>
                <w:szCs w:val="20"/>
                <w:color w:val="auto"/>
              </w:rPr>
            </w:pPr>
            <w:r>
              <w:rPr>
                <w:rFonts w:ascii="Arial" w:cs="Arial" w:eastAsia="Arial" w:hAnsi="Arial"/>
                <w:sz w:val="11"/>
                <w:szCs w:val="11"/>
                <w:color w:val="auto"/>
              </w:rPr>
              <w:t>Income tax expense</w:t>
            </w:r>
          </w:p>
        </w:tc>
        <w:tc>
          <w:tcPr>
            <w:tcW w:w="180" w:type="dxa"/>
            <w:vAlign w:val="bottom"/>
          </w:tcPr>
          <w:p>
            <w:pPr>
              <w:spacing w:after="0"/>
              <w:rPr>
                <w:sz w:val="16"/>
                <w:szCs w:val="16"/>
                <w:color w:val="auto"/>
              </w:rPr>
            </w:pPr>
          </w:p>
        </w:tc>
        <w:tc>
          <w:tcPr>
            <w:tcW w:w="76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740" w:type="dxa"/>
            <w:vAlign w:val="bottom"/>
          </w:tcPr>
          <w:p>
            <w:pPr>
              <w:jc w:val="right"/>
              <w:ind w:right="105"/>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6"/>
                <w:szCs w:val="16"/>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Net loss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(5,000)</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(11,218)</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(7,161)</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(7,005)</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(5,696)</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(7,396)</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(9,342)</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(7,452)</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(6,649)</w:t>
            </w: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(9,441)</w:t>
            </w:r>
          </w:p>
        </w:tc>
        <w:tc>
          <w:tcPr>
            <w:tcW w:w="0" w:type="dxa"/>
            <w:vAlign w:val="bottom"/>
          </w:tcPr>
          <w:p>
            <w:pPr>
              <w:spacing w:after="0"/>
              <w:rPr>
                <w:sz w:val="1"/>
                <w:szCs w:val="1"/>
                <w:color w:val="auto"/>
              </w:rPr>
            </w:pPr>
          </w:p>
        </w:tc>
      </w:tr>
      <w:tr>
        <w:trPr>
          <w:trHeight w:val="103"/>
        </w:trPr>
        <w:tc>
          <w:tcPr>
            <w:tcW w:w="2220" w:type="dxa"/>
            <w:vAlign w:val="bottom"/>
            <w:gridSpan w:val="3"/>
          </w:tcPr>
          <w:p>
            <w:pPr>
              <w:ind w:left="40"/>
              <w:spacing w:after="0" w:line="103" w:lineRule="exact"/>
              <w:rPr>
                <w:sz w:val="20"/>
                <w:szCs w:val="20"/>
                <w:color w:val="auto"/>
              </w:rPr>
            </w:pPr>
            <w:r>
              <w:rPr>
                <w:rFonts w:ascii="Arial" w:cs="Arial" w:eastAsia="Arial" w:hAnsi="Arial"/>
                <w:sz w:val="11"/>
                <w:szCs w:val="11"/>
                <w:color w:val="auto"/>
              </w:rPr>
              <w:t>Net loss per common share—basic and</w:t>
            </w:r>
          </w:p>
        </w:tc>
        <w:tc>
          <w:tcPr>
            <w:tcW w:w="1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85"/>
              <w:spacing w:after="0"/>
              <w:rPr>
                <w:sz w:val="20"/>
                <w:szCs w:val="20"/>
                <w:color w:val="auto"/>
              </w:rPr>
            </w:pPr>
            <w:r>
              <w:rPr>
                <w:rFonts w:ascii="Arial" w:cs="Arial" w:eastAsia="Arial" w:hAnsi="Arial"/>
                <w:sz w:val="11"/>
                <w:szCs w:val="11"/>
                <w:color w:val="auto"/>
              </w:rPr>
              <w:t>(0.95)</w:t>
            </w: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ind w:right="65"/>
              <w:spacing w:after="0"/>
              <w:rPr>
                <w:sz w:val="20"/>
                <w:szCs w:val="20"/>
                <w:color w:val="auto"/>
              </w:rPr>
            </w:pPr>
            <w:r>
              <w:rPr>
                <w:rFonts w:ascii="Arial" w:cs="Arial" w:eastAsia="Arial" w:hAnsi="Arial"/>
                <w:sz w:val="11"/>
                <w:szCs w:val="11"/>
                <w:color w:val="auto"/>
              </w:rPr>
              <w:t>(2.11)</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25"/>
              <w:spacing w:after="0"/>
              <w:rPr>
                <w:sz w:val="20"/>
                <w:szCs w:val="20"/>
                <w:color w:val="auto"/>
              </w:rPr>
            </w:pPr>
            <w:r>
              <w:rPr>
                <w:rFonts w:ascii="Arial" w:cs="Arial" w:eastAsia="Arial" w:hAnsi="Arial"/>
                <w:sz w:val="11"/>
                <w:szCs w:val="11"/>
                <w:color w:val="auto"/>
              </w:rPr>
              <w:t>(1.3)</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25"/>
              <w:spacing w:after="0"/>
              <w:rPr>
                <w:sz w:val="20"/>
                <w:szCs w:val="20"/>
                <w:color w:val="auto"/>
              </w:rPr>
            </w:pPr>
            <w:r>
              <w:rPr>
                <w:rFonts w:ascii="Arial" w:cs="Arial" w:eastAsia="Arial" w:hAnsi="Arial"/>
                <w:sz w:val="11"/>
                <w:szCs w:val="11"/>
                <w:color w:val="auto"/>
              </w:rPr>
              <w:t>(1.23)</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(0.98)</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(1.22)</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(1.45)</w:t>
            </w:r>
          </w:p>
        </w:tc>
        <w:tc>
          <w:tcPr>
            <w:tcW w:w="1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5"/>
              <w:spacing w:after="0"/>
              <w:rPr>
                <w:sz w:val="20"/>
                <w:szCs w:val="20"/>
                <w:color w:val="auto"/>
              </w:rPr>
            </w:pPr>
            <w:r>
              <w:rPr>
                <w:rFonts w:ascii="Arial" w:cs="Arial" w:eastAsia="Arial" w:hAnsi="Arial"/>
                <w:sz w:val="11"/>
                <w:szCs w:val="11"/>
                <w:color w:val="auto"/>
              </w:rPr>
              <w:t>(1.1)</w:t>
            </w:r>
          </w:p>
        </w:tc>
        <w:tc>
          <w:tcPr>
            <w:tcW w:w="280" w:type="dxa"/>
            <w:vAlign w:val="bottom"/>
            <w:vMerge w:val="restart"/>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(0.95)</w:t>
            </w:r>
          </w:p>
        </w:tc>
        <w:tc>
          <w:tcPr>
            <w:tcW w:w="260" w:type="dxa"/>
            <w:vAlign w:val="bottom"/>
            <w:vMerge w:val="restart"/>
          </w:tcPr>
          <w:p>
            <w:pPr>
              <w:jc w:val="right"/>
              <w:ind w:right="124"/>
              <w:spacing w:after="0"/>
              <w:rPr>
                <w:sz w:val="20"/>
                <w:szCs w:val="20"/>
                <w:color w:val="auto"/>
              </w:rPr>
            </w:pPr>
            <w:r>
              <w:rPr>
                <w:rFonts w:ascii="Arial" w:cs="Arial" w:eastAsia="Arial" w:hAnsi="Arial"/>
                <w:sz w:val="11"/>
                <w:szCs w:val="11"/>
                <w:color w:val="auto"/>
                <w:w w:val="97"/>
              </w:rPr>
              <w:t>$</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(0.24)</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1"/>
                <w:szCs w:val="11"/>
                <w:color w:val="auto"/>
              </w:rPr>
            </w:pPr>
          </w:p>
        </w:tc>
        <w:tc>
          <w:tcPr>
            <w:tcW w:w="2180" w:type="dxa"/>
            <w:vAlign w:val="bottom"/>
            <w:gridSpan w:val="2"/>
          </w:tcPr>
          <w:p>
            <w:pPr>
              <w:ind w:left="160"/>
              <w:spacing w:after="0"/>
              <w:rPr>
                <w:sz w:val="20"/>
                <w:szCs w:val="20"/>
                <w:color w:val="auto"/>
              </w:rPr>
            </w:pPr>
            <w:r>
              <w:rPr>
                <w:rFonts w:ascii="Arial" w:cs="Arial" w:eastAsia="Arial" w:hAnsi="Arial"/>
                <w:sz w:val="11"/>
                <w:szCs w:val="11"/>
                <w:color w:val="auto"/>
              </w:rPr>
              <w:t>diluted</w:t>
            </w:r>
          </w:p>
        </w:tc>
        <w:tc>
          <w:tcPr>
            <w:tcW w:w="18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net revenues have generally increased in each quarter presented with the exception of the quarter ended July 1, 2017 primarily due to increased sales. Net revenues in the quarter ended July 1, 2017, declined due to production challenges but increased significantly in subsequent quarters as production capacity increased and as we brought new customers on board. Cost of goods sold in the quarter ended July 1, 2017 increased due to inefficiencies from production challenges resulting in the lowest gross profit among the periods presented. With the exception of the quarter ended July 1, 2017, gross profit and gross margin continued to grow in the periods presented as net revenues increased. Net revenues and gross profit in the three months ended June 29, 2019, increased significantly due to seasonal trends, as well as product innovation launches, and new foodservice distribution expansion. We achieved income from operations in the three months ended June 29, 2019 as compared to loss from operations in all the previous quarters. We cannot assure you that this pattern of sequential growth in net revenues and/or gross profit and gross margin will continue. We anticipate that gross profit and gross margin may fluctuate from quarter to quarter because of variability in our production volumes and product mix.</w:t>
      </w:r>
    </w:p>
    <w:p>
      <w:pPr>
        <w:spacing w:after="0" w:line="158"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operating expenses generally have increased sequentially in each quarter primarily due to increases in headcount and related expenses to support our growth. Production challenges and cost of terminating a supply agreement with one of our contract manufacturers significantly impacted our quarter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68" w:right="239" w:bottom="1440" w:gutter="0" w:footer="0" w:header="0"/>
        </w:sectPr>
      </w:pPr>
    </w:p>
    <w:bookmarkStart w:id="72" w:name="page73"/>
    <w:bookmarkEnd w:id="72"/>
    <w:p>
      <w:pPr>
        <w:ind w:right="260"/>
        <w:spacing w:after="0" w:line="252" w:lineRule="auto"/>
        <w:rPr>
          <w:sz w:val="20"/>
          <w:szCs w:val="20"/>
          <w:color w:val="auto"/>
        </w:rPr>
      </w:pPr>
      <w:r>
        <w:rPr>
          <w:rFonts w:ascii="Arial" w:cs="Arial" w:eastAsia="Arial" w:hAnsi="Arial"/>
          <w:sz w:val="18"/>
          <w:szCs w:val="18"/>
          <w:color w:val="auto"/>
        </w:rPr>
        <w:t>ended July 1, 2017. Quarterly fluctuations in our costs and expenses overall primarily reflect changes in our headcount. Research and development expenses have fluctuated based on the timing of personnel additions and related innovation expenditures. Selling, general and administrative expenses fluctuated within a narrow range in the quarterly periods in 2017 but fluctuated within a wider range and increased substantially in the quarterly periods in 2018 and 2019 compared to the quarterly periods in 2017 primarily due to increases in headcount, marketing and other professional service fees, scale-up expenses, supply chain expenses, broker commissions, and outbound freight expenses</w:t>
      </w:r>
    </w:p>
    <w:p>
      <w:pPr>
        <w:spacing w:after="0" w:line="15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anticipate our operating expenses will continue to increase in absolute dollars in future periods as we invest in the long-term growth of our business. Historical patterns should not be considered a reliable indicator of our future sales activity or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 Prior to our IPO, we financed our operations through private sales of equity securities and through sales of our products. Since our inception and through June 29, 2019,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including 1,443,750 shares pursuant to the underwriters’ over-allotment option, at an IPO price of $25.00 per share and received approximately $252.4 million in net proceeds. We have also entered into the credit facilities described below with Silicon Valley Bank, or SVB.</w:t>
      </w:r>
    </w:p>
    <w:p>
      <w:pPr>
        <w:spacing w:after="0" w:line="153"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As of June 29, 2019, we had $277.0 million in cash and cash equivalents. We believe that our cash and cash equivalents, cash flow from operating activities and available borrowings under our credit facilities will be sufficient to fund our working capital and meet our anticipated capital requirements for at least the next 12 months. Our future capital requirements may vary materially from those currently planned and will depend on many factors, including the number and characteristics of any additional products or manufacturing processes we develop or acquire to serve new or existing markets;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expenses needed to attract and retain skilled personnel; the costs associated with being a public company; the costs involved in preparing, filing, prosecuting, maintaining, defending and enforcing patent claims, including litigation costs and the outcome of such litigation; and the timing, receipt and amount of sales of, or royalties on, any future approved products, if any.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June 2018, we refinanced our then existing revolving credit facility and term loan facility under a loan and security agreement with SVB, or the Amended LSA. The Amended LSA includes a $6.0 million revolving credit facility, or the 2018 Revolving Credit Facility, and a term loan facility, or the 2018 Term Loan Facility,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59"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2018 Term Loan Facility and the 2018 Revolving Credit Facility, which we collectively refer to as the SVB Credit Facilities, contain customary negative covenants that limit our ability to, among other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82" w:right="239" w:bottom="1440" w:gutter="0" w:footer="0" w:header="0"/>
        </w:sectPr>
      </w:pPr>
    </w:p>
    <w:bookmarkStart w:id="73" w:name="page74"/>
    <w:bookmarkEnd w:id="73"/>
    <w:p>
      <w:pPr>
        <w:ind w:right="260"/>
        <w:spacing w:after="0" w:line="254" w:lineRule="auto"/>
        <w:rPr>
          <w:sz w:val="20"/>
          <w:szCs w:val="20"/>
          <w:color w:val="auto"/>
        </w:rPr>
      </w:pPr>
      <w:r>
        <w:rPr>
          <w:rFonts w:ascii="Arial" w:cs="Arial" w:eastAsia="Arial" w:hAnsi="Arial"/>
          <w:sz w:val="18"/>
          <w:szCs w:val="18"/>
          <w:color w:val="auto"/>
        </w:rPr>
        <w:t>things, incur additional indebtedness, grant liens, make investments, repurchase stock, pay dividends, transfer assets and merge or consolidate. The SVB Credit Facilities are secured by a blanket lien on all of our personal property assets. The SVB Credit Facilities also contain customary affirmative covenants, including delivery of audited financial statements. We were in compliance with the covenants in the SVB Credit Facilities as of June 29, 2019.</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June 29, 2019 and December 31, 2018, we had $6.0 million and $20.0 million in borrowings on the 2018 Revolving Credit Facility and 2018 Term Loan Facility, respectively, and had no availability to borrow under either of these loan facilities. In the three and six months ended June 29, 2019 and June 30, 2018, we incurred $0.5 million and $ 22,000, respectively, in interest expense related to SVB credit facilities. In the six months ended June 29, 2019 and June 30, 2018, we incurred $1.1 million and $40,000, respectively, in interest expense related to the SVB credit facilities. The interest rates on the 2018 Revolving Credit Facility and the 2018 Term Loan Facility at June 29, 2019 were 6.25% and 9.50%,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In September 2018, we entered into an Equipment Loan and Security Agreement with Structural Capital Investments II, LP, or Structural Capital, and Ocean II PLO, LLC, as administrative and collateral agent, pursuant to which Structural Capital agreed to provide an equipment loan facility to us in the amount of $5.0 million for the purpose of purchasing equipment.</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required to pay interest on any unpaid principal amounts at a per annum rate equal to 6.25% plus the greater of 4.75% or the prime rate then in effect. Interest on each advance made to us is due and payable on the first business day of each month. We must begin repaying the aggregate principal amount of all advances we have received in equal monthly installments beginning on June 30, 2019, which may be extended for six or 18 months depending on whether we achieve certain milestones. As of June 30, 2019, we achieved all of the milestones and, therefore, monthly installment repayments of principal are expected to begin on December 31, 2020. The unpaid balance of all advances will become due on May 1, 2022. We must also pay a final payment fee of 13% of the facility commitment amount on the maturity date and such other date as the advances become due and such fee will increase by 1% if certain milestones are achieved.</w:t>
      </w:r>
    </w:p>
    <w:p>
      <w:pPr>
        <w:spacing w:after="0" w:line="153"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equipment loan facility has a prepayment penalty of 2% during the first two years of the term and 1% thereafter. The facility contains customary negative covenants that limit our ability to, among other things, grant liens, repurchase stock, pay dividends, transfer assets and merge or consolidate. It is secured by all equipment purchased with cash borrowed under the facility and all of our accounts, money, books, records and any cash or noncash proceeds of the foregoing. The facility also contains customary affirmative covenants, including delivery of audited financial statements. We were in compliance with the covenants contained in the equipment loan facility as of June 29, 2019.</w:t>
      </w:r>
    </w:p>
    <w:p>
      <w:pPr>
        <w:spacing w:after="0" w:line="15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had $5.0 million in borrowings outstanding as of June 29, 2019 and December 31, 2018 under the equipment loan facility. The interest rate on the equipment loan facility at June 29, 2019 and December 31, 2018 was 11.75% and 11.5%, respectively. For the three months ended June 29, 2019 and June 30, 2018, we recorded $0.2 million and $0, respectively, in interest expense related to the equipment loan facility. For the six months ended June 29, 2019 and June 30, 2018, we recorded $0.3 million and $0, respectively, in interest expense related to the equipment loan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8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7"/>
                <w:szCs w:val="17"/>
                <w:color w:val="auto"/>
              </w:rPr>
            </w:pPr>
          </w:p>
        </w:tc>
        <w:tc>
          <w:tcPr>
            <w:tcW w:w="1220" w:type="dxa"/>
            <w:vAlign w:val="bottom"/>
          </w:tcPr>
          <w:p>
            <w:pPr>
              <w:jc w:val="right"/>
              <w:ind w:right="354"/>
              <w:spacing w:after="0"/>
              <w:rPr>
                <w:sz w:val="20"/>
                <w:szCs w:val="20"/>
                <w:color w:val="auto"/>
              </w:rPr>
            </w:pPr>
            <w:r>
              <w:rPr>
                <w:rFonts w:ascii="Arial" w:cs="Arial" w:eastAsia="Arial" w:hAnsi="Arial"/>
                <w:sz w:val="16"/>
                <w:szCs w:val="16"/>
                <w:b w:val="1"/>
                <w:bCs w:val="1"/>
                <w:color w:val="auto"/>
              </w:rPr>
              <w:t>June 29,</w:t>
            </w:r>
          </w:p>
        </w:tc>
      </w:tr>
      <w:tr>
        <w:trPr>
          <w:trHeight w:val="180"/>
        </w:trPr>
        <w:tc>
          <w:tcPr>
            <w:tcW w:w="35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5"/>
                <w:szCs w:val="15"/>
                <w:color w:val="auto"/>
              </w:rPr>
            </w:pPr>
          </w:p>
        </w:tc>
        <w:tc>
          <w:tcPr>
            <w:tcW w:w="1140" w:type="dxa"/>
            <w:vAlign w:val="bottom"/>
          </w:tcPr>
          <w:p>
            <w:pPr>
              <w:jc w:val="right"/>
              <w:ind w:right="474"/>
              <w:spacing w:after="0" w:line="181"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472"/>
              <w:spacing w:after="0" w:line="181"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472"/>
              <w:spacing w:after="0" w:line="181"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474"/>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474"/>
              <w:spacing w:after="0" w:line="181" w:lineRule="exact"/>
              <w:rPr>
                <w:sz w:val="20"/>
                <w:szCs w:val="20"/>
                <w:color w:val="auto"/>
              </w:rPr>
            </w:pPr>
            <w:r>
              <w:rPr>
                <w:rFonts w:ascii="Arial" w:cs="Arial" w:eastAsia="Arial" w:hAnsi="Arial"/>
                <w:sz w:val="16"/>
                <w:szCs w:val="16"/>
                <w:b w:val="1"/>
                <w:bCs w:val="1"/>
                <w:color w:val="auto"/>
              </w:rPr>
              <w:t>2019</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(used in) provided by: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(23,495)</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(25,273)</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(37,721)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(22,366)</w:t>
            </w:r>
          </w:p>
        </w:tc>
      </w:tr>
      <w:tr>
        <w:trPr>
          <w:trHeight w:val="277"/>
        </w:trPr>
        <w:tc>
          <w:tcPr>
            <w:tcW w:w="40" w:type="dxa"/>
            <w:vAlign w:val="bottom"/>
            <w:shd w:val="clear" w:color="auto" w:fill="CCEEFF"/>
          </w:tcPr>
          <w:p>
            <w:pPr>
              <w:spacing w:after="0"/>
              <w:rPr>
                <w:sz w:val="24"/>
                <w:szCs w:val="24"/>
                <w:color w:val="auto"/>
              </w:rPr>
            </w:pPr>
          </w:p>
        </w:tc>
        <w:tc>
          <w:tcPr>
            <w:tcW w:w="3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r>
      <w:tr>
        <w:trPr>
          <w:trHeight w:val="257"/>
        </w:trPr>
        <w:tc>
          <w:tcPr>
            <w:tcW w:w="40" w:type="dxa"/>
            <w:vAlign w:val="bottom"/>
          </w:tcPr>
          <w:p>
            <w:pPr>
              <w:spacing w:after="0"/>
              <w:rPr>
                <w:sz w:val="22"/>
                <w:szCs w:val="22"/>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31,914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55,425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76,199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255,960</w:t>
            </w:r>
          </w:p>
        </w:tc>
      </w:tr>
    </w:tbl>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2016, we incurred a net loss of $25.1 million, which was the primary reason for net cash used in operating activities of $23.5 million. Net cash used in operating activities also included $1.5 million in net cash outflows from changes in our operating assets and liabilities, fully offset by $3.1 million in non-cash expenses, comprised of change in warrant liability depreciation and amortization expense, and share-based compensation expense.</w:t>
      </w:r>
    </w:p>
    <w:p>
      <w:pPr>
        <w:spacing w:after="0" w:line="15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2017, we incurred a net loss of $30.4 million, which was the primary reason for net cash used in operating activities of $25.3 million. Net cash used in operating activities also included $2.6 million in net cash outflows from changes in our operating assets and liabilities, fully offset by $5.4 million in non-cash expenses comprised of depreciation and amortization expense, share-based compensation expense, convertible note-related expense and change in warrant liability. In 2017, net loss included a non-cash restructuring loss of $2.3 million on the write-off of fixed assets related to our termination of an exclusive supply agreement with a co-manufacturer.</w:t>
      </w:r>
    </w:p>
    <w:p>
      <w:pPr>
        <w:spacing w:after="0" w:line="1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2018, we incurred a net loss of $29.9 million, which was the primary reason for net cash used in operating activities of $37.7 million. Net cash used in operating activities also included $16.3 million in net cash outflows from changes in our operating assets and liabilities, partially offset by $8.5 million in non-cash expenses comprised of depreciation and amortization expense, share-based compensation expense, convertible note-related expense, and change in warrant liability.</w:t>
      </w:r>
    </w:p>
    <w:p>
      <w:pPr>
        <w:spacing w:after="0" w:line="150"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In the six months ended June 30, 2018, we incurred a net loss of $13.1 million, which was the primary reason for net cash used in operating activities of $12.7 million. Net cash used in operating activities also included $2.2 million in net cash outflows from changes in our operating assets and liabilities, partially offset by $2.6 million in non-cash expenses comprised of depreciation and amortization expense, share-based compensation expense, and change in warrant liability.</w:t>
      </w:r>
    </w:p>
    <w:p>
      <w:pPr>
        <w:spacing w:after="0" w:line="1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the six months ended June 29, 2019, we incurred a net loss of $16.1 million. The primary reason for net cash used in operating activities of $22.4 million was the $25.5 million in net cash outflows from changes in our operating assets and liabilities, primarily due to increases in accounts receivable and inventory. Net loss in the six months ended June 29, 2019, included $19.2 million in non-cash expenses comprised of change in warrant liability, depreciation and amortization expense and share-based compensation expense.</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Depreciation and amortization expense was $4.0 million and $1.6 million in the six months ended June 29, 2019 and June 30, 2018, respectively. We anticipate our depreciation and amortization expense will be approximately $2.1 million per quarter in 2019 based on our existing fixed assets and anticipated capital expenditures as we expand our production capabilities to meet increased demand for our products.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68" w:right="2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3"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4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In 2016, net cash used in investing activities was $ 5.0 million and consisted of cash outflows for the purchases of property, plant and equipment, principally to support the development and production of the Beyond Burger.</w:t>
      </w:r>
    </w:p>
    <w:p>
      <w:pPr>
        <w:spacing w:after="0" w:line="14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In 2017, net cash used in investing activities was $8.1 million and consisted of cash outflows for the purchases of property, plant and equipment, principally for the build-out and equipping of our Manhattan Beach Project Innovation Center.</w:t>
      </w:r>
    </w:p>
    <w:p>
      <w:pPr>
        <w:spacing w:after="0" w:line="14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In 2018, net cash used in investing activities was $23.2 million and consisted of cash outflows for the purchase of property, plant and equipment, primarily for manufacturing facility improvements and manufacturing equipment.</w:t>
      </w:r>
    </w:p>
    <w:p>
      <w:pPr>
        <w:spacing w:after="0" w:line="14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the six months ended June 30, 2018, net cash used in investing activities was $10.0 million and consisted of cash outflows for purchases of property, plant and equipment, primarily for manufacturing facility improvements and manufacturing equipment.</w:t>
      </w:r>
    </w:p>
    <w:p>
      <w:pPr>
        <w:spacing w:after="0" w:line="14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the six months ended June 29, 2019, net cash used in investing activities was $10.9 million and consisted of $7.5 million in cash outflows for purchases of property, plant and equipment, primarily for manufacturing facility improvements and manufacturing equipment, $3.2 million in cash outflows related to property, plant and equipment purchased for sale to co-manufacturers which we expect will be sold by the end of 2019, and security deposits.</w:t>
      </w:r>
    </w:p>
    <w:p>
      <w:pPr>
        <w:spacing w:after="0" w:line="150"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For the remainder of 2019, we anticipate spending approximately $7.0 million in capital expenditures. In 2020, we anticipate spending approximately $ 40.0 million in capital expenditures as we scale our production capacity, including expenditures for additional machinery and equipment, as well as investment in facilities and expenditures to replace normal wear and tear of machinery and equipment.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Net cash provided by financing activities in 2016, 2017 and 2018 was primarily due to the net proceeds from our issuance of convertible preferred stock and net borrowings under our revolving credit facilities and our term loan facilities.</w:t>
      </w:r>
    </w:p>
    <w:p>
      <w:pPr>
        <w:spacing w:after="0" w:line="14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2016, financing activities provided $31.9 million in cash primarily as a result of $25.8 million of net proceeds from the issuance of our Series E and F preferred stock, net of issuance costs, $4.0 million in proceeds from the issuance of convertible notes that were eventually converted into Series F preferred stock, $1.5 million of proceeds from 2016 Term Loan Facility borrowing, $ 1.6 million in 2016 Revolving Credit Facility borrowings and $0.7 million in proceeds from option exercises, partially offset by payments towards our revolving credit facility borrowings and payments towards our capital lease obligations. Financing and revolving credit facility borrowings were used to finance our operations.</w:t>
      </w:r>
    </w:p>
    <w:p>
      <w:pPr>
        <w:spacing w:after="0" w:line="15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2017, financing activities provided $55.4 million in cash as a result of $43.3 million of proceeds from the issuance of our Series F and G preferred stock, net of issuance costs, $ 10.0 million in proceeds from the issuance of convertible notes that were eventually converted into Series G preferred stock, $2.5 million in 2016 Revolving Credit Facility borrowings and $0.4 million in proceeds from option exercises, partially offset by payments towards our 2016 Revolving Credit Facility borrowings and capital lease obligations. The proceeds from the borrowings were used to finance our operations.</w:t>
      </w:r>
    </w:p>
    <w:p>
      <w:pPr>
        <w:spacing w:after="0" w:line="152"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auto"/>
        </w:rPr>
        <w:t>In 2018, financing activities provided $76.2 million in cash primarily as a result of $51.3 million in net proceeds from the issuance of our Series G and Series H preferred stock, net of issuance costs, $20.0 million in borrowings under our 2018 Term Loan Facility, $6.0 million in borrowings under our 2018 Revolving Credit Facility and $5.0 million in borrowings under an equipment loan facility, partially offset by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68" w:right="239" w:bottom="1440" w:gutter="0" w:footer="0" w:header="0"/>
        </w:sectPr>
      </w:pPr>
    </w:p>
    <w:bookmarkStart w:id="76" w:name="page77"/>
    <w:bookmarkEnd w:id="76"/>
    <w:p>
      <w:pPr>
        <w:ind w:right="820"/>
        <w:spacing w:after="0" w:line="262" w:lineRule="auto"/>
        <w:rPr>
          <w:sz w:val="20"/>
          <w:szCs w:val="20"/>
          <w:color w:val="auto"/>
        </w:rPr>
      </w:pPr>
      <w:r>
        <w:rPr>
          <w:rFonts w:ascii="Arial" w:cs="Arial" w:eastAsia="Arial" w:hAnsi="Arial"/>
          <w:sz w:val="18"/>
          <w:szCs w:val="18"/>
          <w:color w:val="auto"/>
        </w:rPr>
        <w:t>cash outflows for repayment of the Missouri Note, 2016 Revolving Credit Facility and 2016 Term Loan Facility. The proceeds from the borrowings were used to finance our operations.</w:t>
      </w:r>
    </w:p>
    <w:p>
      <w:pPr>
        <w:spacing w:after="0" w:line="14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the six months ended June 30, 2018, net cash provided by financing activities was $7.2 million primarily as a result of $ 10.0 million in proceeds from bank term loan, $1.4 million in net proceeds from the issuance of our Series G preferred stock and $0.9 million in proceeds from stock option exercises, partially offset by $5.0 million in aggregate repayments on our revolving credit line, term loan, and Missouri Note.</w:t>
      </w:r>
    </w:p>
    <w:p>
      <w:pPr>
        <w:spacing w:after="0" w:line="1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the six months ended June 29, 2019, net cash provided by financing activities was $256.0 million primarily as a result of $255.4 million in net proceeds from our IPO, net of issuance costs, and $0.5 million in proceeds from stock option exercises, partially offset by $21,000 in payments of capital lease obligations.</w:t>
      </w:r>
    </w:p>
    <w:p>
      <w:pPr>
        <w:spacing w:after="0" w:line="148"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As of June 29, 2019, we had borrowed the entire availability of $20.0 million under the 2018 Term Loan Facility and $6.0 million under the 2018 Revolving Credit Facility.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significant contractual obligations as of December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6"/>
                <w:szCs w:val="16"/>
                <w:b w:val="1"/>
                <w:bCs w:val="1"/>
                <w:color w:val="auto"/>
              </w:rPr>
              <w:t>Payments Due by Period</w:t>
            </w: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72"/>
              <w:spacing w:after="0"/>
              <w:rPr>
                <w:sz w:val="20"/>
                <w:szCs w:val="20"/>
                <w:color w:val="auto"/>
              </w:rPr>
            </w:pPr>
            <w:r>
              <w:rPr>
                <w:rFonts w:ascii="Arial" w:cs="Arial" w:eastAsia="Arial" w:hAnsi="Arial"/>
                <w:sz w:val="16"/>
                <w:szCs w:val="16"/>
                <w:b w:val="1"/>
                <w:bCs w:val="1"/>
                <w:color w:val="auto"/>
              </w:rPr>
              <w:t>Less Than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7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80"/>
        </w:trPr>
        <w:tc>
          <w:tcPr>
            <w:tcW w:w="35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5"/>
                <w:szCs w:val="15"/>
                <w:color w:val="auto"/>
              </w:rPr>
            </w:pPr>
          </w:p>
        </w:tc>
        <w:tc>
          <w:tcPr>
            <w:tcW w:w="126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5"/>
                <w:szCs w:val="15"/>
                <w:color w:val="auto"/>
              </w:rPr>
            </w:pPr>
          </w:p>
        </w:tc>
        <w:tc>
          <w:tcPr>
            <w:tcW w:w="1160" w:type="dxa"/>
            <w:vAlign w:val="bottom"/>
          </w:tcPr>
          <w:p>
            <w:pPr>
              <w:jc w:val="right"/>
              <w:ind w:right="212"/>
              <w:spacing w:after="0" w:line="181" w:lineRule="exact"/>
              <w:rPr>
                <w:sz w:val="20"/>
                <w:szCs w:val="20"/>
                <w:color w:val="auto"/>
              </w:rPr>
            </w:pPr>
            <w:r>
              <w:rPr>
                <w:rFonts w:ascii="Arial" w:cs="Arial" w:eastAsia="Arial" w:hAnsi="Arial"/>
                <w:sz w:val="16"/>
                <w:szCs w:val="16"/>
                <w:b w:val="1"/>
                <w:bCs w:val="1"/>
                <w:color w:val="auto"/>
              </w:rPr>
              <w:t>One Year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60"/>
              <w:spacing w:after="0" w:line="181" w:lineRule="exact"/>
              <w:rPr>
                <w:sz w:val="20"/>
                <w:szCs w:val="20"/>
                <w:color w:val="auto"/>
              </w:rPr>
            </w:pPr>
            <w:r>
              <w:rPr>
                <w:rFonts w:ascii="Arial" w:cs="Arial" w:eastAsia="Arial" w:hAnsi="Arial"/>
                <w:sz w:val="16"/>
                <w:szCs w:val="16"/>
                <w:b w:val="1"/>
                <w:bCs w:val="1"/>
                <w:color w:val="auto"/>
                <w:w w:val="98"/>
              </w:rPr>
              <w:t>1-3 Years</w:t>
            </w:r>
          </w:p>
        </w:tc>
        <w:tc>
          <w:tcPr>
            <w:tcW w:w="260" w:type="dxa"/>
            <w:vAlign w:val="bottom"/>
          </w:tcPr>
          <w:p>
            <w:pPr>
              <w:spacing w:after="0"/>
              <w:rPr>
                <w:sz w:val="15"/>
                <w:szCs w:val="15"/>
                <w:color w:val="auto"/>
              </w:rPr>
            </w:pPr>
          </w:p>
        </w:tc>
        <w:tc>
          <w:tcPr>
            <w:tcW w:w="134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3-5 Years</w:t>
            </w:r>
          </w:p>
        </w:tc>
        <w:tc>
          <w:tcPr>
            <w:tcW w:w="220" w:type="dxa"/>
            <w:vAlign w:val="bottom"/>
          </w:tcPr>
          <w:p>
            <w:pPr>
              <w:spacing w:after="0"/>
              <w:rPr>
                <w:sz w:val="15"/>
                <w:szCs w:val="15"/>
                <w:color w:val="auto"/>
              </w:rPr>
            </w:pPr>
          </w:p>
        </w:tc>
        <w:tc>
          <w:tcPr>
            <w:tcW w:w="1260" w:type="dxa"/>
            <w:vAlign w:val="bottom"/>
          </w:tcPr>
          <w:p>
            <w:pPr>
              <w:jc w:val="right"/>
              <w:ind w:right="252"/>
              <w:spacing w:after="0" w:line="181" w:lineRule="exact"/>
              <w:rPr>
                <w:sz w:val="20"/>
                <w:szCs w:val="20"/>
                <w:color w:val="auto"/>
              </w:rPr>
            </w:pPr>
            <w:r>
              <w:rPr>
                <w:rFonts w:ascii="Arial" w:cs="Arial" w:eastAsia="Arial" w:hAnsi="Arial"/>
                <w:sz w:val="16"/>
                <w:szCs w:val="16"/>
                <w:b w:val="1"/>
                <w:bCs w:val="1"/>
                <w:color w:val="auto"/>
              </w:rPr>
              <w:t>Five Years</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obligations</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Equipment lease obligations</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 Revolving Credit Facility</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2018 Term Loan Facility</w:t>
            </w:r>
            <w:r>
              <w:rPr>
                <w:rFonts w:ascii="Arial" w:cs="Arial" w:eastAsia="Arial" w:hAnsi="Arial"/>
                <w:sz w:val="21"/>
                <w:szCs w:val="21"/>
                <w:color w:val="auto"/>
                <w:vertAlign w:val="superscript"/>
              </w:rPr>
              <w:t>(4)</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Equipment loan</w:t>
            </w:r>
            <w:r>
              <w:rPr>
                <w:rFonts w:ascii="Arial" w:cs="Arial" w:eastAsia="Arial" w:hAnsi="Arial"/>
                <w:sz w:val="21"/>
                <w:szCs w:val="21"/>
                <w:color w:val="auto"/>
                <w:vertAlign w:val="superscript"/>
              </w:rPr>
              <w:t>(5)</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1"/>
                <w:szCs w:val="21"/>
                <w:color w:val="auto"/>
                <w:vertAlign w:val="superscript"/>
              </w:rPr>
              <w:t>(6)</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22,440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64,942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26,372</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540" w:hanging="332"/>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lease payments for our Manhattan Beach Project Innovation Center in El Segundo, California and our manufacturing facilities in Columbia, Missouri. Excludes lease payments for our corporate offices which lease was entered into subsequent to December 31, 2018.</w:t>
      </w: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payments under various capital leases for certain equipment.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principal under a revolving credit facility from SVB. Interest accrued at a floating rate.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a term loan with SVB. Includes principal and interest.</w:t>
      </w:r>
    </w:p>
    <w:p>
      <w:pPr>
        <w:spacing w:after="0" w:line="5"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Consists of an equipment loan that we entered into in September 2018 (see Note 6, </w:t>
      </w:r>
      <w:r>
        <w:rPr>
          <w:rFonts w:ascii="Arial" w:cs="Arial" w:eastAsia="Arial" w:hAnsi="Arial"/>
          <w:sz w:val="16"/>
          <w:szCs w:val="16"/>
          <w:i w:val="1"/>
          <w:iCs w:val="1"/>
          <w:color w:val="auto"/>
        </w:rPr>
        <w:t>Debt</w:t>
      </w:r>
      <w:r>
        <w:rPr>
          <w:rFonts w:ascii="Arial" w:cs="Arial" w:eastAsia="Arial" w:hAnsi="Arial"/>
          <w:sz w:val="16"/>
          <w:szCs w:val="16"/>
          <w:color w:val="auto"/>
        </w:rPr>
        <w:t>, to the Notes to Financial Statements included elsewhere in this prospectus). Includes principal and interest.</w:t>
      </w: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commitments entered into in 2018 to purchase pea protein inventory.</w:t>
      </w:r>
    </w:p>
    <w:p>
      <w:pPr>
        <w:spacing w:after="0" w:line="164"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There have been no significant changes during the six months ended June 29, 2019 to the contractual obligations disclosed in the table above other than the following:</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March 1, 2019, we entered into a lease for our principal executive offices in El Segundo, California, for an initial term of five years. The aggregate lease amount for the five-year term is $2.7 million, which is not included in the table above. The future minimum lease payments required under noncancelable lease obligations related to this lease are $2.6 million due through 2023 (approximately $0.5 million annually) and $0.1 million thereafter.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82" w:right="23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2019, the Company had committed to purchase pea protein inventory totaling $28.4 million.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9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We have one operating segment and one reportable segment, as our chief operating decision maker, who is our Chief Executive Officer, reviews financial information on an aggregate basis for purposes of allocating resources and evaluating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are exposed to certain market risks in the ordinary course of our business. These risks primarily consist of interest rates, raw material prices and inflation as follows: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189"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Our cash consists of amounts held by third-party financial institutions. In May 2019, upon closing of our IPO, we adopted an investment policy which will have as its primary objective investment activities which preserve principal without significantly increasing risk.</w:t>
      </w:r>
    </w:p>
    <w:p>
      <w:pPr>
        <w:spacing w:after="0" w:line="14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subject to interest rate risk in connection with our SVB Credit Facilities and equipment loan facility. See “—Liquidity and Capital Resources—Credit Facilities” and “—Liquidity and Capital Resources—Equipment Loan Facility” above. Based on the average interest rate on our SVB Credit Facilities and equipment loan facility during the six months ended June 29, 2019 and to the extent that borrowings were outstanding, we do not believe that a 1.0% change in the interest rate would have a material effect on our results of operations or financial condition.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Ingredient Risk</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profitability is dependent on, among other things, our ability to anticipate and react to raw material and food costs. Currently, the main ingredient in our products is pea protein, which we source from Canada and France. The prices of pea protein and other ingredients we use are subject to many factors beyond our control, such as the number and size of farms that grow Canadian and European yellow peas, the vagaries of these farming businesses, including poor harvests due to adverse weather conditions, natural disasters and pestilence, and changes in national and world economic conditions. In addition, we purchase some ingredients and other materials offshore, and the price and availability of such ingredients and materials may be affected by political events or other conditions in these countries or tariffs or trade wars. As of June 29, 2019, a hypothetical 10% increase or 10% decrease in the weighted-average cost of pea protein, our primary ingredient, would have resulted in an increase of approximately $ 1.0 million or a decrease of approximately $ 1.0 million, respectively, to cost of goods sold. We are working to diversify our sources of supply and intend to enter into long-term contracts to better ensure stability of prices of our raw materials.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18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revenues and costs are denominated in U.S. dollars and are not subject to foreign exchange risk. However, to the extent our sourcing strategy changes or we commence generating net revenues outside of the United States that are denominated in currencies other than the U.S. dollar, our results of operations could be impacted by changes in exchange rates.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0" w:right="2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i w:val="1"/>
          <w:iCs w:val="1"/>
          <w:color w:val="auto"/>
        </w:rPr>
        <w:t>Inflation Risk</w:t>
      </w:r>
    </w:p>
    <w:p>
      <w:pPr>
        <w:spacing w:after="0" w:line="189"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5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 xml:space="preserve">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 consider these to be our critical accounting policies. Accordingly, we evaluate our estimates and assumptions on an ongoing basis. Our actual results may differ from these estimates and assumptions. See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to the Notes to Financial Statements and the Notes to Unaudited Condensed Financial Statements, each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 for information about these critical accounting policies, including material changes therein during the six months ended June 29, 2019, as well as a description of our other accounting policies.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While our revenue recognition does not involve significant judgment, it represents an important accounting policy. Our revenues are generated through sales of our products to distributors or customers. 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1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The offsetting charge is recorded as a reduction of revenues in the same period when the expense is incurred.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72" w:right="27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i w:val="1"/>
          <w:iCs w:val="1"/>
          <w:color w:val="auto"/>
        </w:rPr>
        <w:t>Share-Based Compensation</w:t>
      </w:r>
    </w:p>
    <w:p>
      <w:pPr>
        <w:spacing w:after="0" w:line="189" w:lineRule="exact"/>
        <w:rPr>
          <w:sz w:val="20"/>
          <w:szCs w:val="20"/>
          <w:color w:val="auto"/>
        </w:rPr>
      </w:pPr>
    </w:p>
    <w:p>
      <w:pPr>
        <w:ind w:firstLine="324"/>
        <w:spacing w:after="0" w:line="278" w:lineRule="auto"/>
        <w:rPr>
          <w:sz w:val="20"/>
          <w:szCs w:val="20"/>
          <w:color w:val="auto"/>
        </w:rPr>
      </w:pPr>
      <w:r>
        <w:rPr>
          <w:rFonts w:ascii="Arial" w:cs="Arial" w:eastAsia="Arial" w:hAnsi="Arial"/>
          <w:sz w:val="17"/>
          <w:szCs w:val="17"/>
          <w:color w:val="auto"/>
        </w:rPr>
        <w:t>The 2018 Plan provides for the grant of incentive stock options, within the meaning of Section 422 of the Code, to our employees and the employees of our subsidiaries, and for the grant of nonstatutory stock options, stock appreciation rights, restricted stock, restricted stock units, performance units, and performance shares to our employees, directors, and consultants and the employees and consultants of any subsidiary.</w:t>
      </w:r>
    </w:p>
    <w:p>
      <w:pPr>
        <w:spacing w:after="0" w:line="109"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administrator may grant incentive and/or non-statutory stock options under our 2018 Plan, provided that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may only be granted to employees. The exercise price of such options must generally be equal to at least the fair market value of our common stock on the date of grant. The term of an option may not exceed 10 years, subject to certain exceptions.</w:t>
      </w:r>
    </w:p>
    <w:p>
      <w:pPr>
        <w:spacing w:after="0" w:line="11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our 2018 Plan. Stock appreciation rights allow the recipient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appreciation in the fair market value of our common stock between the date of grant and the exercise date.</w:t>
      </w:r>
    </w:p>
    <w:p>
      <w:pPr>
        <w:spacing w:after="0" w:line="99" w:lineRule="exact"/>
        <w:rPr>
          <w:sz w:val="20"/>
          <w:szCs w:val="20"/>
          <w:color w:val="auto"/>
        </w:rPr>
      </w:pPr>
    </w:p>
    <w:p>
      <w:pPr>
        <w:ind w:right="60" w:firstLine="324"/>
        <w:spacing w:after="0" w:line="269"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Restricted stock may be granted under our 2018 Plan. Restricted stock awards are grants of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are subject to various restrictions, including restrictions on transferability and forfeiture provisions. Shares of restricted stock will vest and the restrictions on such shares will lapse, in accordance with terms and conditions established by the administrator.</w:t>
      </w:r>
    </w:p>
    <w:p>
      <w:pPr>
        <w:spacing w:after="0" w:line="11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Restricted stock units may be granted under our 2018 Plan, and may include the right to dividend equivalents,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discretion of the administrator. Each restricted stock unit granted is a bookkeeping entry representing an amount equal to the fair market value of one share of our common stock. Vesting criteria may include achievement of specified performance criteria and/or continued service, and the form and timing of payment.</w:t>
      </w:r>
    </w:p>
    <w:p>
      <w:pPr>
        <w:spacing w:after="0" w:line="123" w:lineRule="exact"/>
        <w:rPr>
          <w:sz w:val="20"/>
          <w:szCs w:val="20"/>
          <w:color w:val="auto"/>
        </w:rPr>
      </w:pPr>
    </w:p>
    <w:p>
      <w:pPr>
        <w:jc w:val="both"/>
        <w:ind w:right="40" w:firstLine="324"/>
        <w:spacing w:after="0" w:line="269" w:lineRule="auto"/>
        <w:rPr>
          <w:sz w:val="20"/>
          <w:szCs w:val="20"/>
          <w:color w:val="auto"/>
        </w:rPr>
      </w:pPr>
      <w:r>
        <w:rPr>
          <w:rFonts w:ascii="Arial" w:cs="Arial" w:eastAsia="Arial" w:hAnsi="Arial"/>
          <w:sz w:val="18"/>
          <w:szCs w:val="18"/>
          <w:b w:val="1"/>
          <w:bCs w:val="1"/>
          <w:color w:val="auto"/>
        </w:rPr>
        <w:t>Performance units/performance shares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and performance shares may be granted under our 2018 Plan.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performance shares are awards that will result in a payment to a participant if performance goals established by the administrator are achieved and any other applicable vesting provisions are satisfied.</w:t>
      </w:r>
    </w:p>
    <w:p>
      <w:pPr>
        <w:spacing w:after="0" w:line="13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account for all shared-based compensation awards using a fair-value method. Options are recorded at their estimated fair value using the Black-Scholes option pricing model. We recognize the fair value of each award as an expense on a straight-line basis over the requisite service period, generally the vesting period of the equity grant.</w:t>
      </w:r>
    </w:p>
    <w:p>
      <w:pPr>
        <w:spacing w:after="0" w:line="148"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Determining the fair value of share-based awards at the grant date requires significant judgment. The determination of the grant date fair value of stock options using the Black-Scholes option-pricing model is affected by our estimated common stock fair value as well as other highly subjective assumptions including, the expected term of the awards, our expected volatility over the expected term of the awards, expected dividend yield, risk-free interest rates. The assumptions used in our option-pricing model represent management’s best estimates. These assumptions and estimates are as follows:</w:t>
      </w:r>
    </w:p>
    <w:p>
      <w:pPr>
        <w:spacing w:after="0" w:line="152" w:lineRule="exact"/>
        <w:rPr>
          <w:sz w:val="20"/>
          <w:szCs w:val="20"/>
          <w:color w:val="auto"/>
        </w:rPr>
      </w:pPr>
    </w:p>
    <w:p>
      <w:pPr>
        <w:ind w:left="660" w:right="34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Fair Value of Common Stock. We estimate the fair value of stock options using the Black-Scholes option pricing model. We use the value of our common stock to determine the fair value of restricted shares.</w:t>
      </w:r>
    </w:p>
    <w:p>
      <w:pPr>
        <w:spacing w:after="0" w:line="142"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Term. The expected term of employee stock options is determined based on management’s expectations as to the expected term of options granted, which were expected to remain outstanding. The expected term of options granted to nonemployees is equal to the remaining contractual life of the options.</w:t>
      </w:r>
    </w:p>
    <w:p>
      <w:pPr>
        <w:spacing w:after="0" w:line="14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Volatility. We have based our estimate of expected volatility on the historical volatility of a group of similar companies that are publicly traded.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72" w:right="259" w:bottom="1440" w:gutter="0" w:footer="0" w:header="0"/>
        </w:sectPr>
      </w:pPr>
    </w:p>
    <w:bookmarkStart w:id="80" w:name="page81"/>
    <w:bookmarkEnd w:id="80"/>
    <w:p>
      <w:pPr>
        <w:ind w:left="66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Dividend Yield. We have never declared or paid any cash dividends and do not presently intend to pay cash dividends in the foreseeable future. As a result, we used an expected dividend yield of zero.</w:t>
      </w:r>
    </w:p>
    <w:p>
      <w:pPr>
        <w:spacing w:after="0" w:line="142" w:lineRule="exact"/>
        <w:rPr>
          <w:rFonts w:ascii="Arial" w:cs="Arial" w:eastAsia="Arial" w:hAnsi="Arial"/>
          <w:sz w:val="18"/>
          <w:szCs w:val="18"/>
          <w:color w:val="auto"/>
        </w:rPr>
      </w:pPr>
    </w:p>
    <w:p>
      <w:pPr>
        <w:ind w:left="660" w:right="20" w:hanging="328"/>
        <w:spacing w:after="0" w:line="27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Risk-Free Interest Rates. We determined the average risk-free interest rate using the yield on actively traded U.S. Treasury notes with the same maturity as the expected term of the underlying options. If any assumptions used in the Black-Scholes option-pricing model change significantly, share-based compensation for future awards may differ materially compared with the awards granted previously.</w:t>
      </w:r>
    </w:p>
    <w:p>
      <w:pPr>
        <w:spacing w:after="0" w:line="131"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93"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A discussion of recent accounting pronouncements is included in Note 2 to our unaudited condensed financial statements included elsewhere in this prospectus.</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20"/>
          </w:cols>
          <w:pgMar w:left="240" w:top="382"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by eating our plant-based meats, consumers can enjoy more, not less, of their favorite meals, and by doing so, help to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The primary components of animal-based meat—amino acids, lipids, trace minerals, and water—are not exclusive to animals and are plentiful in plants. We create our plant-based products using proprietary scientific processes that determine the architecture of the animal-based meat we are seeking to replicate and then we assemble it using plant-derived amino acids, lipids, trace minerals and water. We are focused on continually improving our products so that they are, to the human sensory system, indistinguishable from their animal-based counterparts.</w:t>
      </w:r>
    </w:p>
    <w:p>
      <w:pPr>
        <w:spacing w:after="0" w:line="15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flagship product is the Beyond Burger, the world’s first 100% plant-based burger merchandised in the meat case of grocery stores. The Beyond Burger is designed to look, cook and taste like traditional ground beef. We also sell a range of other plant-based meat products, including Beyond Sausage and Beyond Breakfast Sausage. All of our products are antibiotic-free, hormone-free, GMO-free and gluten-free. Our products are currently available in approximately 53,000 points of distribution primarily in the United States and Canada as well as several other countries, across mainstream grocery, mass merchandiser and natural retailer channels, and various food-away-from-home channels, including restaurants, foodservice outlets and schools. We enjoy a strong base of well-known retail and foodservice customers that continues to grow.</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5"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continue to experience strong sales growth over prior periods. Net revenues increased from $16.2 million in 2016 to $32.6 million in 2017 and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six months ended June 29, 2019, our net revenues were $107.5 million compared to $30.1 million for the six months ended June 30, 2018. We have generated losses since inception. Net loss in 2016, 2017 and 2018 was $25.1 million, $30.4 million and $29.9 million,respectively, and $13.1 million for the six months ended June 30, 2018 compared to $16.1 million for the six months ended June 29, 2019, as we invested in innovation and growth of our business. Going forward, we intend to continue to invest in innovation, supply chain capabilities, manufacturing and marketing initiatives, as we believe the demand for our products will continue to accelerate across both retail and foodservice channels as well as internationally.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6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The Beyond Meat Strategic Difference</w:t>
      </w:r>
    </w:p>
    <w:p>
      <w:pPr>
        <w:spacing w:after="0" w:line="27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Product</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smell and texture as the animal-based meats we seek to replicate. In our Manhattan Beach Project Innovation Center, our scientists and engineers continuously improve our products to replicate the sensory experience of animal-based meat. Through our investment in innovation, we have grown our portfolio to include new products across our platforms including Beyond Beef and Beyond Breakfast Sausage, as well as a new version of the flagship Beyond Burger, designed to have a meatier taste and texture. Each product is designed to not only closely replicate the taste and sensory experience of its animal protein equivalent, but to also provide the nutritional and environmental benefits of plant-based meat.</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start by analyzing the composition and design of relevant animal-based meats at the molecular and structural level. The primary components, other than water, comprising animal-based meats are amino acids, lipids, minerals and vitamins, which are not exclusive to animals and are present in abundance in plants. The amino acids that form the proteins which represent the muscle of animal-based meat can be sourced from plants. We use proteins primarily extracted from yellow peas, as well as legumes and other plant stock, through a natural process to separate protein and fiber. We then apply heating, cooling and pressure at rapid and varied intervals to weave the protein into a fibrous structure to create woven protein. Once we have the woven protein, we then add the remaining ingredients, such as water, lipids, flavor, color, trace minerals, and vitamins.</w:t>
      </w:r>
    </w:p>
    <w:p>
      <w:pPr>
        <w:spacing w:after="0" w:line="153"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We operate approximately 100,000 square feet of production space in two facilities in Columbia, Missouri where we produce our woven protein. This woven protein is then converted according to our formulas and specifications into a packaged product, either in our facilities in Columbia, Missouri or by our network of co-manufacturers. This capital efficient production model allows us to scale more quickly and cost-effectively to service the rapidly increasing demand for our products. We plan to continue expanding our own internal production facilities domestically and abroad to produce our woven protein while forming additional strategic relationships with co-manufacturers.</w:t>
      </w:r>
    </w:p>
    <w:p>
      <w:pPr>
        <w:spacing w:after="0" w:line="23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Market</w:t>
      </w:r>
    </w:p>
    <w:p>
      <w:pPr>
        <w:spacing w:after="0" w:line="193" w:lineRule="exact"/>
        <w:rPr>
          <w:sz w:val="20"/>
          <w:szCs w:val="20"/>
          <w:color w:val="auto"/>
        </w:rPr>
      </w:pPr>
    </w:p>
    <w:p>
      <w:pPr>
        <w:ind w:right="80" w:firstLine="324"/>
        <w:spacing w:after="0" w:line="216" w:lineRule="exact"/>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enthusiastic pull from mainstream consumers for delicious and satisfying, yet better-for-you plant-based meats. This approach is summed up in our brand promise—“Eat What You Love.” At one of the nation’s largest conventional grocers, Kroger, 93% of Beyond Burger buyers over the 26</w:t>
      </w:r>
      <w:r>
        <w:rPr>
          <w:rFonts w:ascii="MS PGothic" w:cs="MS PGothic" w:eastAsia="MS PGothic" w:hAnsi="MS PGothic"/>
          <w:sz w:val="18"/>
          <w:szCs w:val="18"/>
          <w:color w:val="auto"/>
        </w:rPr>
        <w:t>‑</w:t>
      </w:r>
      <w:r>
        <w:rPr>
          <w:rFonts w:ascii="Arial" w:cs="Arial" w:eastAsia="Arial" w:hAnsi="Arial"/>
          <w:sz w:val="18"/>
          <w:szCs w:val="18"/>
          <w:color w:val="auto"/>
        </w:rPr>
        <w:t>week period ended June 30, 2018 also purchased animal protein during the same period, which evidences Beyond Meat’s appeal to meat-loving consumers.</w:t>
      </w:r>
    </w:p>
    <w:p>
      <w:pPr>
        <w:spacing w:after="0" w:line="1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It is not, and has never been, our goal to become the best-selling veggie burger company or to market our products in a manner similar to traditional veggie burgers and soy-based meat. These products have had limited appeal to traditional meat eaters, who commonly criticize their inferior taste. Consumer research shows that, when choosing among plant-based meat options, taste is the single most important product attribute for plant-based foods. Legacy vegetarian brands have typically aimed to compensate for poor taste appeal by positioning their products as a noble sacrifice-something consumers </w:t>
      </w:r>
      <w:r>
        <w:rPr>
          <w:rFonts w:ascii="Arial" w:cs="Arial" w:eastAsia="Arial" w:hAnsi="Arial"/>
          <w:sz w:val="18"/>
          <w:szCs w:val="18"/>
          <w:i w:val="1"/>
          <w:iCs w:val="1"/>
          <w:color w:val="auto"/>
        </w:rPr>
        <w:t>should</w:t>
      </w:r>
      <w:r>
        <w:rPr>
          <w:rFonts w:ascii="Arial" w:cs="Arial" w:eastAsia="Arial" w:hAnsi="Arial"/>
          <w:sz w:val="18"/>
          <w:szCs w:val="18"/>
          <w:color w:val="auto"/>
        </w:rPr>
        <w:t xml:space="preserve"> do for the benefit of their health, the environment, and/or animal welfare.</w:t>
      </w:r>
    </w:p>
    <w:p>
      <w:pPr>
        <w:spacing w:after="0" w:line="152"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When we launched our flagship Beyond Burger in 2016, we approached the marketplace in an unprecedented way. Instead of marketing and merchandising the Beyond Burger to vegans and vegetarians (who represent less than 5% of the U.S. population), we requested that the product be sold in the meat case at grocery retailers where meat-loving consumers are accustomed to shopping for center-of-plate proteins.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68" w:right="279" w:bottom="1440" w:gutter="0" w:footer="0" w:header="0"/>
        </w:sectPr>
      </w:pPr>
    </w:p>
    <w:bookmarkStart w:id="83" w:name="page84"/>
    <w:bookmarkEnd w:id="83"/>
    <w:p>
      <w:pPr>
        <w:ind w:right="140" w:firstLine="324"/>
        <w:spacing w:after="0" w:line="253" w:lineRule="auto"/>
        <w:rPr>
          <w:sz w:val="20"/>
          <w:szCs w:val="20"/>
          <w:color w:val="auto"/>
        </w:rPr>
      </w:pPr>
      <w:r>
        <w:rPr>
          <w:rFonts w:ascii="Arial" w:cs="Arial" w:eastAsia="Arial" w:hAnsi="Arial"/>
          <w:sz w:val="18"/>
          <w:szCs w:val="18"/>
          <w:color w:val="auto"/>
        </w:rPr>
        <w:t>The first grocery unit to sell the Beyond Burger in its meat section was the Rocky Mountain Division of Whole Foods Market. In May 2016, they placed the Beyond Burger alongside its animal-based equivalents, and soon other Whole Foods Market regions followed. In April 2017, Safeway of Northern California started merchandising the Beyond Burger in its meat section, and within a few weeks several Kroger divisions announced they would do the same. The Beyond Burger is now carried by all of our approximately 20,000 grocery store customers across the United States and approximately 1,000 grocery store customers in Canada.</w:t>
      </w:r>
    </w:p>
    <w:p>
      <w:pPr>
        <w:spacing w:after="0" w:line="1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the Southern California division of Ralph’s, a subsidiary of one of the nation’s largest conventional grocers, Kroger, the Beyond Burger was the #1 selling packaged burger patty by unit in the meat case for the 12-week period ending August 4, 2018. We believe merchandising in the meat case in the retail channel has helped drive greater brand awareness with our end consumers.</w:t>
      </w:r>
    </w:p>
    <w:p>
      <w:pPr>
        <w:spacing w:after="0" w:line="148"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Reflecting the strength and value of the Beyond Meat brand to its partners, many of our restaurant, hotel and other foodservice customers choose to prominently feature our brand name on their menu and within item descriptions, in addition to displaying Beyond Meat branded signage throughout the venue. Our foodservice business not only functions as a form of paid trial for our products, helping to drive additional retail demand, but also creates even greater brand awareness for Beyond Meat through the on-menu and in-store publicity we receive. We believe that we have established our brand as one with “halo” benefits to our partners as evidenced by the speed of adoption by key partners. For example, Beyond Meat was one of the fastest product launches in Del Taco’s history, with the brand selling more than 2 million Beyond Tacos in the first two months of the partnership. It was also the fastest new-product launch in the history of A&amp;W Canada and TGI Fridays. Our products are now carried by approximately 25,000 restaurant and foodservice outlets across the United States and Canada. Our distribution across retail and foodservice outlets continues to grow on a monthly basis.</w:t>
      </w:r>
    </w:p>
    <w:p>
      <w:pPr>
        <w:spacing w:after="0" w:line="15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recent expansion in Canada in both retail and with key foodservice customers, such as Tim Hortons, illustrates the growing international demand for our products. We launched in Europe in August 2018 through contracts with three major distributors and have also received strong expressions of interest from some of Europe’s largest grocery and restaurant chains. In the second quarter of 2019, we expanded our international retail presence with distribution at several retail chains throughout Europe, including Albert Heijn, Delhaize, Metro and Rema 1000. In May 2019, we expanded our partnership with a distributor to produce our innovative plant-based meats at a new co-manufacturing facility being constructed by this distributor in the Netherlands. Upon completion of the facility, which is expected in the first quarter of 2020, the manufacturing partnership will mark our first co-manufacturing capability outside the United States.Additionally, for several years we have maintained a presence and generated brand awareness in Asia through our local distributor, and expect further expansion in the region over time.</w:t>
      </w:r>
    </w:p>
    <w:p>
      <w:pPr>
        <w:spacing w:after="0" w:line="24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Our Brand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that is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Our approach of bringing to market the best innovations each year is a strategy that engages the consumer and provides feedback from which we iterate and improve. This approach is one of the reasons we worked for and obtained Non-GMO Project certification for all of our current products.</w:t>
      </w:r>
    </w:p>
    <w:p>
      <w:pPr>
        <w:spacing w:after="0" w:line="15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brand awareness has been driven by strong social marketing. Consumers and the media are enthusiastic about the concept of an authentically meaty tasting plant-based burger and drove more than 9.9 billion earned media impressions in 2018 and 21 billion earned media impressions from January to July 2019. The viral nature of our marketing and brand-building has been enhanced by both the network of brand ambassadors we have developed throughout the United States and abroad, and our strong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82" w:right="239" w:bottom="1440" w:gutter="0" w:footer="0" w:header="0"/>
        </w:sectPr>
      </w:pPr>
    </w:p>
    <w:bookmarkStart w:id="84" w:name="page85"/>
    <w:bookmarkEnd w:id="84"/>
    <w:p>
      <w:pPr>
        <w:ind w:right="180"/>
        <w:spacing w:after="0" w:line="262" w:lineRule="auto"/>
        <w:rPr>
          <w:sz w:val="20"/>
          <w:szCs w:val="20"/>
          <w:color w:val="auto"/>
        </w:rPr>
      </w:pPr>
      <w:r>
        <w:rPr>
          <w:rFonts w:ascii="Arial" w:cs="Arial" w:eastAsia="Arial" w:hAnsi="Arial"/>
          <w:sz w:val="18"/>
          <w:szCs w:val="18"/>
          <w:color w:val="auto"/>
        </w:rPr>
        <w:t>following by celebrities from the worlds of sports and entertainment who help promote the benefits of a plant-based diet and the Beyond Meat brand.</w:t>
      </w:r>
    </w:p>
    <w:p>
      <w:pPr>
        <w:spacing w:after="0" w:line="14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 xml:space="preserve">We launched The Future of Protein marketing campaign in the summer of 2015, which seeks to mobilize our ambassadors to help raise brand awareness and make our products aspirational. Our joint announcement with Leonardo DiCaprio about his becoming a Beyond Meat brand ambassador in October 2017 has generated over 378 million earned media impressions, including a viral video released by </w:t>
      </w:r>
      <w:r>
        <w:rPr>
          <w:rFonts w:ascii="Arial" w:cs="Arial" w:eastAsia="Arial" w:hAnsi="Arial"/>
          <w:sz w:val="18"/>
          <w:szCs w:val="18"/>
          <w:i w:val="1"/>
          <w:iCs w:val="1"/>
          <w:color w:val="auto"/>
        </w:rPr>
        <w:t>Now This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that drew more than 8.5 million views. When we shared the announcement on Beyond Meat’s Instagram, it quickly became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most liked posts.</w:t>
      </w:r>
    </w:p>
    <w:p>
      <w:pPr>
        <w:spacing w:after="0" w:line="15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“Earned media impressions” refers to the amount of exposure that a piece of content in a television show, newspaper, website, blog or other form of media receives based on the readership or viewership for that particular media. Impressions are only calculated for stories that mention our brand or products specifically by name. For example, if as of January 2018, 3 million people subscribed to a particular newspaper and an article ran in January 2018 in that newspaper mentioning or featuring Beyond Meat or any of our products such as the Beyond Burger or Beyond Sausage which is not as a result of any payment by us, then the earned media impressions for that article would be 3 million.</w:t>
      </w:r>
    </w:p>
    <w:p>
      <w:pPr>
        <w:spacing w:after="0" w:line="1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Earned media impressions reflect interest in our products, our products’ or brand’s relevance to the media, the audiences they service and the overall positioning of our products in the marketplace. We believe that continued growth in this number year-over-year reflects increasing organic media interest in us and thus consumer exposure to our brand and products. While we use earned media impressions to evaluate growth in brand awareness of our products, we do not use them as a metric in evaluating our business or results of operations.</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Earned media impressions contain limitations in that they are calculated based on readership or viewership numbers of the particular media in which the impression appears and not on the number of readers or viewers who actually see the impression. Therefore, earned media impression numbers assume each person in the entire readership or viewership has been exposed to the impression. In addition, earned media impressions do not take into account whether there is any overlap in the readership or viewership of various media. Therefore, investors should not place undue reliance or emphasis on earned media impressions given these limitations and the fact that they do not bear any direct relationship to the company’s operations or financial results.</w:t>
      </w:r>
    </w:p>
    <w:p>
      <w:pPr>
        <w:spacing w:after="0" w:line="137"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Food Insider</w:t>
      </w:r>
      <w:r>
        <w:rPr>
          <w:rFonts w:ascii="Arial" w:cs="Arial" w:eastAsia="Arial" w:hAnsi="Arial"/>
          <w:sz w:val="18"/>
          <w:szCs w:val="18"/>
          <w:color w:val="auto"/>
        </w:rPr>
        <w:t xml:space="preserve"> video covering Beyond Meat’s unveiling of its new Manhattan Beach Project Innovation Center, went viral on Facebook, being shared more than 170,000 times and generating approximately 23 million views in three weeks.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founded Beyond Meat in 2009 with a vision of building meat products directly from plants. This vision was in response to growing global challenges in the areas of health, climate change, natural resource use and conservation, and animal welfare, which we now call our four horsemen of change. Our founder and CEO, Ethan Brown, began his professional career in the clean energy sector. For over a decade, Ethan saw first-hand the sizable investments in solar, lithium ion batteries, fuel cells, wind and other alternative forms of energy in an effort to reduce greenhouse gas emissions. Ethan realized we were ignoring a large piece of the global solution to climate stabilization: the large and growing contribution of the livestock industry to greenhouse gas emissions, estimated to be from 18-51% of total emissions, depending on the methodology used. He began to think about applying the same framework to solving livestock emissions, specifically using technology, science, and significant capital investment to address a global challenge and opportunity: bypassing the animal and building meat directly from plants.</w:t>
      </w:r>
    </w:p>
    <w:p>
      <w:pPr>
        <w:spacing w:after="0" w:line="1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Growing up in Washington, D.C. and College Park, Maryland, Ethan spent considerable time on his family’s farms, most notably Savage River Farms, a Holstein dairy operation in Western Maryland. As an adolescent and young adult, Ethan began to ask a recurring question: what is the determining biological difference between the animals we keep as pets and those relegated to the dinner plate? Later, raising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82" w:right="239" w:bottom="1440" w:gutter="0" w:footer="0" w:header="0"/>
        </w:sectPr>
      </w:pPr>
    </w:p>
    <w:bookmarkStart w:id="85" w:name="page86"/>
    <w:bookmarkEnd w:id="85"/>
    <w:p>
      <w:pPr>
        <w:ind w:right="240"/>
        <w:spacing w:after="0" w:line="256" w:lineRule="auto"/>
        <w:rPr>
          <w:sz w:val="20"/>
          <w:szCs w:val="20"/>
          <w:color w:val="auto"/>
        </w:rPr>
      </w:pPr>
      <w:r>
        <w:rPr>
          <w:rFonts w:ascii="Arial" w:cs="Arial" w:eastAsia="Arial" w:hAnsi="Arial"/>
          <w:sz w:val="18"/>
          <w:szCs w:val="18"/>
          <w:color w:val="auto"/>
        </w:rPr>
        <w:t>his own children and seeking to satisfy their protein requirements as they grew, this question returned, along with growing concerns around human health, climate change, and the natural resource implications of intensive animal protein production and consumption. In 2009, Ethan responded by founding Beyond Meat to understand the fundamental composition of meat and build it directly from plants.</w:t>
      </w:r>
    </w:p>
    <w:p>
      <w:pPr>
        <w:spacing w:after="0" w:line="14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2009, we opened our first operation in a small commercial kitchen in Maryland and we began selling an early plant-based product to Whole Foods Markets Prepared Foods in the Mid-Atlantic region. In 2010, also in Maryland, we opened our own modest manufacturing facility. During this period, Ethan began working extensively with two researchers at the University of Missouri’s Bioengineering and Food Science Department at the College of Agriculture and Natural Resources, along with faculty and students at the University of Maryland’s Nutrition &amp; Food Science Department. Ethan ultimately licensed a process developed by the researchers that combined proteins from plants into a basic structure resembling animal muscle, or meat, and used this as an initial foundation for Beyond Meat products. With this basic protein platform and an understanding that the balance of parts of meat, namely lipids, trace minerals, and water, were also present in abundance outside the animal, it became clear that with appropriate resources, building meat from plants was indeed possible.</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Over the years, Beyond Meat has continued to invest heavily in research, development and innovation as recently demonstrated by our state of the art Manhattan Beach Project Innovation Center in El Segundo, California. Our work is a team effort, defined by passionate and capable management, scientists, technicians and engineers who share a common goal to achieve enormous lasting benefits to our society and the planet.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7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Our Market Opportunity</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 Our core target market is the United States, which has the highest level of animal-based meat consumption per person on a global basis, according to the OECD.</w:t>
      </w:r>
    </w:p>
    <w:p>
      <w:pPr>
        <w:spacing w:after="0" w:line="152"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believe that consumer awareness of the perceived negative health, environmental and animal-welfare impacts of animal-based meat consumption has resulted in a surge in demand for viable plant-based protein alternatives. Despite this growing demand, the plant-based meats category currently represents approximately two percent of the U.S. meat industry, highlighting the lack of satisfying plant-based meat options and scaled winners in the category. According to Nielsen data commissioned by the Plant Based Foods Association, sales of plant-based meat in the retail channel generated just over $670 million of retail sales over the 52-week period ending June 16, 2018.</w:t>
      </w:r>
    </w:p>
    <w:p>
      <w:pPr>
        <w:spacing w:after="0" w:line="15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growing at a substantially faster rate than the existing animal-based meat and plant-based meat industries and expect our growth to accelerate. We believe our outsized revenue growth will allow us to capture an increased share of the broader U.S. meat category, supported by a number of key drivers, including the authentic comparability and sensory experience of our products to their animal-based meat equivalents, continued mainstream acceptance of our products with the traditional animal-based meat consumer, heightened consumer awareness of the role that food and nutrition, particularly plant-based foods, play in long-term health and wellness, and growing concerns related to the negative environmental and animal-welfare impacts of animal-based meat consumption.</w:t>
      </w:r>
    </w:p>
    <w:p>
      <w:pPr>
        <w:spacing w:after="0" w:line="1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key analogy for both the approach to and the scale of our opportunity is the strategy by which the plant-based dairy industry captured significant market share of the dairy industry over the past two decades. According to research firm Mintel, the current size of the non-dairy milk category is equivalent to approximately 13% of the size of the dairy milk category in the United States. According to the Mintel Report, the non-dairy milk category in the United States was estimated to be approximately $2 billion as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82" w:right="239" w:bottom="1440" w:gutter="0" w:footer="0" w:header="0"/>
        </w:sectPr>
      </w:pPr>
    </w:p>
    <w:bookmarkStart w:id="86" w:name="page87"/>
    <w:bookmarkEnd w:id="86"/>
    <w:p>
      <w:pPr>
        <w:spacing w:after="0" w:line="252" w:lineRule="auto"/>
        <w:rPr>
          <w:sz w:val="20"/>
          <w:szCs w:val="20"/>
          <w:color w:val="auto"/>
        </w:rPr>
      </w:pPr>
      <w:r>
        <w:rPr>
          <w:rFonts w:ascii="Arial" w:cs="Arial" w:eastAsia="Arial" w:hAnsi="Arial"/>
          <w:sz w:val="18"/>
          <w:szCs w:val="18"/>
          <w:color w:val="auto"/>
        </w:rPr>
        <w:t>of 2017, which grew at a compound annual growth rate of 10% from 2012 to 2017. The success of the plant-based dairy industry was based on a strategy of creating plant-based dairy products that tasted better than previous non-dairy substitutes, packaged and merchandised adjacent to their dairy equivalents. We believe that by applying the same strategy to the plant-based meat category, it can grow to be at least the same proportion of the $270 billion meat category in the United States, which over time would represent a category size of $35 billion in the United States alone. We also believe that the introduction of our plant-based products is serving as a similar catalyst in the meat industry. As a market leader in the plant-based meats category, we believe we are well-positioned to capture and drive a significant amount of this category growth.</w:t>
      </w:r>
    </w:p>
    <w:p>
      <w:pPr>
        <w:spacing w:after="0" w:line="15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believe there is significant demand for our products across the globe in retail and restaurant and foodservice channels. In markets excluding the United States, the amount of meat consumed has more than doubled in the past two decades from 120 million tons in 1997 to 280 million tons in 2017, according to the OECD. Our initial target markets include Australia, Europe, Hong Kong, Israel, South Korea, South Africa and parts of the Middle East, where we have received strong inbound interest for our plant-based products.</w:t>
      </w:r>
    </w:p>
    <w:p>
      <w:pPr>
        <w:spacing w:after="0" w:line="23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Health and Environmental Impact of Animal-Based Meat Consumption</w:t>
      </w:r>
    </w:p>
    <w:p>
      <w:pPr>
        <w:spacing w:after="0" w:line="193"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Consumer interest in plant-based proteins, particularly among millennial and younger generations, has been driven in part by growing awareness of the health and environmental impact of animal-based meat consumption. Now that consumers have access to unprecedented levels of information provided via the Internet and social media channels, we expect global awareness of these issues to grow and have a positive impact on consumer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95885</wp:posOffset>
            </wp:positionV>
            <wp:extent cx="4699635" cy="1766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996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right="100" w:hanging="324"/>
        <w:spacing w:after="0" w:line="25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Health</w:t>
      </w:r>
      <w:r>
        <w:rPr>
          <w:rFonts w:ascii="Arial" w:cs="Arial" w:eastAsia="Arial" w:hAnsi="Arial"/>
          <w:sz w:val="18"/>
          <w:szCs w:val="18"/>
          <w:color w:val="auto"/>
        </w:rPr>
        <w:t>: The negative impact on health caused by certain meats has been well publicized in recent years. In 2004, the WHO</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highlighted a paper indicating that dietary factors, including consumption of certain meats, accounted for at least 30% of most cancers in developed countries and up to 20% in developing countries. The WHO has since added processed meats such as hot dogs, ham, bacon and sausage to its Group 1 category of carcinogens. A similar conclusion was presented at the American Heart Association, where researchers conducting a 2017 dietary study of over 15,000 adults between 2003 to 2013 highlighted that people who eat mostly a plant-based diet were associated with a 42% reduced risk of developing heart failure among people without diagnosed heart disease or heart failure. Additionally, animals and livestock are also susceptible to various diseases such as Mad Cow (beef), Swine Flu (pork) and Avian Influenza (poultry) that may cause further health risks from consuming potentially infected animal meats.</w:t>
      </w:r>
    </w:p>
    <w:p>
      <w:pPr>
        <w:spacing w:after="0" w:line="135" w:lineRule="exact"/>
        <w:rPr>
          <w:rFonts w:ascii="Arial" w:cs="Arial" w:eastAsia="Arial" w:hAnsi="Arial"/>
          <w:sz w:val="18"/>
          <w:szCs w:val="18"/>
          <w:color w:val="auto"/>
        </w:rPr>
      </w:pPr>
    </w:p>
    <w:p>
      <w:pPr>
        <w:ind w:left="980" w:right="440" w:hanging="324"/>
        <w:spacing w:after="0" w:line="266"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Climate change</w:t>
      </w:r>
      <w:r>
        <w:rPr>
          <w:rFonts w:ascii="Arial" w:cs="Arial" w:eastAsia="Arial" w:hAnsi="Arial"/>
          <w:sz w:val="18"/>
          <w:szCs w:val="18"/>
          <w:color w:val="auto"/>
        </w:rPr>
        <w:t>: The global livestock industry is estimated to be responsible for a significant portion of global greenhouse gas</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such as methane and nitrous oxide. Estimates range from 18 to 51%. The landmark IPCC Report highlighted that climate change is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82" w:right="259" w:bottom="1440" w:gutter="0" w:footer="0" w:header="0"/>
        </w:sectPr>
      </w:pPr>
    </w:p>
    <w:bookmarkStart w:id="87" w:name="page88"/>
    <w:bookmarkEnd w:id="87"/>
    <w:p>
      <w:pPr>
        <w:ind w:left="980" w:right="140"/>
        <w:spacing w:after="0" w:line="303" w:lineRule="auto"/>
        <w:rPr>
          <w:sz w:val="20"/>
          <w:szCs w:val="20"/>
          <w:color w:val="auto"/>
        </w:rPr>
      </w:pPr>
      <w:r>
        <w:rPr>
          <w:rFonts w:ascii="Arial" w:cs="Arial" w:eastAsia="Arial" w:hAnsi="Arial"/>
          <w:sz w:val="18"/>
          <w:szCs w:val="18"/>
          <w:color w:val="auto"/>
        </w:rPr>
        <w:t>expected to cause “severe, widespread, and irreversible impacts” on the natural environment unless carbon emissions are cut sharply and rapidly. The report highlighted that behavioral changes, including dietary changes such as eating less meat, can have a significant role in cutting emissions.</w:t>
      </w:r>
    </w:p>
    <w:p>
      <w:pPr>
        <w:spacing w:after="0" w:line="103" w:lineRule="exact"/>
        <w:rPr>
          <w:sz w:val="20"/>
          <w:szCs w:val="20"/>
          <w:color w:val="auto"/>
        </w:rPr>
      </w:pPr>
    </w:p>
    <w:p>
      <w:pPr>
        <w:ind w:left="980" w:hanging="324"/>
        <w:spacing w:after="0" w:line="253" w:lineRule="auto"/>
        <w:tabs>
          <w:tab w:leader="none" w:pos="98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Global resource usage</w:t>
      </w:r>
      <w:r>
        <w:rPr>
          <w:rFonts w:ascii="Arial" w:cs="Arial" w:eastAsia="Arial" w:hAnsi="Arial"/>
          <w:sz w:val="18"/>
          <w:szCs w:val="18"/>
          <w:color w:val="auto"/>
        </w:rPr>
        <w:t>: Rising global meat consumption and livestock production has been shown to have major negative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environment due to the burden placed on land and water resources. According to the FAO, livestock occupies 30% of the planet’s land surface and accounts for 78% of all agricultural land use. The WRI Water Report also indicates that 29% of the water in agriculture is directly or indirectly used for animal production. Meat consumption is also burdensome on the environment in terms of production inputs. According to the WRI Report, beef is highly inefficient to produce because only 1% of the feed consumed by cattle is converted to calories that people consumed from eating beef while pork converts approximately 10% and poultry converts approximately 11% of their feed to human-edible calories. During 2017 and 2018, Beyond Meat engaged the University of Michigan to conduct a peer-reviewed, third-party-led Life Cycle Assessment comparing the environmental impacts associated with producing a ¼-lb Beyond Burger versus a ¼-lb, standard 80/20 beef burger (which is a mixture of 80% lean cow muscle and 20% cow fat). The results of this study show that compared to a beef burger, the Beyond Burger generates 90% less greenhouse gas emissions, requires 46% less energy, has 99% less impact on water scarcity and 93% less impact on land use.</w:t>
      </w:r>
    </w:p>
    <w:p>
      <w:pPr>
        <w:spacing w:after="0" w:line="138" w:lineRule="exact"/>
        <w:rPr>
          <w:rFonts w:ascii="Arial" w:cs="Arial" w:eastAsia="Arial" w:hAnsi="Arial"/>
          <w:sz w:val="18"/>
          <w:szCs w:val="18"/>
          <w:i w:val="1"/>
          <w:iCs w:val="1"/>
          <w:color w:val="auto"/>
        </w:rPr>
      </w:pPr>
    </w:p>
    <w:p>
      <w:pPr>
        <w:ind w:left="980" w:right="120" w:hanging="324"/>
        <w:spacing w:after="0" w:line="261"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Animal welfare</w:t>
      </w:r>
      <w:r>
        <w:rPr>
          <w:rFonts w:ascii="Arial" w:cs="Arial" w:eastAsia="Arial" w:hAnsi="Arial"/>
          <w:sz w:val="18"/>
          <w:szCs w:val="18"/>
          <w:color w:val="auto"/>
        </w:rPr>
        <w:t>: Worldwide, it is estimated that about 60-70 billion farm animals are now produced for food each year; with two out</w:t>
      </w:r>
      <w:r>
        <w:rPr>
          <w:rFonts w:ascii="Arial" w:cs="Arial" w:eastAsia="Arial" w:hAnsi="Arial"/>
          <w:sz w:val="18"/>
          <w:szCs w:val="18"/>
          <w:i w:val="1"/>
          <w:iCs w:val="1"/>
          <w:color w:val="auto"/>
        </w:rPr>
        <w:t xml:space="preserve"> </w:t>
      </w:r>
      <w:r>
        <w:rPr>
          <w:rFonts w:ascii="Arial" w:cs="Arial" w:eastAsia="Arial" w:hAnsi="Arial"/>
          <w:sz w:val="18"/>
          <w:szCs w:val="18"/>
          <w:color w:val="auto"/>
        </w:rPr>
        <w:t>of every three being factory farmed. Over the past decade, animal welfare groups have publicized a range of investigations highlighting the issues related to safety, welfare and well-being of animals caused by mass livestock production, which we believe has led to substantial movement toward more plant-based alternatives.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believe that the following strengths position us to generate significant growth and pursue our objective to become a leader in the global meat category.</w:t>
      </w:r>
    </w:p>
    <w:p>
      <w:pPr>
        <w:spacing w:after="0" w:line="22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Dedicated Focus on Innovation</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invest significant resources in our innovation capabilities to develop plant-based meat alternatives to popular animal-based meat products. Our innovation team, comprised of approximately 71 scientists, engineers, researchers, technicians and chefs, as of June 29, 2019, has delivered several unique plant-based meat breakthroughs, as well as continuous improvements to existing products. Both our Beyond Burger and our Beyond Sausage products are the result of this approach. We are able to leverage what we learn about taste, texture and aroma across our platform and apply this knowledge to each of our product offerings. In addition, in July 2018, we opened our 30,000-square-foot Manhattan Beach Project Innovation Center in El Segundo, California, which is 10 times the size of our previous lab space. In our new innovation center, we have a strong pipeline of products in development, and can more rapidly transition our research from benchtop to scaled production. As our knowledge and expertise deepens, our pace of innovation is accelerating, allowing for reduced time between new product launches. After introducing a new version of the Beyond Burger in restaurants in the first half of 2019, we further advanced the product and launched this newer version, designed to have an even meatier taste and texture, at retailers across the U.S. in June 2019. In tandem with this launch, we unveiled Beyond Beef, a bulk plant-based ground meat, to select retailers nationwide, including Kroger, Whole Foods Market, Sprouts, Wegmans, Jewel-Osco and Harris Teeter. We expect this faster pace of product introductions and meaningful enhancements to existing products to continue as we innovate within our core plant-based platforms of beef, pork and poultry.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09" w:right="239" w:bottom="1440" w:gutter="0" w:footer="0" w:header="0"/>
        </w:sectPr>
      </w:pPr>
    </w:p>
    <w:bookmarkStart w:id="88" w:name="page89"/>
    <w:bookmarkEnd w:id="88"/>
    <w:p>
      <w:pPr>
        <w:ind w:left="660" w:hanging="328"/>
        <w:spacing w:after="0"/>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Brand Mission Aligned with Consumer Trends</w:t>
      </w:r>
    </w:p>
    <w:p>
      <w:pPr>
        <w:spacing w:after="0" w:line="193"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Our brand is uniquely positioned to capitalize on growing consumer interest in great-tasting, nutritious, convenient, higher protein and plant-based foods. We have also tapped into growing public awareness of major issues connected to animal protein, including human health, climate change, resource conservation and animal welfare. Simply put, our products aim to enable consumers to “Eat What You Love” without the downsides of conventional animal protein. Consumer research shows that health concerns are some of the key reasons consumers seek plant-based alternatives to meat. Our ¼</w:t>
      </w:r>
      <w:r>
        <w:rPr>
          <w:rFonts w:ascii="MS PGothic" w:cs="MS PGothic" w:eastAsia="MS PGothic" w:hAnsi="MS PGothic"/>
          <w:sz w:val="18"/>
          <w:szCs w:val="18"/>
          <w:color w:val="auto"/>
        </w:rPr>
        <w:t>‑</w:t>
      </w:r>
      <w:r>
        <w:rPr>
          <w:rFonts w:ascii="Arial" w:cs="Arial" w:eastAsia="Arial" w:hAnsi="Arial"/>
          <w:sz w:val="18"/>
          <w:szCs w:val="18"/>
          <w:color w:val="auto"/>
        </w:rPr>
        <w:t>lb Beyond Burger contains zero cholesterol and about 25% less saturated fat than a ¼-lb standard 80/20 beef burger.</w:t>
      </w:r>
    </w:p>
    <w:p>
      <w:pPr>
        <w:spacing w:after="0" w:line="16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built a powerful brand with broad demographic appeal and a passionate consumer base. Our brand awareness is driven by strong social marketing, with more than 1.5 million combined social media and newsletter followers as of July 2019, 9.9 billion earned media impressions in 2018 and 21 billion earned media impressions from January to July 2019. See “—The Beyond Meat Strategic Difference— Unique Approach to Our Brand” above for more information on “earned media impressions” and the limitations of this metric. Our audience continues to grow from the attention generated by our large following of celebrities, influencers and brand ambassadors who identify with our mission.</w:t>
      </w:r>
    </w:p>
    <w:p>
      <w:pPr>
        <w:spacing w:after="0" w:line="24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Product Portfolio Generates Significant Demand from Retail and Restaurant Customers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Rapidly growing sales of our products by both our retail and restaurant partners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 Recent shopper data research demonstrates Beyond Meat’s mainstream consumer appeal, revealing that 93% of Beyond Burger buyers at one of the nation’s largest conventional grocers, Kroger, also purchased meat over the 26-week period ended June 30, 2018, which indicates that our products appeal to a much wider audience than the niche audience of vegans and vegetarians that typically purchase legacy meat substitutes.</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restaurant customers are excited by the opportunity to differentiate their menu offering and attract new customers by partnering with Beyond Meat, and are seeking new ways to further promote our product. According to the NDP Group, 95% of people who ordered plant-based burgers at quick service restaurants made a beef burger purchase within a one-year period ending in April 2019. In the first half of 2019 both Carl’s Jr. and Del Taco ran a mass media advertising campaign inclusive of TV, radio, out of home and digital channels. We believe their choice to feature Beyond Meat demonstrates the marketing power of our brand and overall consumer excitement for our product. Additionally, popular restaurants have approached us directly to carry our branded product, despite already carrying our competitors’ products. This type of demand for our products has been a driving force in building strong ties with customers who have been continuously impressed by the impact our brand can make on their business.</w:t>
      </w:r>
    </w:p>
    <w:p>
      <w:pPr>
        <w:spacing w:after="0" w:line="23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and Passionate Executive Management Team</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are led by a proven and experienced executive management team. Prior to founding Beyond Meat, Ethan Brown, our President and Chief Executive Officer, spent over a decade in the clean energy industry working for hydrogen fuel cell leader, Ballard Power Systems, rising from an entry level manager to reporting directly to the Chief Executive Officer. Mr. Brown’s significant experience in clean tech, coupled with a natural appreciation for animal agriculture, led him to start a plant-based food company. Seth Goldman, our Executive Chair, has extensive experience working at fast-growing brands in the food and beverage industry, having founded Honest Tea Inc., which was later sold to The Coca-Cola Company. Our management team plays an integral role in Beyond Meat’s success by instilling a culture committed to innovation, customer satisfaction and growth. Over time, we have grown our executive management team with carefully selected individuals who possess substantial industry experience and share our core values. The other members of our executive management team, which include Mark J. Nelson, Chief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8" w:right="239" w:bottom="1440" w:gutter="0" w:footer="0" w:header="0"/>
        </w:sectPr>
      </w:pPr>
    </w:p>
    <w:bookmarkStart w:id="89" w:name="page90"/>
    <w:bookmarkEnd w:id="89"/>
    <w:p>
      <w:pPr>
        <w:ind w:right="100"/>
        <w:spacing w:after="0" w:line="253" w:lineRule="auto"/>
        <w:rPr>
          <w:sz w:val="20"/>
          <w:szCs w:val="20"/>
          <w:color w:val="auto"/>
        </w:rPr>
      </w:pPr>
      <w:r>
        <w:rPr>
          <w:rFonts w:ascii="Arial" w:cs="Arial" w:eastAsia="Arial" w:hAnsi="Arial"/>
          <w:sz w:val="18"/>
          <w:szCs w:val="18"/>
          <w:color w:val="auto"/>
        </w:rPr>
        <w:t>Financial Officer and Treasurer; Charles Muth, Chief Growth Officer; Dariush Ajami, Chief Innovation Officer; and Stephanie Pullings Hart, Senior Vice President, Operations; and Teri L. Witteman, General Counsel and Secretary, have an average of 21 years of industry experience, having driven growth at both consumer packaged goods companies and high growth businesses, such as The Clorox Company, The Coca-Cola Company, Farmer Bros. Co. and Nestlé. We believe this blend of talent gives us tremendous insights and capabilities to create demand and fulfill it in a scalable, profitable and sustainable way.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79"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Pursue Top-line Growth Across our Distribution Channels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believe there is a significant opportunity to expand Beyond Meat well beyond our current retail and foodservice footprint of approximately 53,000 points of distribution across the United States and abroad. In addition to further growth within retail, we are beginning to sell more of our product in restaurants and other foodservice locations and developing relationships with international partners, both of which represent significant opportunities. We believe increased distribution will lead more consumers to purchase our products and increase the overall size of the plant-based protein category as more consumers shift their diets away from animal-based proteins.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developed a strategy to pursue growth within the following distribution channels:</w:t>
      </w:r>
    </w:p>
    <w:p>
      <w:pPr>
        <w:spacing w:after="0" w:line="153" w:lineRule="exact"/>
        <w:rPr>
          <w:sz w:val="20"/>
          <w:szCs w:val="20"/>
          <w:color w:val="auto"/>
        </w:rPr>
      </w:pPr>
    </w:p>
    <w:p>
      <w:pPr>
        <w:ind w:left="980" w:hanging="324"/>
        <w:spacing w:after="0" w:line="25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Retail: </w:t>
      </w:r>
      <w:r>
        <w:rPr>
          <w:rFonts w:ascii="Arial" w:cs="Arial" w:eastAsia="Arial" w:hAnsi="Arial"/>
          <w:sz w:val="18"/>
          <w:szCs w:val="18"/>
          <w:color w:val="auto"/>
        </w:rPr>
        <w:t>We have a significant opportunity to grow our sales within U.S. retail by focusing on increasing sales at our existing points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as well as increasing sales of new products. We also expect to grow our U.S. retail distribution by establishing commercial relationships with new customers. In March 2019, we introduced Beyond Beef, which is designed to have the meaty taste and texture and replicate the versatility of ground beef. In May 2019, we began selling the Beyond Burger in retail stores across Canada. In June 2019, we introduced the new Beyond Burger and Beyond Beef at retailers across the U.S.</w:t>
      </w:r>
    </w:p>
    <w:p>
      <w:pPr>
        <w:spacing w:after="0" w:line="129"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Restaurant and Foodservice: </w:t>
      </w:r>
      <w:r>
        <w:rPr>
          <w:rFonts w:ascii="Arial" w:cs="Arial" w:eastAsia="Arial" w:hAnsi="Arial"/>
          <w:sz w:val="18"/>
          <w:szCs w:val="18"/>
          <w:color w:val="auto"/>
        </w:rPr>
        <w:t>The Beyond Burger is currently being served in approximately 17,000 restaurant and foodservice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outlets in the United States and Canada. After first launching the Beyond Burger on-menu in 2018, A&amp;W Canada expanded their Beyond Meat menu offerings in March 2019 with the addition of Beyond Breakfast Sausage. In addition, after the successful launch of the Beyond Tacos at Del Taco in April 2019, the brand announced a menu line extension for Beyond Burritos in June 2019. Also in that month, Tim Hortons added the Beyond Breakfast Sausage to its menus across Canada and in July 2019 announced it had expanded Beyond Meat offerings to include the Beyond Burger at its nearly 4,000 locations across Canada. On July 24, 2019, Dunkin’ announced that it is adding Beyond Breakfast Sausage to its menus at certain locations in Manhattan, New York on a limited, test basis.</w:t>
      </w:r>
    </w:p>
    <w:p>
      <w:pPr>
        <w:spacing w:after="0" w:line="149" w:lineRule="exact"/>
        <w:rPr>
          <w:rFonts w:ascii="Arial" w:cs="Arial" w:eastAsia="Arial" w:hAnsi="Arial"/>
          <w:sz w:val="18"/>
          <w:szCs w:val="18"/>
          <w:color w:val="auto"/>
        </w:rPr>
      </w:pPr>
    </w:p>
    <w:p>
      <w:pPr>
        <w:ind w:left="980" w:right="360" w:hanging="324"/>
        <w:spacing w:after="0" w:line="262"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addition, the Beyond Burger is currently being sold at more than 1,100 Carl’s Jr. locations nationwide. We plan to continue to aggressively expand our network of restaurant and foodservice partners.</w:t>
      </w:r>
    </w:p>
    <w:p>
      <w:pPr>
        <w:spacing w:after="0" w:line="124" w:lineRule="exact"/>
        <w:rPr>
          <w:rFonts w:ascii="Arial" w:cs="Arial" w:eastAsia="Arial" w:hAnsi="Arial"/>
          <w:sz w:val="18"/>
          <w:szCs w:val="18"/>
          <w:color w:val="auto"/>
        </w:rPr>
      </w:pPr>
    </w:p>
    <w:p>
      <w:pPr>
        <w:ind w:left="980" w:right="80" w:hanging="324"/>
        <w:spacing w:after="0" w:line="25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believe there is significant demand for our products in Canada and Europe across retail and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channels and expect to increase production for those regions in 2019. We launched in Europe in August 2018 through contracts with three major distributors. Our products are currently in approximately 5,000 international retail and foodservice outlets. We have established and seek to establish additional relationships with distributors in other geographies, including Australia, Israel, South Korea, South Africa and parts of the Middle East.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82" w:right="239" w:bottom="1440" w:gutter="0" w:footer="0" w:header="0"/>
        </w:sectPr>
      </w:pPr>
    </w:p>
    <w:bookmarkStart w:id="90" w:name="page91"/>
    <w:bookmarkEnd w:id="90"/>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Infrastructure and Capabilities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committed to prioritizing investment in our infrastructure and capabilities in order to support our strategic expansion plans. As a fast-growing company, we are making significant investments in hiring the best people, maximizing our supply chain capabilities and optimizing our systems in order to establish a sustainable market-leading position for the long-term future. In 2018, we commenced production at a new state-of-the-art manufacturing facility and entered into relationships with additional co-manufacturers to significantly increase our production capacity. In the first quarter of 2019, our monthly production capacity was triple our monthly capacity at the end of the second quarter of 2018. We have plans to unlock additional capacity both domestically and internationally. For example, in May 2019, we expanded our partnership with a distributor to produce our innovative plant-based meats at a new co-manufacturing facility being constructed by this distributor in the Netherlands. Completion of the facility is expected in the first quarter of 2020. Additionally, we are continuing to hire experienced employees in our sales, marketing, operations, innovation and finance teams to support our rapid growth.</w:t>
      </w:r>
    </w:p>
    <w:p>
      <w:pPr>
        <w:spacing w:after="0" w:line="24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Product Offerings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successes of the Beyond Burger and Beyond Sausage products have confirmed our belief that there is significant demand for additional plant-based meat alternative products. We intend to strengthen our product offering by improving the formulations for our existing portfolio of products and by creating new products that expand the portfolio. We are continuously refining our products to improve their taste, texture and aroma. In addition, we are committed to increasing our investment in research and development to continue to innovate within our core plant-based platforms of beef, pork and poultry to create exciting new product lines and improve the formulations for our existing portfolio of products. New product launches in the first half of 2019 include the new Beyond Burger, Beyond Beef and Beyond Breakfast Sausage.</w:t>
      </w:r>
    </w:p>
    <w:p>
      <w:pPr>
        <w:spacing w:after="0" w:line="24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Grow Our Brand</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intend to continue to develop our brand and increase awareness of Beyond Meat. We plan on highlighting our “Eat What You Love” message and the global environmental benefits that come with consumers eating more of our products. We also plan to continue to create relevant content with our network of celebrities, influencers and brand ambassadors, who have successfully built significant brand awareness for us by supporting our mission and products and incorporating Beyond Meat into their daily lifestyle. We intend to expand our field marketing efforts to sample products directly with consumers in stores and at relevant events. We launched a Beyond Meat food truck in the fall of 2018 that supports consumer sampling, content creation, as well as media, influencer and customer activations.</w:t>
      </w:r>
    </w:p>
    <w:p>
      <w:pPr>
        <w:spacing w:after="0" w:line="24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Remain Mission Focused and True to Our Values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are a mission-driven business with long-standing core values. We strive to operate in an honest, socially responsible and environmentally sustainable manner and are committed to help solve the major health and global environmental issues which we believe are caused by an animal-based protein diet and existing meat industry practices.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123190</wp:posOffset>
            </wp:positionV>
            <wp:extent cx="5351145" cy="14751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511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sell a range of products across the three core plant-based platforms of beef, pork and poultry. They are offered in ready-to-cook formats (merchandised in the meat case), which we refer to as our “fresh” platform, and ready-to-heat formats (merchandised in the freezer), which we refer to as our “frozen” platform. Though the original line of Beyond Meat products were ready-to-heat, our ready-to-cook offerings, such as Beyond Burger and Beyond Sausage, have been the chief drivers of our growth. All of our products are 100% free of gluten and GMOs and are significantly lower in saturated fats than their animal-based equivalents. We are focused on making them nutritionally dense, with minimal negative attributes.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Ready-to-cook (“Fresh”)</w:t>
      </w:r>
    </w:p>
    <w:p>
      <w:pPr>
        <w:spacing w:after="0" w:line="17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The Beyond Burger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Beyond Burger, our flagship product, was our first product merchandised in the meat case of grocery stores.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Burger is designed to look, cook and taste like traditional ground beef. It is made from a blend of mung, pea and rice proteins. The Beyond Burger’s primary source of protein comes from peas, providing 20 grams of protein and two grams of fiber per serving, and has no soy, gluten or GMOs.</w:t>
      </w:r>
    </w:p>
    <w:p>
      <w:pPr>
        <w:spacing w:after="0" w:line="12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b w:val="1"/>
          <w:bCs w:val="1"/>
          <w:i w:val="1"/>
          <w:iCs w:val="1"/>
          <w:color w:val="auto"/>
        </w:rPr>
        <w:t>Beyond Beef</w:t>
      </w:r>
      <w:r>
        <w:rPr>
          <w:rFonts w:ascii="Arial" w:cs="Arial" w:eastAsia="Arial" w:hAnsi="Arial"/>
          <w:sz w:val="18"/>
          <w:szCs w:val="18"/>
          <w:color w:val="auto"/>
        </w:rPr>
        <w:t>. Beyond Beef, our newest product, is designed to have the meaty taste and texture of ground beef and replicate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versatility of ground beef. It has 25% less saturated fat than beef or six grams per four-ounce serving. Like animal-based ground beef, Beyond Beef can be used in a variety of dishes, such as tacos and meatballs. It is made from a blend of mung, pea and rice proteins and has no soy, gluten or GMOs.</w:t>
      </w:r>
    </w:p>
    <w:p>
      <w:pPr>
        <w:spacing w:after="0" w:line="12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Beyond Sausage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Sausage is a ready-to-cook sausage designed to look, cook and taste like a pork sausage. Beyond Sausage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from a blend of pea, faba bean and rice proteins. Beyond Sausage’s primary source of protein comes from peas, providing 16 grams of protein and three grams of fiber per serving, and has no soy, gluten or GMOs. Beyond Sausage currently comes in three flavors across foodservice: Brat Original, Hot Italian and Sweet Italian. It currently comes in two flavors across retail: Brat Original and Hot Italian.</w:t>
      </w:r>
    </w:p>
    <w:p>
      <w:pPr>
        <w:spacing w:after="0" w:line="123" w:lineRule="exact"/>
        <w:rPr>
          <w:sz w:val="20"/>
          <w:szCs w:val="20"/>
          <w:color w:val="auto"/>
        </w:rPr>
      </w:pPr>
    </w:p>
    <w:p>
      <w:pPr>
        <w:ind w:right="160" w:firstLine="324"/>
        <w:spacing w:after="0" w:line="269" w:lineRule="auto"/>
        <w:rPr>
          <w:sz w:val="20"/>
          <w:szCs w:val="20"/>
          <w:color w:val="auto"/>
        </w:rPr>
      </w:pPr>
      <w:r>
        <w:rPr>
          <w:rFonts w:ascii="Arial" w:cs="Arial" w:eastAsia="Arial" w:hAnsi="Arial"/>
          <w:sz w:val="18"/>
          <w:szCs w:val="18"/>
          <w:b w:val="1"/>
          <w:bCs w:val="1"/>
          <w:i w:val="1"/>
          <w:iCs w:val="1"/>
          <w:color w:val="auto"/>
        </w:rPr>
        <w:t>Beyond Breakfast Sausage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Breakfast Sausage is designed to replicate the classic breakfast sausage. Beyond Breakfast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Sausage is made from a blend of pea, mung bean, rice and sunflower proteins, seasoned with notes of sage and black pepper. It provides 10 grams of plant-based protein per serving and has no soy, gluten or GMOs.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Ready-to-heat (“Frozen”)</w:t>
      </w:r>
    </w:p>
    <w:p>
      <w:pPr>
        <w:spacing w:after="0" w:line="171"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b w:val="1"/>
          <w:bCs w:val="1"/>
          <w:i w:val="1"/>
          <w:iCs w:val="1"/>
          <w:color w:val="auto"/>
        </w:rPr>
        <w:t>Beyond Beef Crumbles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Beef Crumbles are ready-to-heat products designed to look and satisfy like minced or ground beef.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Beef Crumbles’ primary source of protein comes from peas, providing approximately 12 grams of protein and one gram of fiber per serving, and has no soy, gluten or GMOs. Beyond Beef Crumbles currently come in two flavors for retail: Beefy and Feisty. The four flavors available for foodservice are Plain, Beefy, Feisty and Italian Sausage.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68"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Customers and Distributors</w:t>
      </w:r>
    </w:p>
    <w:p>
      <w:pPr>
        <w:spacing w:after="0" w:line="279"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Retail</w:t>
      </w:r>
    </w:p>
    <w:p>
      <w:pPr>
        <w:spacing w:after="0" w:line="193"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Since the success of the Beyond Burger, we have created a strong presence at leading food retailers across the country, such as Ahold, Kroger, Safeway, Shop Rite, Stater Brothers, Target, Wegmans and Whole Foods Market.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Many of these retailers purchase our products through food distributors which purchase, store, sell, and deliver our products to retailers.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Because such distributors function in an intermediary role, we do not consider them to be customers.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six months ended June 29, 2019, our largest distributors in terms of their respective percentage of our gross revenues included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DOT, 22% and UNFI, 21%. Net revenues from our retail channel in the three and six months ended June 29, 2019 increased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$22.4 million, or 192.0%, and $32.7 million, or 156.1%, respectively. We have a significant opportunity to grow our sales within U.S. retailers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improved fill rates at new and existing retail partners as we increase our production capacity, as well as increased sales of our product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innovations, such as our Beyond Sausage.</w:t>
      </w:r>
    </w:p>
    <w:p>
      <w:pPr>
        <w:spacing w:after="0" w:line="25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Restaurant and Foodservice</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Beyond Burger is currently being served in approximately 17,000 restaurant and foodservice outlets in the United States and Canada. We have established partnerships with selected restaurant chains, including A&amp;W (Canada), Bareburger, BurgerFi, TGI Fridays, Veggie Grill, Carl’s Jr. and Tim Hortons. As a result of our recent partnership with Carl’s Jr., the Beyond Burger is currently being sold at more than 1,100 Carl’s Jr. locations nationwide. Our products are also available in prominent entertainment and hospitality vendors, such as Cinemark Theatres, Disney World, Hilton, Hyatt, LEGOLAND and Marriott. Net revenues from sales through our restaurant and foodservice channel in the three and six months ended June 29, 2019 increased $27.4 million, or 483.0%, and $44.6 million, or 486.2%, respectively, as compared to the prior year periods.</w:t>
      </w:r>
    </w:p>
    <w:p>
      <w:pPr>
        <w:spacing w:after="0" w:line="239"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distribute our products internationally, using distributors in Australia, Chile, the European Union, Hong Kong, Ireland, Israel, the Middle East, New Zealand, the Philippines, Singapore, South Africa, South Korea, Taiwan and the United Kingdom. Net revenues from international sales in the three and six months ended June 29, 2019 were 12% and 13% of net revenues, respectively, as compared to 3% and 2% of net revenues, respectively, in the prior-year periods. We expect our international sales to continue to grow substantially in the future, and believe that they will contribute an increasing share of our net revenues in coming periods.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Supply Chain</w:t>
      </w:r>
    </w:p>
    <w:p>
      <w:pPr>
        <w:spacing w:after="0" w:line="27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Sourcing and Suppliers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principal ingredients to manufacture our products include pea protein and our plant-based flavors. We procure the raw materials for our woven protein from a number of different suppliers. Although most of the raw materials we require are typically readily available from multiple sources, we currently have two suppliers for the pea protein used in our fresh products. See “—Supply Agreements.”</w:t>
      </w:r>
    </w:p>
    <w:p>
      <w:pPr>
        <w:spacing w:after="0" w:line="14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a third supplier of yellow peas sourced from Canada which we use in our Beef Crumbles. This supplier based in China exports the pea protein it processes into the United States to an intermediary facility before it is shipped to our facilities in Columbia, Missouri.</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continually seek additional sources of pea protein and other plant-based protein for our products that meet our criteria.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68" w:right="239" w:bottom="1440" w:gutter="0" w:footer="0" w:header="0"/>
        </w:sectPr>
      </w:pPr>
    </w:p>
    <w:bookmarkStart w:id="93" w:name="page94"/>
    <w:bookmarkEnd w:id="93"/>
    <w:p>
      <w:pPr>
        <w:ind w:firstLine="324"/>
        <w:spacing w:after="0" w:line="253" w:lineRule="auto"/>
        <w:rPr>
          <w:sz w:val="20"/>
          <w:szCs w:val="20"/>
          <w:color w:val="auto"/>
        </w:rPr>
      </w:pPr>
      <w:r>
        <w:rPr>
          <w:rFonts w:ascii="Arial" w:cs="Arial" w:eastAsia="Arial" w:hAnsi="Arial"/>
          <w:sz w:val="18"/>
          <w:szCs w:val="18"/>
          <w:color w:val="auto"/>
        </w:rPr>
        <w:t>Flavors consist of product flavors that have been developed by our innovation team in collaboration with our supply partners exclusively for us. The formulas are then produced by our suppliers for use in our products. Ingredients in our flavors are qualified through trials to ensure manufacturability. Upon receipt of the ingredients, we receive Certificates of Analysis from our suppliers in our quality control process to confirm that our rigorous standards have been met. Flavors are extensively tested prior to introduction to ensure finished product attributes such as taste, texture and appearance are not negatively impacted.</w:t>
      </w:r>
    </w:p>
    <w:p>
      <w:pPr>
        <w:spacing w:after="0" w:line="15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do not have long-term supply agreements with most of our suppliers. However, we secure our supplies on a purchase order basis. As most of the raw materials we use in our flavors are readily available in the market from many suppliers, we believe that we can within a reasonable period of time make satisfactory alternative arrangements in the event of an interruption of supply from our vendors.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manufacturing process is diagrammed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109220</wp:posOffset>
            </wp:positionV>
            <wp:extent cx="5351145" cy="917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5114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First, a dry blend containing our pea protein is combined within our manufacturing facility. The dry blend then enters our extruder, where both water and steam are added. We then use a combination of heating, cooling and variations of pressure to weave together the proteins. The formed woven protein is then cut into smaller pieces to expedite the freezing process and assist in the final manufacturing process. The frozen woven protein is used as the basis of all our products. Next, our co-manufacturers further process the frozen woven protein by combining flavorings and other ingredients, after which the co-manufacturer prepares the final packaged product that is then shipped to stores. In order to sustain the quality of our products, we have implemented a “define, measure, analyze, improve and control,” or DMAIC, approach to improve, optimize and stabilize our processes and design.</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While we manufacture the Beyond Burger for sale to the foodservice channel, we depend on co-manufacturers for all of our other products. Our co-manufacturers are currently in various locations throughout the United States, and we recently expanded our partnership with a distributor to produce our innovative plant-based meats at a new co-manufacturing facility being built by the distributor in the Netherlands, which is expected to be completed in the first quarter of 2020. All third-party co-manufacturers sign non-disclosure agreements to ensure that our proprietary intellectual property and trade secrets are protected. We continue to explore establishing relationships with additional co-manufacturers as the business grows to take advantage of more competitive pricing and availability of our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Control</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In-process quality checks are performed throughout the manufacturing process, including temperature, physical dimension and weight. We provide specific instructions to vendors and restaurants for storing and cooking our products. All products are transported and stored frozen. Frozen products such as the Beyond Beef Crumbles are intended to be prepared from their frozen state, with cooking instructions enclosed on all packaging.</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Retail products sold in the meat case as part of our “fresh” platform, such as the Beyond Burger and Beyond Sausage are shipped to the customer frozen. The foodservice customer is provided instructions on ‘slacking,’ which is typically done by moving frozen food to a refrigerator to allow it to slowly and safely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382" w:right="259" w:bottom="1440" w:gutter="0" w:footer="0" w:header="0"/>
        </w:sectPr>
      </w:pPr>
    </w:p>
    <w:bookmarkStart w:id="94" w:name="page95"/>
    <w:bookmarkEnd w:id="94"/>
    <w:p>
      <w:pPr>
        <w:ind w:right="260"/>
        <w:spacing w:after="0" w:line="262" w:lineRule="auto"/>
        <w:rPr>
          <w:sz w:val="20"/>
          <w:szCs w:val="20"/>
          <w:color w:val="auto"/>
        </w:rPr>
      </w:pPr>
      <w:r>
        <w:rPr>
          <w:rFonts w:ascii="Arial" w:cs="Arial" w:eastAsia="Arial" w:hAnsi="Arial"/>
          <w:sz w:val="18"/>
          <w:szCs w:val="18"/>
          <w:color w:val="auto"/>
        </w:rPr>
        <w:t>thaw before cooking. For this step, retail customers must apply a “use by date” sticker of seven days for Beyond Sausage or 10 days for the Beyond Burger.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93"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Distribution of products occurs from our in-house manufacturing facilities in Columbia, Missouri. From our co-manufacturing facilities, products are transferred by third-party logistics providers to cold storage facilities or are directly shipped to the customer.</w:t>
      </w:r>
    </w:p>
    <w:p>
      <w:pPr>
        <w:spacing w:after="0" w:line="14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At present, we do not utilize internal software to track loads but we leverage the systems of our transportation partners to manage our supply chain through retail distribution.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 and Packaging Suppliers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Packaging supplies are sourced in the United States with the exception of the Beyond Sausage tray which is currently sourced from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maintain approximately 10 weeks of inventory on these trays to ensure that we can mitigate any risk of interruption in supply.</w:t>
      </w:r>
    </w:p>
    <w:p>
      <w:pPr>
        <w:spacing w:after="0" w:line="171" w:lineRule="exact"/>
        <w:rPr>
          <w:sz w:val="20"/>
          <w:szCs w:val="20"/>
          <w:color w:val="auto"/>
        </w:rPr>
      </w:pPr>
    </w:p>
    <w:p>
      <w:pPr>
        <w:ind w:right="80" w:firstLine="324"/>
        <w:spacing w:after="0" w:line="291" w:lineRule="auto"/>
        <w:rPr>
          <w:sz w:val="20"/>
          <w:szCs w:val="20"/>
          <w:color w:val="auto"/>
        </w:rPr>
      </w:pPr>
      <w:r>
        <w:rPr>
          <w:rFonts w:ascii="Arial" w:cs="Arial" w:eastAsia="Arial" w:hAnsi="Arial"/>
          <w:sz w:val="17"/>
          <w:szCs w:val="17"/>
          <w:color w:val="auto"/>
        </w:rPr>
        <w:t>We utilize an industry standard Number 3 Modified Atmospheric Packaging, or MAP Tray, that is slotted for the placement of two four ounce patties and used for the retail Beyond Burger. Packaging specifications are clearly defined and shared with our third-party relationships.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 Fulfillment</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customer service and logistics functions are responsible for customer-facing activities, order management, customer logistics, 3PL leadership and intra-company distribution. These functional areas reside in the Sales Operations department. We utilize NetSuite (ERP), MS Applications and Cloud interface platforms for these processes. Customer orders are principally transmitted via electronic data interface, or EDI, but may be processed manually if necessary. Orders are accepted in NetSuite, reviewed for accuracy and fulfillment plans are developed. When fulfillment plans are ready, orders are downloaded and emailed to our transportation partners for tendering. The order fulfillment process is led by the Sales Operations Manager and two direct-reports. Metrics for the Customer Service and Logistics team include order fill, on-time shipping, customer scorecards as needed and cost leadership. We have agreements with third-party service providers for all of our shipping needs.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Consumer Outreach</w:t>
      </w:r>
    </w:p>
    <w:p>
      <w:pPr>
        <w:spacing w:after="0" w:line="27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Sales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June 29, 2019, our 50-person sales and commercial team, led by Chief Growth Officer, Charles Muth, is organized into three divisions, retail, foodservice and international. The sales team has an extensive range of experience from leading natural food, meat and plant-based protein companies. The retail, foodservice and international teams work in close coordination with a national network of broker and distributor sales teams that gives us access to accounts across the United States.</w:t>
      </w:r>
    </w:p>
    <w:p>
      <w:pPr>
        <w:spacing w:after="0" w:line="236"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Field Marketing Representatives</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an active field marketing team that samples our products at special events and utilizes a food truck. As of mid-July 2019, we have executed approximately 800 such events, with approximately 176,000 samples distributed.</w:t>
      </w:r>
    </w:p>
    <w:p>
      <w:pPr>
        <w:spacing w:after="0" w:line="228"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Digital Marketing and Social Media</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primary means by which we drive consumer awareness and interest in our products is via (i) social media, (ii) our digital newsletter, which had over 365,000 subscribers as of July 2019 and (iii) our website, which had on average approximately 491,000 unique monthly visits from August 2018 to July 2019.</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382" w:right="279" w:bottom="1440" w:gutter="0" w:footer="0" w:header="0"/>
        </w:sectPr>
      </w:pPr>
    </w:p>
    <w:bookmarkStart w:id="95" w:name="page96"/>
    <w:bookmarkEnd w:id="95"/>
    <w:p>
      <w:pPr>
        <w:ind w:right="80" w:firstLine="324"/>
        <w:spacing w:after="0" w:line="252" w:lineRule="auto"/>
        <w:rPr>
          <w:sz w:val="20"/>
          <w:szCs w:val="20"/>
          <w:color w:val="auto"/>
        </w:rPr>
      </w:pPr>
      <w:r>
        <w:rPr>
          <w:rFonts w:ascii="Arial" w:cs="Arial" w:eastAsia="Arial" w:hAnsi="Arial"/>
          <w:sz w:val="18"/>
          <w:szCs w:val="18"/>
          <w:color w:val="auto"/>
        </w:rPr>
        <w:t>While we enjoy upward growth in our online marketing activities, we have historically done a relatively modest amount of paid targeting. In 2017, we dedicated approximately 4% of our marketing and advertising spend to digital marketing channels. We maintain a registered domain website at www.beyondmeat.com, which serves as the primary source of information regarding our products. Our website drew approximately 5.4 million visitors from August 2018 to July 2019 based on Google Analytics. Our website is used as a platform to promote our products, provide news, share recipes, highlight nutritional facts and provide general information on where to purchase our products, whether retail or as served in an establishment.</w:t>
      </w:r>
    </w:p>
    <w:p>
      <w:pPr>
        <w:spacing w:after="0" w:line="15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extensively use social media platforms such as Facebook, Instagram and Twitter for online collaboration. These platforms are fundamentally changing the way we engage with our consumers and allow us to directly reach desirable target demographics such as millennials and “Generation Z.” A few examples of how we use social media to connect with our consumers and promote healthy lifestyles are summarized below.</w:t>
      </w:r>
    </w:p>
    <w:p>
      <w:pPr>
        <w:spacing w:after="0" w:line="132" w:lineRule="exact"/>
        <w:rPr>
          <w:sz w:val="20"/>
          <w:szCs w:val="20"/>
          <w:color w:val="auto"/>
        </w:rPr>
      </w:pPr>
    </w:p>
    <w:p>
      <w:pPr>
        <w:ind w:left="660" w:right="80" w:hanging="328"/>
        <w:spacing w:after="0" w:line="26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Facebook: </w:t>
      </w:r>
      <w:r>
        <w:rPr>
          <w:rFonts w:ascii="Arial" w:cs="Arial" w:eastAsia="Arial" w:hAnsi="Arial"/>
          <w:sz w:val="18"/>
          <w:szCs w:val="18"/>
          <w:color w:val="auto"/>
        </w:rPr>
        <w:t>We maintain a company Facebook page, which we use to facilitate consumer services, distribute brand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news and publish videos and pictures promoting the brand. We also conduct regular contests and giveaways. As of July 2019, we had over 390,000 Facebook followers.</w:t>
      </w:r>
    </w:p>
    <w:p>
      <w:pPr>
        <w:spacing w:after="0" w:line="122"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Instagram</w:t>
      </w:r>
      <w:r>
        <w:rPr>
          <w:rFonts w:ascii="Arial" w:cs="Arial" w:eastAsia="Arial" w:hAnsi="Arial"/>
          <w:sz w:val="18"/>
          <w:szCs w:val="18"/>
          <w:color w:val="auto"/>
        </w:rPr>
        <w:t>: We maintain an active company Instagram account, @beyondmeat, which we use to publish content related to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company in order to better connect with potential and existing consumers. We frequently publish news, celebrity promotion and content related to our activities. As of July 2019, we had over 700,000 Instagram followers.</w:t>
      </w:r>
    </w:p>
    <w:p>
      <w:pPr>
        <w:spacing w:after="0" w:line="122"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Twitter</w:t>
      </w:r>
      <w:r>
        <w:rPr>
          <w:rFonts w:ascii="Arial" w:cs="Arial" w:eastAsia="Arial" w:hAnsi="Arial"/>
          <w:sz w:val="18"/>
          <w:szCs w:val="18"/>
          <w:color w:val="auto"/>
        </w:rPr>
        <w:t>: We maintain an active company Twitter account, @BeyondMeat, which we use to disseminate trending news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to publish short format tips, tricks and shortcuts. We also regularly interact with our consumers. As of July 2019, we had over 86,000 Twitter followers.</w:t>
      </w:r>
    </w:p>
    <w:p>
      <w:pPr>
        <w:spacing w:after="0" w:line="122" w:lineRule="exact"/>
        <w:rPr>
          <w:rFonts w:ascii="Arial" w:cs="Arial" w:eastAsia="Arial" w:hAnsi="Arial"/>
          <w:sz w:val="18"/>
          <w:szCs w:val="18"/>
          <w:color w:val="auto"/>
        </w:rPr>
      </w:pPr>
    </w:p>
    <w:p>
      <w:pPr>
        <w:ind w:left="660" w:right="140" w:hanging="328"/>
        <w:spacing w:after="0" w:line="26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LinkedIn: </w:t>
      </w:r>
      <w:r>
        <w:rPr>
          <w:rFonts w:ascii="Arial" w:cs="Arial" w:eastAsia="Arial" w:hAnsi="Arial"/>
          <w:sz w:val="18"/>
          <w:szCs w:val="18"/>
          <w:color w:val="auto"/>
        </w:rPr>
        <w:t>We maintain an active company LinkedIn account, which we use to disseminate news related to Beyond Meat and industry-related media and information. We use our LinkedIn account as a job board for individuals interested in working with us. As of July 2019, we had more than 32,000 LinkedIn followers.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Celebrity Endorsement</w:t>
      </w:r>
    </w:p>
    <w:p>
      <w:pPr>
        <w:spacing w:after="0" w:line="193" w:lineRule="exact"/>
        <w:rPr>
          <w:sz w:val="20"/>
          <w:szCs w:val="20"/>
          <w:color w:val="auto"/>
        </w:rPr>
      </w:pPr>
    </w:p>
    <w:p>
      <w:pPr>
        <w:ind w:right="260" w:firstLine="324"/>
        <w:spacing w:after="0" w:line="291" w:lineRule="auto"/>
        <w:rPr>
          <w:sz w:val="20"/>
          <w:szCs w:val="20"/>
          <w:color w:val="auto"/>
        </w:rPr>
      </w:pPr>
      <w:r>
        <w:rPr>
          <w:rFonts w:ascii="Arial" w:cs="Arial" w:eastAsia="Arial" w:hAnsi="Arial"/>
          <w:sz w:val="17"/>
          <w:szCs w:val="17"/>
          <w:color w:val="auto"/>
        </w:rPr>
        <w:t>We are fortunate to have partnered with celebrities such as Tia Blanco, Leonardo DiCaprio, Snoop Dogg, Kyrie Irving, DeAndre Hopkins and DeAndre Jordan who share our core values. Their organic involvement and interest are helpful to promoting our overall mission.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operate in a highly competitive environment. We believe that we compete with both conventional animal-protein companies, such as Cargill, Hormel, JBS, Tyson and WH Group (including its Smithfield division) and also plant-based protein brands, such as Boca Foods, Field Roast Grain Meat Co., Gardein, Impossible Foods, Lightlife, Morningstar Farms and Tofurky. We believe the principal competitive factors in our industry are:</w:t>
      </w:r>
    </w:p>
    <w:p>
      <w:pPr>
        <w:spacing w:after="0" w:line="15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taste;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nutritional profile;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texture;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382" w:right="259" w:bottom="1440" w:gutter="0" w:footer="0" w:header="0"/>
        </w:sectPr>
      </w:pPr>
    </w:p>
    <w:bookmarkStart w:id="96" w:name="page97"/>
    <w:bookmarkEnd w:id="96"/>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ease of integration into the consumer diet;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low-carbohydrate, low-sugar, high fiber and protein;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lack of soy, gluten and GMOs;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 variety and packaging;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access to major retailer shelf space and retail locations;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access to major restaurant and foodservice outlets and integration into menus;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intellectual property protection on products.</w:t>
      </w:r>
    </w:p>
    <w:p>
      <w:pPr>
        <w:spacing w:after="0" w:line="171"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We believe we compete effectively with respect to each of these factors. However, many companies in our industry have substantially greater financial resources, more comprehensive product lines, broader market presence, longer standing relationships with distributors and suppliers, longer operating histories, greater production and distribution capabilities, stronger brand recognition and greater marketing resources than we have.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June 29, 2019, we had 400 full-time employees, including 220 in operations, 71 in innovation, research and development, 50 in sales and marketing and 17 in finance. Of the full-time employees, 89 are contract workers. None of our employees is represented by a labor union. We have never experienced a labor-related work stoppage.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do not own any real property. We lease our headquarters at 119 Standard St., El Segundo, California pursuant to a lease agreement that expires on February 29, 2024. The building is approximately 17,600 square feet. If we are not in breach of the terms of this lease and provide our landlord with the required notice, we have an option to extend the term for an additional 36 months commencing when the prior term expires. We also lease our 30,000-square-foot Manhattan Beach Project Innovation Center at 1325 East El Segundo Blvd., El Segundo, California pursuant to a lease agreement that expires on January 31, 2022. If we are not in breach of the terms of this lease and provide our landlord with the required notice, we have an option to extend the term of this lease for an additional 24-month period commencing when the prior term expires.</w:t>
      </w:r>
    </w:p>
    <w:p>
      <w:pPr>
        <w:spacing w:after="0" w:line="15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also lease our industrial manufacturing plant located at 1714 Commerce Ct., Suites A&amp;B, Columbia, Missouri pursuant to a lease agreement, as supplemented by a side letter dated June 10, 2014. We recently signed a one-year extension of the lease term, which expires on June 30, 2020. The approximately 26,000-square-foot facility houses our industrial manufacturing plant.</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recently opened an expanded manufacturing facility located at 2400 Maguire Boulevard, Columbia, Missouri pursuant to a lease agreement that expires on October 1, 2024. The manufacturing facility is approximately 64,000 square feet. If we are not in breach of the terms of our lease, the term of the lease will be automatically renewed for two consecutive three-year option periods.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382" w:right="279" w:bottom="1440" w:gutter="0" w:footer="0" w:header="0"/>
        </w:sectPr>
      </w:pPr>
    </w:p>
    <w:bookmarkStart w:id="97" w:name="page98"/>
    <w:bookmarkEnd w:id="97"/>
    <w:p>
      <w:pPr>
        <w:ind w:right="540" w:firstLine="324"/>
        <w:spacing w:after="0" w:line="262" w:lineRule="auto"/>
        <w:rPr>
          <w:sz w:val="20"/>
          <w:szCs w:val="20"/>
          <w:color w:val="auto"/>
        </w:rPr>
      </w:pPr>
      <w:r>
        <w:rPr>
          <w:rFonts w:ascii="Arial" w:cs="Arial" w:eastAsia="Arial" w:hAnsi="Arial"/>
          <w:sz w:val="18"/>
          <w:szCs w:val="18"/>
          <w:color w:val="auto"/>
        </w:rPr>
        <w:t>We believe that our facilities are sufficient to meet our current needs and that suitable additional space will be available as and when needed.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research and development team, create, tests and refines our products at our Manhattan Beach Project Innovation Center. We employ in-house scientists, engineers, researchers and testers to help create the next iterations to plant-based meat products. Our team has delivered a number of first-to-market breakthroughs focused on plant-based meat and we are also focused on continuous improvement of existing products. We have and will continue to protect any intellectual property created by us.</w:t>
      </w:r>
    </w:p>
    <w:p>
      <w:pPr>
        <w:spacing w:after="0" w:line="150"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As of June 29, 2019, we employed approximately 71 scientists, engineers, researchers, technicians and chefs to help create the next generation of food for our consumers.</w:t>
      </w:r>
    </w:p>
    <w:p>
      <w:pPr>
        <w:spacing w:after="0" w:line="14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Beyond Meat Rapid and Relentless Innovation Program defines the details of the product innovation process from ideation and prototype development through commercialization. This process assigns responsibility and accountability of each functional team throughout the process and defines deliverables at each step.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Innovation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Innovation is a core competency of ours and important part of our growth strategy. Our goal is to identify large, animal-based meat product categories across our core plant-based platforms of beef, pork and poultry that exhibit long-term consumer trends. We then dedicate significant research and development resources to create authentic plant-based versions for these products that replicate taste, texture and aroma of their animal-based equivalents. We have been able to leverage the success of our existing products and resulting brand equity to launch improved versions our existing products and create new products. We have a range of new products in our pipeline and our goal is to develop at least one new product a year.</w:t>
      </w:r>
    </w:p>
    <w:p>
      <w:pPr>
        <w:spacing w:after="0" w:line="15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innovation team undertakes extensive research projects to increase our fundamental understanding of animal-based meat and plant-based equivalents. A few examples of where we are focusing on continued refinements of our products include:</w:t>
      </w:r>
    </w:p>
    <w:p>
      <w:pPr>
        <w:spacing w:after="0" w:line="124" w:lineRule="exact"/>
        <w:rPr>
          <w:sz w:val="20"/>
          <w:szCs w:val="20"/>
          <w:color w:val="auto"/>
        </w:rPr>
      </w:pPr>
    </w:p>
    <w:p>
      <w:pPr>
        <w:ind w:left="660" w:right="4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Better fat adipose tissue and saturated fat mimics</w:t>
      </w:r>
      <w:r>
        <w:rPr>
          <w:rFonts w:ascii="Arial" w:cs="Arial" w:eastAsia="Arial" w:hAnsi="Arial"/>
          <w:sz w:val="18"/>
          <w:szCs w:val="18"/>
          <w:color w:val="auto"/>
        </w:rPr>
        <w:t>: We are researching new materials and technologies capable of mimicking saturated</w:t>
      </w:r>
      <w:r>
        <w:rPr>
          <w:rFonts w:ascii="Arial" w:cs="Arial" w:eastAsia="Arial" w:hAnsi="Arial"/>
          <w:sz w:val="18"/>
          <w:szCs w:val="18"/>
          <w:i w:val="1"/>
          <w:iCs w:val="1"/>
          <w:color w:val="auto"/>
        </w:rPr>
        <w:t xml:space="preserve"> </w:t>
      </w:r>
      <w:r>
        <w:rPr>
          <w:rFonts w:ascii="Arial" w:cs="Arial" w:eastAsia="Arial" w:hAnsi="Arial"/>
          <w:sz w:val="18"/>
          <w:szCs w:val="18"/>
          <w:color w:val="auto"/>
        </w:rPr>
        <w:t>fat in terms of texture and appearance, but without the nutritional drawbacks of saturated fat.</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Alternative functional proteins</w:t>
      </w:r>
      <w:r>
        <w:rPr>
          <w:rFonts w:ascii="Arial" w:cs="Arial" w:eastAsia="Arial" w:hAnsi="Arial"/>
          <w:sz w:val="18"/>
          <w:szCs w:val="18"/>
          <w:color w:val="auto"/>
        </w:rPr>
        <w:t>: We pursue new non-animal proteins that add function to our food products, including native proteins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 denature during cooking, protein binders and protein emulsifying agents and proteins.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Additional connective tissue equivalents</w:t>
      </w:r>
      <w:r>
        <w:rPr>
          <w:rFonts w:ascii="Arial" w:cs="Arial" w:eastAsia="Arial" w:hAnsi="Arial"/>
          <w:sz w:val="18"/>
          <w:szCs w:val="18"/>
          <w:color w:val="auto"/>
        </w:rPr>
        <w:t>: We are seeking materials and methods to introduce additional cartilaginous-like materials and</w:t>
      </w:r>
      <w:r>
        <w:rPr>
          <w:rFonts w:ascii="Arial" w:cs="Arial" w:eastAsia="Arial" w:hAnsi="Arial"/>
          <w:sz w:val="18"/>
          <w:szCs w:val="18"/>
          <w:i w:val="1"/>
          <w:iCs w:val="1"/>
          <w:color w:val="auto"/>
        </w:rPr>
        <w:t xml:space="preserve"> </w:t>
      </w:r>
      <w:r>
        <w:rPr>
          <w:rFonts w:ascii="Arial" w:cs="Arial" w:eastAsia="Arial" w:hAnsi="Arial"/>
          <w:sz w:val="18"/>
          <w:szCs w:val="18"/>
          <w:color w:val="auto"/>
        </w:rPr>
        <w:t>heterogeneity in the form of both texture and appearance in our food products.</w:t>
      </w:r>
    </w:p>
    <w:p>
      <w:pPr>
        <w:spacing w:after="0" w:line="107"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Encapsulation materials and technology: </w:t>
      </w:r>
      <w:r>
        <w:rPr>
          <w:rFonts w:ascii="Arial" w:cs="Arial" w:eastAsia="Arial" w:hAnsi="Arial"/>
          <w:sz w:val="18"/>
          <w:szCs w:val="18"/>
          <w:color w:val="auto"/>
        </w:rPr>
        <w:t>We are seeking new materials and technologies to expand the scope of controlled-release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systems in our food products as it relates to delivering flavor, color and texturizing agents.</w:t>
      </w:r>
    </w:p>
    <w:p>
      <w:pPr>
        <w:spacing w:after="0" w:line="107"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Materials and technologies to support flavor and texture development: </w:t>
      </w:r>
      <w:r>
        <w:rPr>
          <w:rFonts w:ascii="Arial" w:cs="Arial" w:eastAsia="Arial" w:hAnsi="Arial"/>
          <w:sz w:val="18"/>
          <w:szCs w:val="18"/>
          <w:color w:val="auto"/>
        </w:rPr>
        <w:t>We are seeking non-GMO enzymes that can assist with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enzymolysis as it relates to flavor reactions.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each of 2017 and 2018, we experienced strong net revenue growth compared to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382" w:right="259" w:bottom="1440" w:gutter="0" w:footer="0" w:header="0"/>
        </w:sectPr>
      </w:pPr>
    </w:p>
    <w:bookmarkStart w:id="98" w:name="page99"/>
    <w:bookmarkEnd w:id="98"/>
    <w:p>
      <w:pPr>
        <w:ind w:right="340"/>
        <w:spacing w:after="0" w:line="262" w:lineRule="auto"/>
        <w:rPr>
          <w:sz w:val="20"/>
          <w:szCs w:val="20"/>
          <w:color w:val="auto"/>
        </w:rPr>
      </w:pPr>
      <w:r>
        <w:rPr>
          <w:rFonts w:ascii="Arial" w:cs="Arial" w:eastAsia="Arial" w:hAnsi="Arial"/>
          <w:sz w:val="18"/>
          <w:szCs w:val="18"/>
          <w:color w:val="auto"/>
        </w:rPr>
        <w:t>previous year, which masked this seasonal impact. As our business continues to grow, we expect to see additional seasonality effects, with revenue growth tending to be greater in the second and third quarters of the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primary trademarks are the Beyond Burger, Beyond Beef, Beyond Chicken, Beyond Meat, Beyond Sausage, Beyond Breakfast Sausage, The Cookout Classic, The Future of Protein and The Future of Protein Beyond Meat, all of which are registered or pending registration with the U.S. Patent and Trademark Office. Our trademarks are valuable assets that reinforce the distinctiveness of our brand to our consumers. We have applied for or have trademark registrations internationally as well, including in Argentina, Australia, Brazil, Canada, Chile, China, Colombia, Costa Rica, Egypt, the European Union, Hong Kong, India, Indonesia, Israel, Japan, Mexico, the Middle East, New Zealand, Norway, the Philippines, South Korea, Russia, Saudi Arabia, Singapore, South Africa, Switzerland, Taiwan, Thailand, Turkey and the United Arab Emirates. We believe the protection of our trademarks, copyrights, patents, domain names, trade dress and trade secrets are important to our success.</w:t>
      </w:r>
    </w:p>
    <w:p>
      <w:pPr>
        <w:spacing w:after="0" w:line="15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aggressively protect our intellectual property rights by relying on trademark, copyright, patent, trade dress and trade secret laws and through the domain name dispute resolution system. Our domain name is www.beyondmeat.com, which drew approximately 5.4 million visitors from August 2018 to July 2019 based on Google Analytics.</w:t>
      </w:r>
    </w:p>
    <w:p>
      <w:pPr>
        <w:spacing w:after="0" w:line="148" w:lineRule="exact"/>
        <w:rPr>
          <w:sz w:val="20"/>
          <w:szCs w:val="20"/>
          <w:color w:val="auto"/>
        </w:rPr>
      </w:pPr>
    </w:p>
    <w:p>
      <w:pPr>
        <w:jc w:val="both"/>
        <w:ind w:right="220" w:firstLine="324"/>
        <w:spacing w:after="0" w:line="262" w:lineRule="auto"/>
        <w:rPr>
          <w:sz w:val="20"/>
          <w:szCs w:val="20"/>
          <w:color w:val="auto"/>
        </w:rPr>
      </w:pPr>
      <w:r>
        <w:rPr>
          <w:rFonts w:ascii="Arial" w:cs="Arial" w:eastAsia="Arial" w:hAnsi="Arial"/>
          <w:sz w:val="18"/>
          <w:szCs w:val="18"/>
          <w:color w:val="auto"/>
        </w:rPr>
        <w:t>We believe our intellectual property has substantial value and has contributed significantly to our business. At July 15, 2019, we had one issued patent in the United States and five pending patent applications in the United States and 13 pending international patent applications.</w:t>
      </w:r>
    </w:p>
    <w:p>
      <w:pPr>
        <w:spacing w:after="0" w:line="14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consider the specifics of our marketing, promotions and products as a trade secret, and information we wish to keep confidential. In addition, we consider proprietary information related to formulas, processes, know-how and methods used in our production and manufacturing as trade secrets, and information we wish to keep confidential. We have taken reasonable measures to keep the above-mentioned items, as well as our business and marketing plans, customer lists and contracts reasonably protected, and they are accordingly not readily ascertainable by the public.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its chief operating decision maker, or CODM, in deciding how to allocate resources to an individual segment and in assessing performance. Our CODM is our Chief Executive Officer. We have determined that we operate in one operating segment and one reportable segment, as our CODM reviews financial information presented on an aggregate basis for purposes of making operating decisions, allocating resources, and evaluating financial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Along with our co-manufacturers, brokers, distributors and ingredients and packaging suppliers, we are subject to extensive laws and regulations in the United States by federal, state and local government authorities. In the United States, the primary federal agencies governing the manufacture, distribution, labeling and advertising of our products are the U.S. Food and Drug Administration, or FDA, and the U.S. Federal Trade Commission, or FTC. Under various federal statutes and implementing regulations, these agencies, among other things, prescribe the requirements and establish the standards for quality and safety and regulate our product composition, manufacturing, labeling and other marketing and advertising to consumers. Among other things, the facilities in which our products and ingredients are manufactured must register with the FDA, comply with current good manufacturing practices, or GMPs and comply with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82" w:right="259" w:bottom="1440" w:gutter="0" w:footer="0" w:header="0"/>
        </w:sectPr>
      </w:pPr>
    </w:p>
    <w:bookmarkStart w:id="99" w:name="page100"/>
    <w:bookmarkEnd w:id="99"/>
    <w:p>
      <w:pPr>
        <w:ind w:right="100"/>
        <w:spacing w:after="0" w:line="252" w:lineRule="auto"/>
        <w:rPr>
          <w:sz w:val="20"/>
          <w:szCs w:val="20"/>
          <w:color w:val="auto"/>
        </w:rPr>
      </w:pPr>
      <w:r>
        <w:rPr>
          <w:rFonts w:ascii="Arial" w:cs="Arial" w:eastAsia="Arial" w:hAnsi="Arial"/>
          <w:sz w:val="18"/>
          <w:szCs w:val="18"/>
          <w:color w:val="auto"/>
        </w:rPr>
        <w:t>a range of food safety requirements established by and implemented under the Food Safety Modernization Act of 2011. The FDA has the authority to inspect these facilities to evaluate compliance with these requirements. The FDA also requires that certain nutrition and product information appear on our product labels and, more generally, that our labels and labeling be truthful and non-misleading. Similarly, the FTC requires that our marketing and advertising be truthful, non-misleading and not deceptive to consumers. We are also restricted from making certain types of claims about our products, including nutrient content claims, health claims, and claims regarding the effects of our products on any structure or function of the body, whether express or implied, unless we satisfy certain regulatory requirements.</w:t>
      </w:r>
    </w:p>
    <w:p>
      <w:pPr>
        <w:spacing w:after="0" w:line="15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the U.S. Department of Agriculture, or USDA, regulates certain categories of food products, including meat and poultry products. Although our plant-based products are not currently regulated by the USDA, in February 2018, the agency received a petition from industry requesting that it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w:t>
      </w:r>
    </w:p>
    <w:p>
      <w:pPr>
        <w:spacing w:after="0" w:line="15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addition to federal regulatory requirements in the United States, certain states impose their own manufacturing and labeling requirements. For example, every state in which our products are manufactured requires facility registration with the relevant state food safety agency, and those facilities are subject to state inspection as well as federal inspection. Further, states can impose state-specific labeling requirements. For example, in 2018, the state of Missouri passed a law that prohibits any person engaged in advertising, offering for sale, or sale of food products from misrepresenting products as meat that are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Missouri law. We believe that our products are manufactured and labeled in material compliance with all relevant state requirements, including the recent Missouri law, and pay close attention to any developments at the state or federal level that could apply to our products and our labeling claims.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subject to the laws of Australia, Canada, Hong Kong, Israel and the United Kingdom.</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are subject to labor and employment laws, laws governing advertising, privacy laws, safety regulations and other laws, including consumer protection regulations that regulate retailers or govern the promotion and sale of merchandise. Our operations, and those of our co-manufacturers, distributors and suppliers, are subject to various laws and regulations relating to environmental protection and worker health and safety matters. We monitor changes in these laws and believe that we are in material compliance with applicable laws.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Agreements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entered into a one-year supply agreement with Roquette America, Inc., or Roquette, which provides us with pea protein sourced from yellow peas from Canada and France. The agreement expires on December 31, 2019. This agreement increases the amount of pea protein to be supplied by Roquette in 2019 compared to a previous agreement with Roquette which was superseded by this new agreement. The pea protein obtained pursuant to the supply agreement is obtained on a purchase order basis regularly, per fairly equal quantities, throughout the term. Roquette is not obligated to supply us with pea protein in amounts in excess of the regular spread by month of the total minimum quantity required to be purchased by us. We have the right to cancel purchase orders if we provide timely written notice; however, the total annual amount purchased must be at least the minimum amount specified in the agreement. We also have the right to be indemnified by Roquette in certain circumstances. Roquette is located in France and ships the pea protein to an intermediary storage facility in Chicago, Illinois.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382" w:right="259" w:bottom="1440" w:gutter="0" w:footer="0" w:header="0"/>
        </w:sectPr>
      </w:pPr>
    </w:p>
    <w:bookmarkStart w:id="100" w:name="page101"/>
    <w:bookmarkEnd w:id="100"/>
    <w:p>
      <w:pPr>
        <w:ind w:right="40" w:firstLine="324"/>
        <w:spacing w:after="0" w:line="253" w:lineRule="auto"/>
        <w:rPr>
          <w:sz w:val="20"/>
          <w:szCs w:val="20"/>
          <w:color w:val="auto"/>
        </w:rPr>
      </w:pPr>
      <w:r>
        <w:rPr>
          <w:rFonts w:ascii="Arial" w:cs="Arial" w:eastAsia="Arial" w:hAnsi="Arial"/>
          <w:sz w:val="18"/>
          <w:szCs w:val="18"/>
          <w:color w:val="auto"/>
        </w:rPr>
        <w:t>We have a three-year supply agreement with PURIS Proteins, LLC, or Puris, under which we may purchase domestically sourced pea protein. The agreement expires on December 31, 2021. We obtain protein under the supply agreement on a purchase order basis. We have the right to cancel purchase orders if we provide timely written notice; however, the total amount purchased in each year must be at least either the minimum volume specified for that year in the agreement or an amount based on a formula. We also have the right to be indemnified by Puris and must indemnify Puris in certain circumstances.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and other claims cannot be predicted with certainty, management does not believe the ultimate resolution of the current matters will have a material adverse effect on our business, financial condition, results of operations or cash flows.</w:t>
      </w:r>
    </w:p>
    <w:p>
      <w:pPr>
        <w:spacing w:after="0" w:line="148"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our decision to terminate an exclusive supply agreement between us and Don Lee Farms. We deny all of these claims and filed counterclaims on July 27, 2017, alleging breach of contract, unfair competition under the California Business and Professions Code and conversion.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15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Don Lee Farms is seeking from Beyond Meat and ProPortion unspecified compensatory and punitive damages, declaratory and injunctive relief, including the prohibition of Beyond Meat’s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 We are currently in the process of litigating this matter and intend to vigorously defend ourselves against the claims.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Based on our current knowledge, we have determined that the amount of any material loss or range of any losses that is reasonably possible to result from this lawsuit is not estimable.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82"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June 29, 2019.</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Age</w:t>
            </w:r>
          </w:p>
        </w:tc>
        <w:tc>
          <w:tcPr>
            <w:tcW w:w="120" w:type="dxa"/>
            <w:vAlign w:val="bottom"/>
            <w:tcBorders>
              <w:bottom w:val="single" w:sz="8" w:color="CCEEFF"/>
            </w:tcBorders>
          </w:tcPr>
          <w:p>
            <w:pPr>
              <w:spacing w:after="0"/>
              <w:rPr>
                <w:sz w:val="19"/>
                <w:szCs w:val="19"/>
                <w:color w:val="auto"/>
              </w:rPr>
            </w:pPr>
          </w:p>
        </w:tc>
        <w:tc>
          <w:tcPr>
            <w:tcW w:w="6260" w:type="dxa"/>
            <w:vAlign w:val="bottom"/>
            <w:tcBorders>
              <w:bottom w:val="single" w:sz="8" w:color="auto"/>
            </w:tcBorders>
          </w:tcPr>
          <w:p>
            <w:pPr>
              <w:ind w:left="2800"/>
              <w:spacing w:after="0"/>
              <w:rPr>
                <w:sz w:val="20"/>
                <w:szCs w:val="20"/>
                <w:color w:val="auto"/>
              </w:rPr>
            </w:pPr>
            <w:r>
              <w:rPr>
                <w:rFonts w:ascii="Arial" w:cs="Arial" w:eastAsia="Arial" w:hAnsi="Arial"/>
                <w:sz w:val="16"/>
                <w:szCs w:val="16"/>
                <w:b w:val="1"/>
                <w:bCs w:val="1"/>
                <w:color w:val="auto"/>
              </w:rPr>
              <w:t>Position</w:t>
            </w:r>
          </w:p>
        </w:tc>
      </w:tr>
      <w:tr>
        <w:trPr>
          <w:trHeight w:val="25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 Brown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Seth Goldman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Chair, 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J. Nelson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Charles Muth</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Growth Officer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Dariush Ajami</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Innovation Officer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Stephanie Pullings Hart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Operations</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Teri L. Witteman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32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Bohlen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59</w:t>
            </w:r>
          </w:p>
        </w:tc>
        <w:tc>
          <w:tcPr>
            <w:tcW w:w="120" w:type="dxa"/>
            <w:vAlign w:val="bottom"/>
            <w:shd w:val="clear" w:color="auto" w:fill="CCEEFF"/>
          </w:tcPr>
          <w:p>
            <w:pPr>
              <w:spacing w:after="0"/>
              <w:rPr>
                <w:sz w:val="23"/>
                <w:szCs w:val="23"/>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Diane Carhart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Raymond J. Lane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Bernhard van Lengerich, Ph.D.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Ned Segal</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Christopher Isaac Stone</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Donald Thompson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5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Kathy N. Waller</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Ethan Brown. </w:t>
      </w:r>
      <w:r>
        <w:rPr>
          <w:rFonts w:ascii="Arial" w:cs="Arial" w:eastAsia="Arial" w:hAnsi="Arial"/>
          <w:sz w:val="18"/>
          <w:szCs w:val="18"/>
          <w:color w:val="auto"/>
        </w:rPr>
        <w:t>Ethan Brown is the founder of Beyond Meat and has served as our President and Chief Executive Officer and as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board of directors since our inception in 2009. He also served as our Secretary since our inception to September 2018. Mr. Brown began his career with a focus on clean energy and the environment, serving as an energy analyst for the National Governors’ Center for Best Practices. He then joined Ballard Power Systems (NASDAQ: BLDP), a hydrogen fuel-cell company where he worked for several years, being promoted from an entry-level manager to reporting directly to the Chief Executive Officer before leaving to found Beyond Meat. Mr. Brown also created and opened a center for fuel reformation and has held several industry positions, including Vice Chairman of the Board at The National Hydrogen Association and Secretary of the United States Fuel Cell Council. He is a Henry Crown Fellow at the Aspen Institute and, along with Beyond Meat, is the recipient of the United Nation’s highest environmental accolade, Champion of the Earth (2018). Mr. Brown holds a MBA from Columbia University and an MPP with a focus on Environment from the University of Maryland. We believe Mr. Brown’s strategic vision for the company and his expertise in technology and business operations makes him qualified to serve on our board.</w:t>
      </w:r>
    </w:p>
    <w:p>
      <w:pPr>
        <w:spacing w:after="0" w:line="13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Seth Goldman. </w:t>
      </w:r>
      <w:r>
        <w:rPr>
          <w:rFonts w:ascii="Arial" w:cs="Arial" w:eastAsia="Arial" w:hAnsi="Arial"/>
          <w:sz w:val="18"/>
          <w:szCs w:val="18"/>
          <w:color w:val="auto"/>
        </w:rPr>
        <w:t>Seth Goldman joined Beyond Meat as Executive Chair and as a member of our board of directors in February 2013. Mr.</w:t>
      </w:r>
      <w:r>
        <w:rPr>
          <w:rFonts w:ascii="Arial" w:cs="Arial" w:eastAsia="Arial" w:hAnsi="Arial"/>
          <w:sz w:val="18"/>
          <w:szCs w:val="18"/>
          <w:i w:val="1"/>
          <w:iCs w:val="1"/>
          <w:color w:val="auto"/>
        </w:rPr>
        <w:t xml:space="preserve"> </w:t>
      </w:r>
      <w:r>
        <w:rPr>
          <w:rFonts w:ascii="Arial" w:cs="Arial" w:eastAsia="Arial" w:hAnsi="Arial"/>
          <w:sz w:val="18"/>
          <w:szCs w:val="18"/>
          <w:color w:val="auto"/>
        </w:rPr>
        <w:t>Goldman is also currently the TeaEO Emeritus and Innovation Catalyst for Coca-Cola Company’s Venturing &amp; Emerging Brands, a part-time position he has held since November 2015. Mr. Goldman co-founded Honest Tea Inc., a bottled organic tea company, in February 1998, which was later sold to The Coca-Cola Company, and previously served as Honest Tea’s President and TeaEO until 2015. In 2015, Mr. Goldman was named the #1 Disruptor by Beverage World, and Beverage Executive of the Year by Beverage Industry magazine. He has also been recognized as an Ernst &amp; Young Entrepreneur of the Year and the Washington DC Business Hall of Fame. In 2018, Partnership for a Healthier America recognized Mr. Goldman with its Visionary CEO award. Mr. Goldman serves on the advisory boards of Ripple Foods, a dairy-free plant-based milk company (November 2015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8" w:right="239" w:bottom="1440" w:gutter="0" w:footer="0" w:header="0"/>
        </w:sectPr>
      </w:pPr>
    </w:p>
    <w:bookmarkStart w:id="102" w:name="page103"/>
    <w:bookmarkEnd w:id="102"/>
    <w:p>
      <w:pPr>
        <w:ind w:right="20"/>
        <w:spacing w:after="0" w:line="252" w:lineRule="auto"/>
        <w:rPr>
          <w:sz w:val="20"/>
          <w:szCs w:val="20"/>
          <w:color w:val="auto"/>
        </w:rPr>
      </w:pPr>
      <w:r>
        <w:rPr>
          <w:rFonts w:ascii="Arial" w:cs="Arial" w:eastAsia="Arial" w:hAnsi="Arial"/>
          <w:sz w:val="18"/>
          <w:szCs w:val="18"/>
          <w:color w:val="auto"/>
        </w:rPr>
        <w:t>to present), the Yale School of Management (July 2013 to present), the American Beverage Association (April 2010 to present), and Bethesda Green, a local sustainability non-profit he co-founded (January 2008 to present). He has a BA degree in Government from Harvard College and a Masters of Private &amp; Public Management degree from Yale School of Management and is a Henry Crown Fellow of the Aspen Institute. We believe that Mr. Goldman is qualified to serve on our board of directors due to his extensive experience working at fast-growing brands in the food and beverage industry, his experience founding and building an entrepreneurial company and his knowledge of sustainable business practices.</w:t>
      </w:r>
    </w:p>
    <w:p>
      <w:pPr>
        <w:spacing w:after="0" w:line="13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Mark J. Nelson</w:t>
      </w:r>
      <w:r>
        <w:rPr>
          <w:rFonts w:ascii="Arial" w:cs="Arial" w:eastAsia="Arial" w:hAnsi="Arial"/>
          <w:sz w:val="18"/>
          <w:szCs w:val="18"/>
          <w:color w:val="auto"/>
        </w:rPr>
        <w:t>. Mark J. Nelson rejoined Beyond Meat as Chief Operating Officer and Chief Financial Officer in May 2017.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was also appointed Treasurer and Secretary and resigned his Chief Operating Officer position. He resigned as Secretary in May 2019. Mr. Nelson briefly served as Senior Vice President and Chief Financial Officer of Biolase (NASDAQ: BIOL), a medical device company, from March 2017 to May 2017. From February 2016 to March 2017, Mr. Nelson served as our Chief Operating Officer and Chief Financial Officer and from December 2015 to February 2016 served solely as our Chief Financial Officer. From April 2013 to November 2015, Mr. Nelson was Treasurer and Chief Financial Officer of Farmer Bros. Co. (NASDAQ: FARM), a manufacturer, wholesaler and distributor of coffee, tea, spices and culinary products. Prior to that, Mr. Nelson served as Chief Accounting Officer (April 2010 to April 2013), Vice President, Corporate Controller (June 2008 to April 2010) and Vice President and General Manager (June 2006 to May 2008) at Newport Corporation, a formerly publicly traded global supplier of advanced-technology products and systems. He also worked at Thermo Fisher (NYSE: TMO), a biotechnology product development company from June 2002 to October 2004. Mr. Nelson has a BS degree in Business Administration from the University of Massachusetts at Amherst, and an MBA degree from Babson College.</w:t>
      </w:r>
    </w:p>
    <w:p>
      <w:pPr>
        <w:spacing w:after="0" w:line="1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Charles Muth</w:t>
      </w:r>
      <w:r>
        <w:rPr>
          <w:rFonts w:ascii="Arial" w:cs="Arial" w:eastAsia="Arial" w:hAnsi="Arial"/>
          <w:sz w:val="18"/>
          <w:szCs w:val="18"/>
          <w:color w:val="auto"/>
        </w:rPr>
        <w:t>. Charles Muth joined Beyond Meat as Chief Growth Officer in May 2017. In addition to his role at Beyond Meat, Mr. Muth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on the board of directors of Bali Beverage Company LLC, a beverage company, which specializes in beverages made from mangosteen. From January 2014 to January 2017, Mr. Muth led the creation of a new entrepreneurial sales and commercial organization within the Coca-Cola Company called Venturing &amp; Emerging Brands as Senior Vice-President. From January 2010 to January 2017, Mr. Muth was Vice President of Sales at Honest Tea Inc. after its acquisition by the Coca-Cola Company. From February 2004 to January 2010, Mr. Muth was Senior Vice President of Sales and Marketing at The Philadelphia Coca-Cola Bottling Company. Mr. Muth also served as Managing Director of Seagram’s non-alcoholic mixer business from 2002 to 2004 after its acquisition by the Coca-Cola Company. Prior to the acquisition, Mr. Muth served as the Vice President and General Manager of Joseph E. Seagram &amp; Sons, Inc.’s global non-alcoholic beverages business unit from 1992 to 2002. Mr. Muth has a BS degree in Marketing and Management from Montclair State University and an MBA degree in Finance from Fairleigh Dickenson University.</w:t>
      </w:r>
    </w:p>
    <w:p>
      <w:pPr>
        <w:spacing w:after="0" w:line="13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Dariush Ajami, Ph.D. </w:t>
      </w:r>
      <w:r>
        <w:rPr>
          <w:rFonts w:ascii="Arial" w:cs="Arial" w:eastAsia="Arial" w:hAnsi="Arial"/>
          <w:sz w:val="17"/>
          <w:szCs w:val="17"/>
          <w:color w:val="auto"/>
        </w:rPr>
        <w:t>Dariush Ajami, Ph.D., joined Beyond Meat in June 2015. Since July 2018, Dr. Ajami has been Chief Innovation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Beyond Meat. He served as Director of Chemistry from June 2015 to August 2016, Director of Research from August 2016 to August 2017 and Vice President of Innovation from August 2017 to July 2018. Prior to joining Beyond Meat, Mr. Ajami was an Assistant Professor of Molecular Assembly at The Scripps Research Institute and Skaggs Institute of Chemical Biology from July 2008 to June 2015, where he worked on the fundamentals of molecular assembly, natural products and their applications in therapeutic development. Mr. Ajami has a BS degree in Chemistry from Isfahan University, Iran, a M.S. in Organic Chemistry from the Chemistry and Chemical Engineering Research Center of Iran, and a Ph.D. degree in Organic Chemistry from Technical University of Brunswick (Technische Universität Braunschweig), Germany.</w:t>
      </w:r>
    </w:p>
    <w:p>
      <w:pPr>
        <w:spacing w:after="0" w:line="11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Stephanie Pullings Hart</w:t>
      </w:r>
      <w:r>
        <w:rPr>
          <w:rFonts w:ascii="Arial" w:cs="Arial" w:eastAsia="Arial" w:hAnsi="Arial"/>
          <w:sz w:val="18"/>
          <w:szCs w:val="18"/>
          <w:color w:val="auto"/>
        </w:rPr>
        <w:t>. Stephanie Pullings Hart joined Beyond Meat as Senior Vice President, Operations in January 2018. Prior to 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role, Ms. Hart was Vice President, Technical &amp; Production for Nestlé USA’s Confections and Global Foods and Ice Cream divisions from March 2016 to January 2018. She assumed her role in Nestlé USA, a subsidiary of Nestlé SA (SWX: NESN), after a three-year assignment as the Executive Director Technical &amp; Production, Nestlé Australia Ltd. from January 2013 to March 2016. Ms. Hart also worked as the Vice President, Operations, Nestlé Nutrition –</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82" w:right="239" w:bottom="1440" w:gutter="0" w:footer="0" w:header="0"/>
        </w:sectPr>
      </w:pPr>
    </w:p>
    <w:bookmarkStart w:id="103" w:name="page104"/>
    <w:bookmarkEnd w:id="103"/>
    <w:p>
      <w:pPr>
        <w:ind w:right="140"/>
        <w:spacing w:after="0" w:line="256" w:lineRule="auto"/>
        <w:rPr>
          <w:sz w:val="20"/>
          <w:szCs w:val="20"/>
          <w:color w:val="auto"/>
        </w:rPr>
      </w:pPr>
      <w:r>
        <w:rPr>
          <w:rFonts w:ascii="Arial" w:cs="Arial" w:eastAsia="Arial" w:hAnsi="Arial"/>
          <w:sz w:val="18"/>
          <w:szCs w:val="18"/>
          <w:color w:val="auto"/>
        </w:rPr>
        <w:t>Jenny Craig from January 2010 to December 2012. Ms. Hart began her career with Nestlé in 1995 and has held roles of increasing responsibility in manufacturing, research and development and human resources. She has a BS degree in Chemical Engineering from Florida State University and an Executive MBA degree from Benedictine College.</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Teri L. Witteman</w:t>
      </w:r>
      <w:r>
        <w:rPr>
          <w:rFonts w:ascii="Arial" w:cs="Arial" w:eastAsia="Arial" w:hAnsi="Arial"/>
          <w:sz w:val="18"/>
          <w:szCs w:val="18"/>
          <w:color w:val="auto"/>
        </w:rPr>
        <w:t>. Teri L. Witteman joined Beyond Meat as General Counsel and Secretary in May 2019. Prior to her current role, Ms.</w:t>
      </w:r>
      <w:r>
        <w:rPr>
          <w:rFonts w:ascii="Arial" w:cs="Arial" w:eastAsia="Arial" w:hAnsi="Arial"/>
          <w:sz w:val="18"/>
          <w:szCs w:val="18"/>
          <w:i w:val="1"/>
          <w:iCs w:val="1"/>
          <w:color w:val="auto"/>
        </w:rPr>
        <w:t xml:space="preserve"> </w:t>
      </w:r>
      <w:r>
        <w:rPr>
          <w:rFonts w:ascii="Arial" w:cs="Arial" w:eastAsia="Arial" w:hAnsi="Arial"/>
          <w:sz w:val="18"/>
          <w:szCs w:val="18"/>
          <w:color w:val="auto"/>
        </w:rPr>
        <w:t>Witteman was a partner with Musick, Peeler &amp; Garrett LLP from April 2016 to May 2019, specializing in the areas of SEC compliance, corporate governance, and mergers and acquisitions. Before joining Musick Peeler, Ms. Witteman was an attorney with Anglin Flewelling Rasmussen Campbell &amp; Trytten LLP from September 2004 to April 2016. From December 2012 to September 2018, Ms. Witteman served as Secretary of Farmer Bros. Co. (NASDAQ: FARM), a national coffee roaster, wholesaler and distributor of coffee, tea and culinary products. Ms. Witteman began her career with Latham &amp; Watkins LLP in Los Angeles, where she focused on corporate finance and mergers and acquisitions. Ms. Witteman received a Juris Doctor, Order of the Coif, from UCLA School of Law, and a BA in Economics from the University of California, Berkeley.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Ethan Brown. </w:t>
      </w:r>
      <w:r>
        <w:rPr>
          <w:rFonts w:ascii="Arial" w:cs="Arial" w:eastAsia="Arial" w:hAnsi="Arial"/>
          <w:sz w:val="18"/>
          <w:szCs w:val="18"/>
          <w:color w:val="auto"/>
        </w:rPr>
        <w:t>Business background information regarding Mr. Brown is set forth under “Executive Officers” above.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Seth Goldman. </w:t>
      </w:r>
      <w:r>
        <w:rPr>
          <w:rFonts w:ascii="Arial" w:cs="Arial" w:eastAsia="Arial" w:hAnsi="Arial"/>
          <w:sz w:val="18"/>
          <w:szCs w:val="18"/>
          <w:color w:val="auto"/>
        </w:rPr>
        <w:t>Business background information regarding Mr. Goldman is set forth under “Executive Officers” above.</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Gregory Bohlen. </w:t>
      </w:r>
      <w:r>
        <w:rPr>
          <w:rFonts w:ascii="Arial" w:cs="Arial" w:eastAsia="Arial" w:hAnsi="Arial"/>
          <w:sz w:val="18"/>
          <w:szCs w:val="18"/>
          <w:color w:val="auto"/>
        </w:rPr>
        <w:t>Gregory Bohlen has served as a member of our board of directors since February 2013. Mr. Bohlen co-founded Union</w:t>
      </w:r>
      <w:r>
        <w:rPr>
          <w:rFonts w:ascii="Arial" w:cs="Arial" w:eastAsia="Arial" w:hAnsi="Arial"/>
          <w:sz w:val="18"/>
          <w:szCs w:val="18"/>
          <w:i w:val="1"/>
          <w:iCs w:val="1"/>
          <w:color w:val="auto"/>
        </w:rPr>
        <w:t xml:space="preserve"> </w:t>
      </w:r>
      <w:r>
        <w:rPr>
          <w:rFonts w:ascii="Arial" w:cs="Arial" w:eastAsia="Arial" w:hAnsi="Arial"/>
          <w:sz w:val="18"/>
          <w:szCs w:val="18"/>
          <w:color w:val="auto"/>
        </w:rPr>
        <w:t>Grove Venture Partners, a venture capital firm, in March 2014 and serves as a Managing Partner. Prior to that, Mr. Bohlen served as Managing Director, Venture Capital at Morgan Creek Capital Management, LLC, an investment management services company, from November 2011 to March 2014 to extend Morgan Creek’s venture exposure. From November 2002 to November 2011, Mr. Bohlen served as a managing director of Wasatch Advisors Cross Creek Fund, a venture capital firm. Mr. Bohlen’s experience and relationships in the venture capital and investment banking communities span over 30 years, and he has invested in over 50 venture-backed companies. Mr. Bohlen has a BS degree in Agricultural Economics and a MBA degree from the University of Illinois at Urbana-Champaign. We believe that Mr. Bohlen is qualified to serve on our board of directors due to his deep experience in working with entrepreneurial companies.</w:t>
      </w:r>
    </w:p>
    <w:p>
      <w:pPr>
        <w:spacing w:after="0" w:line="131"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i w:val="1"/>
          <w:iCs w:val="1"/>
          <w:color w:val="auto"/>
        </w:rPr>
        <w:t>Diane Carhart</w:t>
      </w:r>
      <w:r>
        <w:rPr>
          <w:rFonts w:ascii="Arial" w:cs="Arial" w:eastAsia="Arial" w:hAnsi="Arial"/>
          <w:sz w:val="18"/>
          <w:szCs w:val="18"/>
          <w:color w:val="auto"/>
        </w:rPr>
        <w:t>. Diane Carhart has served as a member of our board of directors since January 2016. Ms. Carhart joined Stonyfield Farm,</w:t>
      </w:r>
      <w:r>
        <w:rPr>
          <w:rFonts w:ascii="Arial" w:cs="Arial" w:eastAsia="Arial" w:hAnsi="Arial"/>
          <w:sz w:val="18"/>
          <w:szCs w:val="18"/>
          <w:i w:val="1"/>
          <w:iCs w:val="1"/>
          <w:color w:val="auto"/>
        </w:rPr>
        <w:t xml:space="preserve"> </w:t>
      </w:r>
      <w:r>
        <w:rPr>
          <w:rFonts w:ascii="Arial" w:cs="Arial" w:eastAsia="Arial" w:hAnsi="Arial"/>
          <w:sz w:val="18"/>
          <w:szCs w:val="18"/>
          <w:color w:val="auto"/>
        </w:rPr>
        <w:t>Inc., an organic yogurt maker, as Chief Financial Officer in April 1992. and also began serving as Chief Operating Officer in August 2006. Ms. Carhart has a BS degree in Accounting from the University of Connecticut and an MBA degree with a finance concentration from Boston University. We believe that Ms. Carhart is qualified to serve on our board because she has more than 40 years in accounting, finance and operations management with 26 years in the food industry.</w:t>
      </w:r>
    </w:p>
    <w:p>
      <w:pPr>
        <w:spacing w:after="0" w:line="13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Raymond J. Lane. </w:t>
      </w:r>
      <w:r>
        <w:rPr>
          <w:rFonts w:ascii="Arial" w:cs="Arial" w:eastAsia="Arial" w:hAnsi="Arial"/>
          <w:sz w:val="18"/>
          <w:szCs w:val="18"/>
          <w:color w:val="auto"/>
        </w:rPr>
        <w:t>Raymond J. Lane has served as a member of our board of directors since February 2015. Mr. Lane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at GreatPoint Ventures, a venture capital firm since March 2015. Mr. Lane has served as a Partner Emeritus and Advisor of Kleiner, Perkins, Caufield &amp; Byers LLC, a venture capital firm, since April 2013 and was a Managing Partner of Kleiner, Perkins, Caufield &amp; Byers LLC from September 2000 to April 2013. Mr. Lane has served on the board of directors of Hewlett Packard Enterprises (NYSE: HPE) from November 2015 to the present. In addition, Mr. Lane previously served as a member of the board of directors of Hewlett Packard, Inc. (NYSE: HPQ) from September 2010 to November 2015, where he also was the executive Chairman of the Board from September 2011 to April 2013 and the non-executive Chairman of the Board from November 2010 to September 2011. Prior to joining Kleiner Perkins, Mr. Lane was President and Chief Operating Officer and a director of Oracle Corporation, a software company. Mr. Lane also served as Chairman of the Board of Trustees of Carnegie Mellon University from July 2009 to July 2015. Mr. Lane holds a BS degree in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82" w:right="239" w:bottom="1440" w:gutter="0" w:footer="0" w:header="0"/>
        </w:sectPr>
      </w:pPr>
    </w:p>
    <w:bookmarkStart w:id="104" w:name="page105"/>
    <w:bookmarkEnd w:id="104"/>
    <w:p>
      <w:pPr>
        <w:ind w:right="60"/>
        <w:spacing w:after="0" w:line="262" w:lineRule="auto"/>
        <w:rPr>
          <w:sz w:val="20"/>
          <w:szCs w:val="20"/>
          <w:color w:val="auto"/>
        </w:rPr>
      </w:pPr>
      <w:r>
        <w:rPr>
          <w:rFonts w:ascii="Arial" w:cs="Arial" w:eastAsia="Arial" w:hAnsi="Arial"/>
          <w:sz w:val="18"/>
          <w:szCs w:val="18"/>
          <w:color w:val="auto"/>
        </w:rPr>
        <w:t>Mathematics and honorary Ph.D. Science from West Virginia University. We believe that Mr. Lane is qualified to serve on our board of directors due to his experience in working with entrepreneurial companies and his experience on other public company boards of directors.</w:t>
      </w:r>
    </w:p>
    <w:p>
      <w:pPr>
        <w:spacing w:after="0" w:line="1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 xml:space="preserve">Bernhard van Lengerich, Ph.D. </w:t>
      </w:r>
      <w:r>
        <w:rPr>
          <w:rFonts w:ascii="Arial" w:cs="Arial" w:eastAsia="Arial" w:hAnsi="Arial"/>
          <w:sz w:val="18"/>
          <w:szCs w:val="18"/>
          <w:color w:val="auto"/>
        </w:rPr>
        <w:t>Bernhard van Lengerich, Ph.D., has served as a member of our board of directors since November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Dr. van Lengerich joined General Mills, Inc. (NYSE: GIS), a multinational manufacturer and marketer of branded consumer food, in 1994 and was the Chief Scientific Officer and Vice President for Technology Strategy from 2007 until his retirement from General Mills in March 2015. Dr. van Lengerich is the founder of Seeding the Future Foundation, a 501c(3) organization focusing on food security in sub-Saharan Africa. He also founded Food System Strategies, LLC in 2015, pursuant to which he provides strategic advisory services to companies along the food value chain. Dr. van Lengerich served as our interim Chief Technical Officer and head of Research, Development and Innovation from February 2016 to February 2017 and has provided advisory services to us pursuant to an advisor agreement with Food System Strategies, LLC since October 2015. At General Mills, he led the development of key enabling capabilities resulting in both, new product innovations driving top line growth and major productivity benefits for General Mills’ Holistic Margin Management program. He also led a new Game Changer program and created a novel “Cashless Venturing” initiative, enabling faster and more disruptive innovations. Dr. van Lengerich is inventor/co-inventor of over 150 national and international patents and patent applications and he is an IFT Fellow. He has MS and Ph.D. degrees in Food and Biotechnology from the Technical University of Berlin, which awarded him an Honorarium Professorship and where he also teaches Extrusion Processing. We believe that Dr. van Lengerich is qualified to serve on our board of directors due to his experience in the food industry and strong food science and technology background.</w:t>
      </w:r>
    </w:p>
    <w:p>
      <w:pPr>
        <w:spacing w:after="0" w:line="13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Ned Segal</w:t>
      </w:r>
      <w:r>
        <w:rPr>
          <w:rFonts w:ascii="Arial" w:cs="Arial" w:eastAsia="Arial" w:hAnsi="Arial"/>
          <w:sz w:val="18"/>
          <w:szCs w:val="18"/>
          <w:color w:val="auto"/>
        </w:rPr>
        <w:t>. Ned Segal has served as a member of our board of directors since November 2018. Mr. Segal has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Twitter Inc. (NYSE: TWTR) since August 2017. From January 2015 to August 2017, Mr. Segal served as Senior Vice President of Finance of Intuit Inc. (NASDAQ: INTU), a small business and financial software company. From April 2013 to January 2015, Mr. Segal served as Chief Financial Officer of RPX Corporation, a former publicly traded company that provides patent risk management and discovery services. From 1996 to April 2013, Mr. Segal held various positions at The Goldman Sachs Group, Inc. (NYSE: GS), most recently as Head of Global Software Investment Banking. Mr. Segal holds a BS degree in Spanish from Georgetown University. We believe that Mr. Segal is qualified to serve on our board because of his experience in finance at a number of major public companies.</w:t>
      </w:r>
    </w:p>
    <w:p>
      <w:pPr>
        <w:spacing w:after="0" w:line="135"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i w:val="1"/>
          <w:iCs w:val="1"/>
          <w:color w:val="auto"/>
        </w:rPr>
        <w:t xml:space="preserve">Christopher Isaac “Biz” Stone. </w:t>
      </w:r>
      <w:r>
        <w:rPr>
          <w:rFonts w:ascii="Arial" w:cs="Arial" w:eastAsia="Arial" w:hAnsi="Arial"/>
          <w:sz w:val="18"/>
          <w:szCs w:val="18"/>
          <w:color w:val="auto"/>
        </w:rPr>
        <w:t>Christopher Isaac “Biz” Stone has served as a member of our board of directors since January 2012. Mr.</w:t>
      </w:r>
      <w:r>
        <w:rPr>
          <w:rFonts w:ascii="Arial" w:cs="Arial" w:eastAsia="Arial" w:hAnsi="Arial"/>
          <w:sz w:val="18"/>
          <w:szCs w:val="18"/>
          <w:i w:val="1"/>
          <w:iCs w:val="1"/>
          <w:color w:val="auto"/>
        </w:rPr>
        <w:t xml:space="preserve"> </w:t>
      </w:r>
      <w:r>
        <w:rPr>
          <w:rFonts w:ascii="Arial" w:cs="Arial" w:eastAsia="Arial" w:hAnsi="Arial"/>
          <w:sz w:val="18"/>
          <w:szCs w:val="18"/>
          <w:color w:val="auto"/>
        </w:rPr>
        <w:t>Stone is a Co-founder of Twitter, Inc. (NYSE: TWTR) where he has served as Creative Director since 2006 with a hiatus as Advisor between 2012 and 2017. Mr. Stone was the Co-Founder and Chief Executive Officer at Jelly Industries, Inc. from January 2013 to March 2017. Biz served as Special Advisor to the founders of Pinterest from March 2017 to March 2018, has been a Visiting Fellow at Oxford University since August 2015, has served as an advisor to The Global AI Council since August 2018 and is an active angel investor in companies such as Slack, Square, and Intercom. In addition to Twitter, Inc., Mr. Stone co-founded A Medium Corporation in January 2012, which provides an online publishing platform and has served as a member of its Board of Directors since January 2012 and as Creative Director from February 2012 to April 2013. He was also Chairman of the Board of Polaroid Swing, Inc. from July 2016 to November 2017 and was an independent director of Workpop, Inc. from September 2014 until May 2017. His honors include Inc. magazine’s Entrepreneur of the Decade, TIME magazine’s 100 Most Influential People in the World, GQ magazine’s Nerd of the Year and The Economist’s “Innovation Award.” We believe that Mr. Stone is qualified to serve on our board of directors due to his extensive experience in working with entrepreneurial companies.</w:t>
      </w:r>
    </w:p>
    <w:p>
      <w:pPr>
        <w:spacing w:after="0" w:line="139" w:lineRule="exact"/>
        <w:rPr>
          <w:sz w:val="20"/>
          <w:szCs w:val="20"/>
          <w:color w:val="auto"/>
        </w:rPr>
      </w:pPr>
    </w:p>
    <w:p>
      <w:pPr>
        <w:ind w:right="260" w:firstLine="324"/>
        <w:spacing w:after="0" w:line="266" w:lineRule="auto"/>
        <w:rPr>
          <w:sz w:val="20"/>
          <w:szCs w:val="20"/>
          <w:color w:val="auto"/>
        </w:rPr>
      </w:pPr>
      <w:r>
        <w:rPr>
          <w:rFonts w:ascii="Arial" w:cs="Arial" w:eastAsia="Arial" w:hAnsi="Arial"/>
          <w:sz w:val="18"/>
          <w:szCs w:val="18"/>
          <w:i w:val="1"/>
          <w:iCs w:val="1"/>
          <w:color w:val="auto"/>
        </w:rPr>
        <w:t xml:space="preserve">Donald Thompson. </w:t>
      </w:r>
      <w:r>
        <w:rPr>
          <w:rFonts w:ascii="Arial" w:cs="Arial" w:eastAsia="Arial" w:hAnsi="Arial"/>
          <w:sz w:val="18"/>
          <w:szCs w:val="18"/>
          <w:color w:val="auto"/>
        </w:rPr>
        <w:t>Donald Thompson has served as a member of our board of directors since October 2015. Mr. Thompson is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Founder and Chief Executive Officer of Cleveland Avenue, LLC, which he founded in 2015. Mr. Thompson served as Chief Executive Officer and President of McDonald’s Corp. (NYSE: MCD) from July 2012 to March 2015 and as Chief Operating Officer of McDonald’s Corp.</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82" w:right="239" w:bottom="1440" w:gutter="0" w:footer="0" w:header="0"/>
        </w:sectPr>
      </w:pPr>
    </w:p>
    <w:bookmarkStart w:id="105" w:name="page106"/>
    <w:bookmarkEnd w:id="105"/>
    <w:p>
      <w:pPr>
        <w:spacing w:after="0" w:line="251" w:lineRule="auto"/>
        <w:rPr>
          <w:sz w:val="20"/>
          <w:szCs w:val="20"/>
          <w:color w:val="auto"/>
        </w:rPr>
      </w:pPr>
      <w:r>
        <w:rPr>
          <w:rFonts w:ascii="Arial" w:cs="Arial" w:eastAsia="Arial" w:hAnsi="Arial"/>
          <w:sz w:val="18"/>
          <w:szCs w:val="18"/>
          <w:color w:val="auto"/>
        </w:rPr>
        <w:t>from January 2010 to June 2012. Mr. Thompson has been a member of the board of directors of Northern Trust Corporation (NASDAQ: NTRS), a financial services company, since March 2015 and has been a member of the board of directors of Royal Caribbean Cruises Ltd. (NYSE: RCL), a global cruise company, since May 2015. Mr. Thompson has been a member of the Advisory Board of DocuSign, Inc. (NASDAQ: DOCU), an electronic signature technology company, since February 2016. He serves on the Board of Trustees of Northwestern Memorial Hospital, Cleveland Avenue Foundation for Education and Purdue University (July 2009 to present). Mr. Thompson served as a member of the board of directors of McDonald’s Corp. from January 2011 to March 2015 and as a member of the board of directors of Exelon Corporation (NYSE: EXC), an energy company, from May 2007 to April 2013. Mr. Thompson has a BS degree in Electrical Engineering from Purdue University and a Doctor of Science degree from Excelsior College in Albany, New York. We believe that Mr. Thompson is qualified to serve on our board of directors due to his experience in the food industry and his experience on other public company boards of directors.</w:t>
      </w:r>
    </w:p>
    <w:p>
      <w:pPr>
        <w:spacing w:after="0" w:line="14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Kathy N. Waller</w:t>
      </w:r>
      <w:r>
        <w:rPr>
          <w:rFonts w:ascii="Arial" w:cs="Arial" w:eastAsia="Arial" w:hAnsi="Arial"/>
          <w:sz w:val="18"/>
          <w:szCs w:val="18"/>
          <w:color w:val="auto"/>
        </w:rPr>
        <w:t>. Kathy N. Waller has served as a member of our board of directors since November 2018. Before her retirement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2019, Ms. Waller was Executive Vice President, Chief Financial Officer and President, Enabling Services of The Coca-Cola Company (NYSE: KO). Ms. Waller joined The Coca-Cola Company in 1987 as a senior accountant in the Accounting Research Department and has served in a number of accounting and finance roles of increasing responsibility. From July 2004 to August 2009, Ms. Waller served as Chief of Internal Audit. In December 2005, she was elected Vice President of The Coca-Cola Company, and in August 2009, she was elected Controller. In August 2013, she became Vice President, Finance and Controller, assuming additional responsibilities for corporate treasury, corporate tax and finance capabilities, and served in that position until April 2014, when she was appointed Chief Financial Officer and elected Executive Vice President. Ms. Waller assumed expanded responsibility for The Coca-Cola Company's strategic governance areas when she was also appointed to serve as President, Enabling Services, on May 1, 2017. Ms. Waller joined the board of directors of CGI, Group. Inc. in December 2018 and serves on its Audit Committee. She received a BA degree from the University of Rochester in New York and a MBA degree from the William E. Simon School of Business Administration at the University of Rochester, and is a CPA. We believe that Ms. Waller is qualified to serve on our board because she has more than 30 years of experience in accounting and finance at a major public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Composition</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Our board of directors consists of ten members. In addition, the number of directors is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with staggered three-year terms. Only one class of directors will be elected at each annual meeting of stockholders, with the other classes continuing for the remainder of their respective three-year terms. Our current directors are divided among the three classes as follows:</w:t>
      </w:r>
    </w:p>
    <w:p>
      <w:pPr>
        <w:spacing w:after="0" w:line="148" w:lineRule="exact"/>
        <w:rPr>
          <w:sz w:val="20"/>
          <w:szCs w:val="20"/>
          <w:color w:val="auto"/>
        </w:rPr>
      </w:pPr>
    </w:p>
    <w:p>
      <w:pPr>
        <w:ind w:left="660" w:right="340" w:hanging="328"/>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Class I directors are Seth Goldman, Christopher Isaac “Biz” Stone and Kathy N. Waller, and their terms will expire at the annual meeting of stockholders to be held in 2020;</w:t>
      </w:r>
    </w:p>
    <w:p>
      <w:pPr>
        <w:spacing w:after="0" w:line="142"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Class II directors are Gregory Bohlen, Bernhard van Lengerich and Donald Thompson, and their terms will expire at the annual meeting of stockholders to be held in 2021; and</w:t>
      </w:r>
    </w:p>
    <w:p>
      <w:pPr>
        <w:spacing w:after="0" w:line="142"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Class III directors are Ethan Brown, Diane Carhart, Raymond J. Lane and Ned Segal, and their terms will expire at the annual meeting of stockholders to be held in 2022.</w:t>
      </w:r>
    </w:p>
    <w:p>
      <w:pPr>
        <w:spacing w:after="0" w:line="14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82" w:right="239" w:bottom="1440" w:gutter="0" w:footer="0" w:header="0"/>
        </w:sectPr>
      </w:pPr>
    </w:p>
    <w:bookmarkStart w:id="106" w:name="page107"/>
    <w:bookmarkEnd w:id="106"/>
    <w:p>
      <w:pPr>
        <w:jc w:val="both"/>
        <w:ind w:right="20"/>
        <w:spacing w:after="0" w:line="256" w:lineRule="auto"/>
        <w:rPr>
          <w:sz w:val="20"/>
          <w:szCs w:val="20"/>
          <w:color w:val="auto"/>
        </w:rPr>
      </w:pPr>
      <w:r>
        <w:rPr>
          <w:rFonts w:ascii="Arial" w:cs="Arial" w:eastAsia="Arial" w:hAnsi="Arial"/>
          <w:sz w:val="18"/>
          <w:szCs w:val="18"/>
          <w:color w:val="auto"/>
        </w:rPr>
        <w:t>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common stock is listed on the Nasdaq Global Select Market, or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with that listed company.</w:t>
      </w:r>
    </w:p>
    <w:p>
      <w:pPr>
        <w:spacing w:after="0" w:line="1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or (2) be an affiliated person of the listed company or any of its subsidiaries.</w:t>
      </w:r>
    </w:p>
    <w:p>
      <w:pPr>
        <w:spacing w:after="0" w:line="15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5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each of Messrs. Bohlen, Lane, Stone, Thompson and Segal and Mses. Carhart and Waller do not have relationships that would interfere with the exercise of independent judgment in carrying out the responsibilities of a director and that each of these directors is “independent” as that term is defined under the applicable rules of the SEC and the listing standards of Nasdaq. Ethan Brown, Seth Goldman and Bernhard van Lengerich are not independent under Nasdaq’s independence standards.</w:t>
      </w:r>
    </w:p>
    <w:p>
      <w:pPr>
        <w:spacing w:after="0" w:line="1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382" w:right="2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board of directors has no set policy with respect to the separation of the offices of Executive Chair and Chief Executive Officer. Currently, Seth Goldman serves as Executive Chair and Chairman of the Board and Ethan Brown serves as Chief Executive Officer. Raymond J. Lane serves as our lead independent director. The board of directors believes that this overall structure of a separate Chairman of the Board and Chief Executive Officer, combined with a lead independent director, results in an effective balancing of responsibilities, experience and independent perspectives that meets the current corporate governance needs and oversight responsibilities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One of the key functions of our board of directors is to oversee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assesses and monitors whether any of our compensation policies and programs has the potential to encourage excessive risk-taking.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 Copies of the charters for each committee are available on the investor relations portion of our website at www.beyondmeat.com. Members serve on these committees until their resignations or removal. The inclusion of our website in this prospectus does not include or incorporate by reference the information on our website into this prospectus.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audit committee consists of Diane Carhart, Ned Segal and Kathy N. Waller, each of whom will meet the requirements for independence under the listing standards of Nasdaq and SEC rules and regulations. Kathy N. Waller is the chair of our audit committee and Mr. Segal and Ms. Waller are “audit committee financial experts” as such term is defined under the SEC rules implementing SOX Section 407. Our audit committee is responsible for, among other things:</w:t>
      </w:r>
    </w:p>
    <w:p>
      <w:pPr>
        <w:spacing w:after="0" w:line="15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helping to ensure the independence and overseeing performance of the independent registered public accounting firm;</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internal accounting controls, or audit matters;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68" w:right="239" w:bottom="1440" w:gutter="0" w:footer="0" w:header="0"/>
        </w:sectPr>
      </w:pPr>
    </w:p>
    <w:bookmarkStart w:id="108" w:name="page109"/>
    <w:bookmarkEnd w:id="108"/>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compliance with our code of business conduct and ethics;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related-party transactions; and</w:t>
      </w:r>
    </w:p>
    <w:p>
      <w:pPr>
        <w:spacing w:after="0" w:line="171"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(other than de minimis non-audit services) to be performed by the independent registered public accounting firm.</w:t>
      </w:r>
    </w:p>
    <w:p>
      <w:pPr>
        <w:spacing w:after="0" w:line="142" w:lineRule="exact"/>
        <w:rPr>
          <w:sz w:val="20"/>
          <w:szCs w:val="20"/>
          <w:color w:val="auto"/>
        </w:rPr>
      </w:pPr>
    </w:p>
    <w:p>
      <w:pPr>
        <w:ind w:right="860" w:firstLine="324"/>
        <w:spacing w:after="0" w:line="262" w:lineRule="auto"/>
        <w:rPr>
          <w:sz w:val="20"/>
          <w:szCs w:val="20"/>
          <w:color w:val="auto"/>
        </w:rPr>
      </w:pPr>
      <w:r>
        <w:rPr>
          <w:rFonts w:ascii="Arial" w:cs="Arial" w:eastAsia="Arial" w:hAnsi="Arial"/>
          <w:sz w:val="18"/>
          <w:szCs w:val="18"/>
          <w:color w:val="auto"/>
        </w:rPr>
        <w:t>Our audit committee operates under a written charter, which satisfies the applicable rules of the SEC and the listing standards of Nasdaq and is available on our website at www.beyondmeat.com.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compensation committee consists of Raymond J. Lane and Donald Thompson, each of whom meet the requirements for independence under the listing standards of Nasdaq and SEC rules and regulations. In addition, each member of our compensation committee is also a non-employee director, as defined pursuant to Rule 16b-3 of the Exchange Act. Mr. Thompson is the chair of our compensation committee. The compensation committee is responsible for, among other things:</w:t>
      </w:r>
    </w:p>
    <w:p>
      <w:pPr>
        <w:spacing w:after="0" w:line="150" w:lineRule="exact"/>
        <w:rPr>
          <w:sz w:val="20"/>
          <w:szCs w:val="20"/>
          <w:color w:val="auto"/>
        </w:rPr>
      </w:pPr>
    </w:p>
    <w:p>
      <w:pPr>
        <w:ind w:left="660" w:right="560" w:hanging="328"/>
        <w:spacing w:after="0" w:line="262"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our board of directors regarding, the compensation of our executive officers, including our Chief Executive Officer;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administering our equity compensation plans and agreements with our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approving and administering incentive compensation and equity compensation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our overall compensation philosophy;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making recommendations regarding non-employee director compensation to our full board of directors.</w:t>
      </w:r>
    </w:p>
    <w:p>
      <w:pPr>
        <w:spacing w:after="0" w:line="1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compensation committee operates under a written charter, which satisfies the applicable rules of the SEC and the listing standards of Nasdaq and is available on our website at www.beyondmeat.com.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ind w:firstLine="324"/>
        <w:spacing w:after="0" w:line="278" w:lineRule="auto"/>
        <w:rPr>
          <w:sz w:val="20"/>
          <w:szCs w:val="20"/>
          <w:color w:val="auto"/>
        </w:rPr>
      </w:pPr>
      <w:r>
        <w:rPr>
          <w:rFonts w:ascii="Arial" w:cs="Arial" w:eastAsia="Arial" w:hAnsi="Arial"/>
          <w:sz w:val="17"/>
          <w:szCs w:val="17"/>
          <w:color w:val="auto"/>
        </w:rPr>
        <w:t>Our nominating and corporate governance committee consists of Greg Bohlen and Christopher Stone, each of whom meets the requirements for independence under the listing standards of Nasdaq and SEC rules and regulations. Christopher Stone is the chair of our nominating and corporate governance committee. The nominating and corporate governance committee is responsible for, among other things:</w:t>
      </w:r>
    </w:p>
    <w:p>
      <w:pPr>
        <w:spacing w:after="0" w:line="131" w:lineRule="exact"/>
        <w:rPr>
          <w:sz w:val="20"/>
          <w:szCs w:val="20"/>
          <w:color w:val="auto"/>
        </w:rPr>
      </w:pPr>
    </w:p>
    <w:p>
      <w:pPr>
        <w:ind w:left="660" w:right="420" w:hanging="328"/>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evaluation and the performance of our board of directors and of individual directors;</w:t>
      </w:r>
    </w:p>
    <w:p>
      <w:pPr>
        <w:spacing w:after="0" w:line="171"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our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contributing to succession planning;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382" w:right="279" w:bottom="1440" w:gutter="0" w:footer="0" w:header="0"/>
        </w:sectPr>
      </w:pPr>
    </w:p>
    <w:bookmarkStart w:id="109" w:name="page110"/>
    <w:bookmarkEnd w:id="109"/>
    <w:p>
      <w:pPr>
        <w:ind w:right="160" w:firstLine="324"/>
        <w:spacing w:after="0" w:line="262" w:lineRule="auto"/>
        <w:rPr>
          <w:sz w:val="20"/>
          <w:szCs w:val="20"/>
          <w:color w:val="auto"/>
        </w:rPr>
      </w:pPr>
      <w:r>
        <w:rPr>
          <w:rFonts w:ascii="Arial" w:cs="Arial" w:eastAsia="Arial" w:hAnsi="Arial"/>
          <w:sz w:val="18"/>
          <w:szCs w:val="18"/>
          <w:color w:val="auto"/>
        </w:rPr>
        <w:t>Our nominating and corporate governance committee operates under a written charte, which satisfies the applicable rules of the SEC and the listing standards of Nasdaq and is available on our website at www.beyondmeat.com.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of directors committee performing equivalent functions or, in the absence of any such committee, the entire board of directors) of any entity that has one or more executive officers serving on our board of directors or compensation committee. Certain members of our compensation committee are affiliated with entities that purchased our preferred stock. Please see “Certain Relationships and Related-Party Transactions— Sales of Securities”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www.beyondmeat.com.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The inclusion of our website address in this prospectus does not include or incorporate by reference the information on our website into this prospectus.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93"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Historically, we have neither had a formal compensation policy for our non-employee directors, nor have we had a formal policy of reimbursing expenses incurred by our non-employee directors in connection with their board service. However, we have reimbursed our non-employee directors for travel, lodging and other reasonable expenses incurred in connection with their attendance at board of directors or committee meetings and occasionally granted stock options to our non-employee directors. Except to the limited extent described below, we did not provide our non-employee directors, in their capacities as such, with any cash, equity or other compensation in fiscal 2018.</w:t>
      </w:r>
    </w:p>
    <w:p>
      <w:pPr>
        <w:spacing w:after="0" w:line="15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The following table sets forth information regarding the compensation awarded, earned or paid for services rendered to us by our non-employee directors for fiscal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All Other</w:t>
            </w:r>
          </w:p>
        </w:tc>
        <w:tc>
          <w:tcPr>
            <w:tcW w:w="1600" w:type="dxa"/>
            <w:vAlign w:val="bottom"/>
          </w:tcPr>
          <w:p>
            <w:pPr>
              <w:ind w:left="620"/>
              <w:spacing w:after="0"/>
              <w:rPr>
                <w:sz w:val="20"/>
                <w:szCs w:val="20"/>
                <w:color w:val="auto"/>
              </w:rPr>
            </w:pPr>
            <w:r>
              <w:rPr>
                <w:rFonts w:ascii="Arial" w:cs="Arial" w:eastAsia="Arial" w:hAnsi="Arial"/>
                <w:sz w:val="16"/>
                <w:szCs w:val="16"/>
                <w:b w:val="1"/>
                <w:bCs w:val="1"/>
                <w:color w:val="auto"/>
              </w:rPr>
              <w:t>Total</w:t>
            </w:r>
          </w:p>
        </w:tc>
      </w:tr>
      <w:tr>
        <w:trPr>
          <w:trHeight w:val="180"/>
        </w:trPr>
        <w:tc>
          <w:tcPr>
            <w:tcW w:w="41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w:t>
            </w:r>
          </w:p>
        </w:tc>
        <w:tc>
          <w:tcPr>
            <w:tcW w:w="2180" w:type="dxa"/>
            <w:vAlign w:val="bottom"/>
          </w:tcPr>
          <w:p>
            <w:pPr>
              <w:spacing w:after="0"/>
              <w:rPr>
                <w:sz w:val="15"/>
                <w:szCs w:val="15"/>
                <w:color w:val="auto"/>
              </w:rPr>
            </w:pPr>
          </w:p>
        </w:tc>
        <w:tc>
          <w:tcPr>
            <w:tcW w:w="1740" w:type="dxa"/>
            <w:vAlign w:val="bottom"/>
            <w:gridSpan w:val="2"/>
          </w:tcPr>
          <w:p>
            <w:pPr>
              <w:jc w:val="center"/>
              <w:ind w:right="120"/>
              <w:spacing w:after="0" w:line="181" w:lineRule="exact"/>
              <w:rPr>
                <w:sz w:val="20"/>
                <w:szCs w:val="20"/>
                <w:color w:val="auto"/>
              </w:rPr>
            </w:pPr>
            <w:r>
              <w:rPr>
                <w:rFonts w:ascii="Arial" w:cs="Arial" w:eastAsia="Arial" w:hAnsi="Arial"/>
                <w:sz w:val="15"/>
                <w:szCs w:val="15"/>
                <w:b w:val="1"/>
                <w:bCs w:val="1"/>
                <w:color w:val="auto"/>
                <w:w w:val="99"/>
              </w:rPr>
              <w:t>Awards</w:t>
            </w:r>
            <w:r>
              <w:rPr>
                <w:rFonts w:ascii="Arial" w:cs="Arial" w:eastAsia="Arial" w:hAnsi="Arial"/>
                <w:sz w:val="20"/>
                <w:szCs w:val="20"/>
                <w:b w:val="1"/>
                <w:bCs w:val="1"/>
                <w:color w:val="auto"/>
                <w:w w:val="99"/>
                <w:vertAlign w:val="superscript"/>
              </w:rPr>
              <w:t>(1)</w:t>
            </w:r>
          </w:p>
        </w:tc>
        <w:tc>
          <w:tcPr>
            <w:tcW w:w="180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Compensation</w:t>
            </w:r>
          </w:p>
        </w:tc>
        <w:tc>
          <w:tcPr>
            <w:tcW w:w="16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(Executive Chair)</w:t>
            </w:r>
          </w:p>
        </w:tc>
        <w:tc>
          <w:tcPr>
            <w:tcW w:w="21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175,000</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175,000</w:t>
            </w:r>
          </w:p>
        </w:tc>
      </w:tr>
      <w:tr>
        <w:trPr>
          <w:trHeight w:val="26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Gregory Bohlen</w:t>
            </w:r>
          </w:p>
        </w:tc>
        <w:tc>
          <w:tcPr>
            <w:tcW w:w="218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Diane Carhart</w:t>
            </w:r>
          </w:p>
        </w:tc>
        <w:tc>
          <w:tcPr>
            <w:tcW w:w="2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6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Raymond J. Lane</w:t>
            </w:r>
          </w:p>
        </w:tc>
        <w:tc>
          <w:tcPr>
            <w:tcW w:w="2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Bernhard van Lengerich</w:t>
            </w:r>
          </w:p>
        </w:tc>
        <w:tc>
          <w:tcPr>
            <w:tcW w:w="2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120,000</w:t>
            </w:r>
            <w:r>
              <w:rPr>
                <w:rFonts w:ascii="Arial" w:cs="Arial" w:eastAsia="Arial" w:hAnsi="Arial"/>
                <w:sz w:val="21"/>
                <w:szCs w:val="21"/>
                <w:color w:val="auto"/>
                <w:w w:val="94"/>
                <w:vertAlign w:val="superscript"/>
              </w:rPr>
              <w:t>(3)</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120,000</w:t>
            </w:r>
          </w:p>
        </w:tc>
      </w:tr>
      <w:tr>
        <w:trPr>
          <w:trHeight w:val="270"/>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Michael A. Pucker</w:t>
            </w:r>
            <w:r>
              <w:rPr>
                <w:rFonts w:ascii="Arial" w:cs="Arial" w:eastAsia="Arial" w:hAnsi="Arial"/>
                <w:sz w:val="21"/>
                <w:szCs w:val="21"/>
                <w:color w:val="auto"/>
                <w:vertAlign w:val="superscript"/>
              </w:rPr>
              <w:t>(4)</w:t>
            </w:r>
          </w:p>
        </w:tc>
        <w:tc>
          <w:tcPr>
            <w:tcW w:w="2180" w:type="dxa"/>
            <w:vAlign w:val="bottom"/>
          </w:tcPr>
          <w:p>
            <w:pPr>
              <w:spacing w:after="0"/>
              <w:rPr>
                <w:sz w:val="23"/>
                <w:szCs w:val="23"/>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Ned Segal</w:t>
            </w:r>
          </w:p>
        </w:tc>
        <w:tc>
          <w:tcPr>
            <w:tcW w:w="3800" w:type="dxa"/>
            <w:vAlign w:val="bottom"/>
            <w:gridSpan w:val="2"/>
            <w:shd w:val="clear" w:color="auto" w:fill="CCEEFF"/>
          </w:tcPr>
          <w:p>
            <w:pPr>
              <w:jc w:val="center"/>
              <w:ind w:left="2090"/>
              <w:spacing w:after="0"/>
              <w:rPr>
                <w:sz w:val="20"/>
                <w:szCs w:val="20"/>
                <w:color w:val="auto"/>
              </w:rPr>
            </w:pPr>
            <w:r>
              <w:rPr>
                <w:rFonts w:ascii="Arial" w:cs="Arial" w:eastAsia="Arial" w:hAnsi="Arial"/>
                <w:sz w:val="18"/>
                <w:szCs w:val="18"/>
                <w:color w:val="auto"/>
              </w:rPr>
              <w:t>149,522</w:t>
            </w: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149,522</w:t>
            </w:r>
          </w:p>
        </w:tc>
      </w:tr>
      <w:tr>
        <w:trPr>
          <w:trHeight w:val="26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Christopher Isaac Stone</w:t>
            </w:r>
          </w:p>
        </w:tc>
        <w:tc>
          <w:tcPr>
            <w:tcW w:w="218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Donald Thompson</w:t>
            </w:r>
          </w:p>
        </w:tc>
        <w:tc>
          <w:tcPr>
            <w:tcW w:w="2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Kathy N. Waller</w:t>
            </w:r>
          </w:p>
        </w:tc>
        <w:tc>
          <w:tcPr>
            <w:tcW w:w="3800" w:type="dxa"/>
            <w:vAlign w:val="bottom"/>
            <w:gridSpan w:val="2"/>
          </w:tcPr>
          <w:p>
            <w:pPr>
              <w:jc w:val="center"/>
              <w:ind w:left="2090"/>
              <w:spacing w:after="0"/>
              <w:rPr>
                <w:sz w:val="20"/>
                <w:szCs w:val="20"/>
                <w:color w:val="auto"/>
              </w:rPr>
            </w:pPr>
            <w:r>
              <w:rPr>
                <w:rFonts w:ascii="Arial" w:cs="Arial" w:eastAsia="Arial" w:hAnsi="Arial"/>
                <w:sz w:val="18"/>
                <w:szCs w:val="18"/>
                <w:color w:val="auto"/>
              </w:rPr>
              <w:t>149,522</w:t>
            </w: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149,522</w:t>
            </w:r>
          </w:p>
        </w:tc>
      </w:tr>
      <w:tr>
        <w:trPr>
          <w:trHeight w:val="473"/>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80" w:type="dxa"/>
            <w:vAlign w:val="bottom"/>
          </w:tcPr>
          <w:p>
            <w:pPr>
              <w:jc w:val="right"/>
              <w:ind w:right="330"/>
              <w:spacing w:after="0"/>
              <w:rPr>
                <w:sz w:val="20"/>
                <w:szCs w:val="20"/>
                <w:color w:val="auto"/>
              </w:rPr>
            </w:pPr>
            <w:r>
              <w:rPr>
                <w:rFonts w:ascii="Arial" w:cs="Arial" w:eastAsia="Arial" w:hAnsi="Arial"/>
                <w:sz w:val="18"/>
                <w:szCs w:val="18"/>
                <w:color w:val="auto"/>
              </w:rPr>
              <w:t>105</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right="80" w:hanging="332"/>
        <w:spacing w:after="0" w:line="246"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stock options granted in fiscal 2018 under the 2011 Equity Incentive Plan, or the 2011 Plan, as calculated in accordance with the Financial Accounting Standards Board Accounting Standards Codification Topic 718, or FASB ASC Topic 718. These amounts reflect our accounting expense for these stock options and do not represent the actual economic value that may be realized by each applicable non-employee director. There can be no assurance that these amounts will ever be realized. The valuation assumptions we used in calculating the fair value of these stock options are set forth in Note 8 to our financial statements. As required by SEC rules, the amounts shown exclude the impact of estimated forfeitures related to service-based vesting conditions. The number of outstanding stock options held by each non-employee director as of December 31, 2018 were: Mr. Goldman (97,897), Ms. Carhart (100,005), Mr. van Lengerich (133,147), Ms. Waller (16,734) and Mr. Segal (16,734).</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amount consists of fees paid to Mr. Goldman for services performed as a consultant in fiscal 2018.</w:t>
      </w:r>
    </w:p>
    <w:p>
      <w:pPr>
        <w:spacing w:after="0" w:line="5" w:lineRule="exact"/>
        <w:rPr>
          <w:rFonts w:ascii="Arial" w:cs="Arial" w:eastAsia="Arial" w:hAnsi="Arial"/>
          <w:sz w:val="16"/>
          <w:szCs w:val="16"/>
          <w:color w:val="auto"/>
        </w:rPr>
      </w:pPr>
    </w:p>
    <w:p>
      <w:pPr>
        <w:ind w:left="340" w:right="440" w:hanging="332"/>
        <w:spacing w:after="0" w:line="246"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amount consists of fees paid to Food System Strategies, LLC that was earned for services Mr. van Lengerich performed as a consultant in fiscal 2018.</w:t>
      </w:r>
    </w:p>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Pucker resigned as one of our directors immediately prior to the effectiveness of the registration statement on Form S-1 for our IPO.</w:t>
      </w:r>
    </w:p>
    <w:p>
      <w:pPr>
        <w:spacing w:after="0" w:line="16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November 2018, our board of directors approved an outside director compensation policy under which we pay our directors who are not employees of the company, other than Seth Goldman, an annual cash retainer for service on the board of directors and an additional annual cash retainer for service on each committee on which the director is a member, which is paid quarterly in arrears. The chairman of each committee receives higher annual cash retainers for such service. The fees paid to non-employee directors for service on the board of directors and for service on each committee of the board of directors on which the director is a member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Lead Independent</w:t>
            </w:r>
          </w:p>
        </w:tc>
      </w:t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Member Annual</w:t>
            </w:r>
          </w:p>
        </w:tc>
        <w:tc>
          <w:tcPr>
            <w:tcW w:w="160" w:type="dxa"/>
            <w:vAlign w:val="bottom"/>
          </w:tcPr>
          <w:p>
            <w:pPr>
              <w:spacing w:after="0"/>
              <w:rPr>
                <w:sz w:val="16"/>
                <w:szCs w:val="16"/>
                <w:color w:val="auto"/>
              </w:rPr>
            </w:pPr>
          </w:p>
        </w:tc>
        <w:tc>
          <w:tcPr>
            <w:tcW w:w="19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Chairperson Annual</w:t>
            </w:r>
          </w:p>
        </w:tc>
        <w:tc>
          <w:tcPr>
            <w:tcW w:w="160" w:type="dxa"/>
            <w:vAlign w:val="bottom"/>
          </w:tcPr>
          <w:p>
            <w:pPr>
              <w:spacing w:after="0"/>
              <w:rPr>
                <w:sz w:val="16"/>
                <w:szCs w:val="16"/>
                <w:color w:val="auto"/>
              </w:rPr>
            </w:pPr>
          </w:p>
        </w:tc>
        <w:tc>
          <w:tcPr>
            <w:tcW w:w="1440" w:type="dxa"/>
            <w:vAlign w:val="bottom"/>
          </w:tcPr>
          <w:p>
            <w:pPr>
              <w:jc w:val="center"/>
              <w:ind w:right="96"/>
              <w:spacing w:after="0"/>
              <w:rPr>
                <w:sz w:val="20"/>
                <w:szCs w:val="20"/>
                <w:color w:val="auto"/>
              </w:rPr>
            </w:pPr>
            <w:r>
              <w:rPr>
                <w:rFonts w:ascii="Arial" w:cs="Arial" w:eastAsia="Arial" w:hAnsi="Arial"/>
                <w:sz w:val="16"/>
                <w:szCs w:val="16"/>
                <w:b w:val="1"/>
                <w:bCs w:val="1"/>
                <w:color w:val="auto"/>
              </w:rPr>
              <w:t>Director Annual</w:t>
            </w:r>
          </w:p>
        </w:tc>
      </w:tr>
      <w:tr>
        <w:trPr>
          <w:trHeight w:val="228"/>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Cash Retainer</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Cash Retainer</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6"/>
              <w:spacing w:after="0"/>
              <w:rPr>
                <w:sz w:val="20"/>
                <w:szCs w:val="20"/>
                <w:color w:val="auto"/>
              </w:rPr>
            </w:pPr>
            <w:r>
              <w:rPr>
                <w:rFonts w:ascii="Arial" w:cs="Arial" w:eastAsia="Arial" w:hAnsi="Arial"/>
                <w:sz w:val="16"/>
                <w:szCs w:val="16"/>
                <w:b w:val="1"/>
                <w:bCs w:val="1"/>
                <w:color w:val="auto"/>
              </w:rPr>
              <w:t>Cash Retainer</w:t>
            </w:r>
          </w:p>
        </w:tc>
      </w:tr>
      <w:tr>
        <w:trPr>
          <w:trHeight w:val="270"/>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48,000</w:t>
            </w:r>
          </w:p>
        </w:tc>
      </w:tr>
      <w:tr>
        <w:trPr>
          <w:trHeight w:val="263"/>
        </w:trPr>
        <w:tc>
          <w:tcPr>
            <w:tcW w:w="604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17,500</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___________________</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ind w:left="340" w:right="80" w:hanging="332"/>
        <w:spacing w:after="0" w:line="260"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annual retainer to be paid to Kathy N. Waller for her service as chairperson of the audit committee shall commence on the date of the annual meeting to be held in 2019.</w:t>
      </w:r>
    </w:p>
    <w:p>
      <w:pPr>
        <w:spacing w:after="0" w:line="13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addition, each non-employee director elected or appointed to our board of directors for the first time following the completion of our IPO will be granted two restricted stock unit awards upon the date of his or her initial election or appointment to be a non-employee director. The first restricted stock unit award has a grant date fair value of $195,000 and vests in equal monthly installments over the 3-year period following the grant date. The second restricted stock unit award will has a grant date fair value $105,000, pro-rated based on the number of full months that are expected to lapse between the non-employee director’s election or appointment to the board of directors and the next annual meeting of stockholders, and vests in equal monthly installments over the total number of full months following the grant date that are expected to lapse between the non-employee director’s election or appointment to the board of directors and the next annual meeting of stockholders.</w:t>
      </w:r>
    </w:p>
    <w:p>
      <w:pPr>
        <w:spacing w:after="0" w:line="15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Further, on the date of each annual meeting of stockholders, each director whose service as a non-employee member of the board of directors will continue will be granted a restricted stock unit award having a grant date fair value of $105,000. This restricted stock unit award will vest in equal monthly installments over the 12-month period following the grant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84" w:right="239" w:bottom="1440" w:gutter="0" w:footer="0" w:header="0"/>
        </w:sectPr>
      </w:pPr>
    </w:p>
    <w:bookmarkStart w:id="111" w:name="page112"/>
    <w:bookmarkEnd w:id="111"/>
    <w:p>
      <w:pPr>
        <w:ind w:right="20" w:firstLine="324"/>
        <w:spacing w:after="0" w:line="253" w:lineRule="auto"/>
        <w:rPr>
          <w:sz w:val="20"/>
          <w:szCs w:val="20"/>
          <w:color w:val="auto"/>
        </w:rPr>
      </w:pPr>
      <w:r>
        <w:rPr>
          <w:rFonts w:ascii="Arial" w:cs="Arial" w:eastAsia="Arial" w:hAnsi="Arial"/>
          <w:sz w:val="18"/>
          <w:szCs w:val="18"/>
          <w:color w:val="auto"/>
        </w:rPr>
        <w:t>All restricted stock unit awards granted to non-employee directors are expected to be made pursuant to the 2018 Plan and will vest pursuant to the applicable vesting schedule subject to the director providing service through each applicable vesting date; provided all such restricted stock unit awards will vest in full immediately prior to, and contingent upon, a change in control of the company if the non-employee director remains in continuous service as a member of the Board until immediately prior to the change in control. For additional information, see “Executive Compensation—Employee Benefit Plans—2018 Equity Incentive Plan.”</w:t>
      </w:r>
    </w:p>
    <w:p>
      <w:pPr>
        <w:spacing w:after="0" w:line="15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will also reimburse our non-employee directors for reasonable travel and out-of-pocket expenses incurred in connection with attending our board of director and committee meetings.</w:t>
      </w:r>
    </w:p>
    <w:p>
      <w:pPr>
        <w:spacing w:after="0" w:line="142"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The outside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Arrangements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entered into a consulting agreement with Seth Goldman on March 2, 2016, which was amended and restated on November 15, 2018 and amended on April 8, 2019. Pursuant to the consulting agreement, as amended, we have agreed to pay Mr. Goldman $20,210.33 per month for services rendered under the consulting agreement and, on the date of each annual meeting of the company’s stockholders after which Mr. Goldman’s non-employee service on the board of directors will continue, we have agreed to grant Mr. Goldman a restricted stock unit award under the 2018 Plan having a grant date fair value of $105,000. Each restricted stock unit grant will vest based on continued service in equal monthly installments over the 12-month period following the grant date, provided it will vest in full immediately prior to, and contingent upon, a change in control of the company. For additional information, see “Executive Compensation—Employee Benefit Plans—2018 Equity Incentive Plan.”</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consulting agreement may be terminated by either party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April 2019, our board of directors approved an option grant to purchase 100,000 shares of our common stock and an option grant to purchase 5,000 shares of our common stock to Mr. Goldman, in each case which became effective upon the effectiveness of the registration statement for our IPO. The exercise price per share was equal to the initial public offering price of our common stock in the IPO. The options vest over four years, with 25% vesting on the one year anniversary date of the effectiveness of the registration statement for the IPO, subject to Mr. Goldman’s continued service through the applicable vesting date.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first entered into an advisor agreement with Food System Strategies, LLC in October 2015. Bernhard van Lengerich, Ph.D. is the Chief Executive Officer of Food System Strategies, LLC. Pursuant to this advisor agreement, we paid Food System Strategies, LLC $4,000 for each day that Dr. van Lengerich provided services to us. In February 2016, we entered into a new advisor agreement with Food System Strategies, LLC, which superseded the original agreement, and provided for a $25,000 monthly retainer and a non-qualified stock option covering 798,848 shares, which vests in equal monthly installments over three years in consideration of Dr. van Lengerich providing services as our interim Chief Technical Officer and the head of research and development, and the increased time commitment associated with these roles. In December 2016, the advisor agreement was amended to provide for a $10,000 monthly retainer to reflect the fact that Dr. van Lengerich would only be providing advisory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82" w:right="239" w:bottom="1440" w:gutter="0" w:footer="0" w:header="0"/>
        </w:sectPr>
      </w:pPr>
    </w:p>
    <w:bookmarkStart w:id="112" w:name="page113"/>
    <w:bookmarkEnd w:id="112"/>
    <w:p>
      <w:pPr>
        <w:ind w:right="320"/>
        <w:spacing w:after="0" w:line="262" w:lineRule="auto"/>
        <w:rPr>
          <w:sz w:val="20"/>
          <w:szCs w:val="20"/>
          <w:color w:val="auto"/>
        </w:rPr>
      </w:pPr>
      <w:r>
        <w:rPr>
          <w:rFonts w:ascii="Arial" w:cs="Arial" w:eastAsia="Arial" w:hAnsi="Arial"/>
          <w:sz w:val="18"/>
          <w:szCs w:val="18"/>
          <w:color w:val="auto"/>
        </w:rPr>
        <w:t>services for five to six days a month going forward. The advisor agreement may be terminated at any time upon written notice to the other party.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Agreements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60"/>
          </w:cols>
          <w:pgMar w:left="240" w:top="382" w:right="3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fiscal 2018, determined in accordance with these rules were:</w:t>
      </w:r>
    </w:p>
    <w:p>
      <w:pPr>
        <w:spacing w:after="0" w:line="171"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Ethan Brown, our President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Dariush Ajami, our Chief Innovation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Charles Muth, our Chief Growth Officer.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Although not required, we have also included in this compensation disclosure Mark J. Nelson, our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Therefore, for purposes of the disclosure set forth in this prospectus, we have included Mr. Nelson within the “named executive officer” group.</w:t>
      </w:r>
    </w:p>
    <w:p>
      <w:pPr>
        <w:spacing w:after="0" w:line="17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and arrangements summarized in this discussion.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The following table provides information regarding the compensation awarded to, earned by and paid to each of our named executive officers for the fiscal years indicated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Non-Equity</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Incentive Plan</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3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Salary</w:t>
            </w: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Option Awards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Compensation</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Compensation</w:t>
            </w:r>
          </w:p>
        </w:tc>
        <w:tc>
          <w:tcPr>
            <w:tcW w:w="136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180"/>
        </w:trPr>
        <w:tc>
          <w:tcPr>
            <w:tcW w:w="25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 and Principal Position</w:t>
            </w:r>
          </w:p>
        </w:tc>
        <w:tc>
          <w:tcPr>
            <w:tcW w:w="94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7"/>
              </w:rPr>
              <w:t>Year</w:t>
            </w:r>
          </w:p>
        </w:tc>
        <w:tc>
          <w:tcPr>
            <w:tcW w:w="1160" w:type="dxa"/>
            <w:vAlign w:val="bottom"/>
          </w:tcPr>
          <w:p>
            <w:pPr>
              <w:jc w:val="right"/>
              <w:ind w:right="392"/>
              <w:spacing w:after="0" w:line="18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380" w:type="dxa"/>
            <w:vAlign w:val="bottom"/>
          </w:tcPr>
          <w:p>
            <w:pPr>
              <w:jc w:val="right"/>
              <w:ind w:right="452"/>
              <w:spacing w:after="0" w:line="181"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5"/>
                <w:szCs w:val="15"/>
                <w:b w:val="1"/>
                <w:bCs w:val="1"/>
                <w:color w:val="auto"/>
                <w:w w:val="98"/>
              </w:rPr>
              <w:t>($)</w:t>
            </w:r>
            <w:r>
              <w:rPr>
                <w:rFonts w:ascii="Arial" w:cs="Arial" w:eastAsia="Arial" w:hAnsi="Arial"/>
                <w:sz w:val="20"/>
                <w:szCs w:val="20"/>
                <w:b w:val="1"/>
                <w:bCs w:val="1"/>
                <w:color w:val="auto"/>
                <w:w w:val="98"/>
                <w:vertAlign w:val="superscript"/>
              </w:rPr>
              <w:t>(2)</w:t>
            </w: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5"/>
                <w:szCs w:val="15"/>
                <w:color w:val="auto"/>
              </w:rPr>
            </w:pPr>
          </w:p>
        </w:tc>
        <w:tc>
          <w:tcPr>
            <w:tcW w:w="1360" w:type="dxa"/>
            <w:vAlign w:val="bottom"/>
          </w:tcPr>
          <w:p>
            <w:pPr>
              <w:jc w:val="right"/>
              <w:ind w:right="492"/>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2180" w:type="dxa"/>
            <w:vAlign w:val="bottom"/>
            <w:tcBorders>
              <w:top w:val="single" w:sz="8" w:color="auto"/>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 President 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298,750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524,244</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967,994</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288,789</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124,700</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413,489</w:t>
            </w:r>
          </w:p>
        </w:tc>
      </w:tr>
      <w:tr>
        <w:trPr>
          <w:trHeight w:val="215"/>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Dariush Ajami, Chief</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Innovation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233,450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1,225,807</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113,705</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1,572,962</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154,076</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13,669</w:t>
            </w:r>
          </w:p>
        </w:tc>
        <w:tc>
          <w:tcPr>
            <w:tcW w:w="100" w:type="dxa"/>
            <w:vAlign w:val="bottom"/>
          </w:tcPr>
          <w:p>
            <w:pPr>
              <w:spacing w:after="0"/>
              <w:rPr>
                <w:sz w:val="22"/>
                <w:szCs w:val="22"/>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37,718</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205,463</w:t>
            </w:r>
          </w:p>
        </w:tc>
      </w:tr>
      <w:tr>
        <w:trPr>
          <w:trHeight w:val="215"/>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Charles Muth, Chief Growth</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297,924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792,633</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147,504</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1,238,061</w:t>
            </w:r>
          </w:p>
        </w:tc>
      </w:tr>
      <w:tr>
        <w:trPr>
          <w:trHeight w:val="270"/>
        </w:trPr>
        <w:tc>
          <w:tcPr>
            <w:tcW w:w="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173,010</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75,067</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64,336</w:t>
            </w:r>
            <w:r>
              <w:rPr>
                <w:rFonts w:ascii="Arial" w:cs="Arial" w:eastAsia="Arial" w:hAnsi="Arial"/>
                <w:sz w:val="21"/>
                <w:szCs w:val="21"/>
                <w:color w:val="auto"/>
                <w:vertAlign w:val="superscript"/>
              </w:rPr>
              <w:t>(3)</w:t>
            </w:r>
          </w:p>
        </w:tc>
        <w:tc>
          <w:tcPr>
            <w:tcW w:w="10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312,413</w:t>
            </w:r>
          </w:p>
        </w:tc>
      </w:tr>
      <w:tr>
        <w:trPr>
          <w:trHeight w:val="209"/>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 J. Nelson, Chief</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Financial Officer and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326,666</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121,591</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162,501</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610,758</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287,336</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117,042</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404,378</w:t>
            </w:r>
          </w:p>
        </w:tc>
      </w:tr>
      <w:tr>
        <w:trPr>
          <w:trHeight w:val="191"/>
        </w:trPr>
        <w:tc>
          <w:tcPr>
            <w:tcW w:w="2220" w:type="dxa"/>
            <w:vAlign w:val="bottom"/>
            <w:gridSpan w:val="2"/>
          </w:tcPr>
          <w:p>
            <w:pPr>
              <w:spacing w:after="0"/>
              <w:rPr>
                <w:sz w:val="20"/>
                <w:szCs w:val="20"/>
                <w:color w:val="auto"/>
              </w:rPr>
            </w:pPr>
            <w:r>
              <w:rPr>
                <w:rFonts w:ascii="Arial" w:cs="Arial" w:eastAsia="Arial" w:hAnsi="Arial"/>
                <w:sz w:val="16"/>
                <w:szCs w:val="16"/>
                <w:color w:val="auto"/>
              </w:rPr>
              <w:t>___________________</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bl>
    <w:p>
      <w:pPr>
        <w:ind w:left="340" w:right="340" w:hanging="332"/>
        <w:spacing w:after="0" w:line="251"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stock options granted in fiscal 2018 under our 2011 Plan as calculated in accordance with FASB ASC Topic 718. These amounts reflect our accounting expense for these stock options and do not represent the actual economic value that may be realized by each applicable named executive officer. There can be no assurance that these amounts will ever be realized. The valuation assumptions we used in calculating the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68" w:right="239" w:bottom="1440" w:gutter="0" w:footer="0" w:header="0"/>
        </w:sectPr>
      </w:pPr>
    </w:p>
    <w:bookmarkStart w:id="114" w:name="page115"/>
    <w:bookmarkEnd w:id="114"/>
    <w:p>
      <w:pPr>
        <w:ind w:left="340" w:right="200"/>
        <w:spacing w:after="0" w:line="317" w:lineRule="auto"/>
        <w:rPr>
          <w:sz w:val="20"/>
          <w:szCs w:val="20"/>
          <w:color w:val="auto"/>
        </w:rPr>
      </w:pPr>
      <w:r>
        <w:rPr>
          <w:rFonts w:ascii="Arial" w:cs="Arial" w:eastAsia="Arial" w:hAnsi="Arial"/>
          <w:sz w:val="16"/>
          <w:szCs w:val="16"/>
          <w:color w:val="auto"/>
        </w:rPr>
        <w:t>fair value of these stock options are set forth in Note 8 to our financial statements. As required by SEC rules, the amounts shown exclude the impact of estimated forfeitures related to service-based vesting conditions.</w:t>
      </w:r>
    </w:p>
    <w:p>
      <w:pPr>
        <w:ind w:left="340" w:right="640" w:hanging="332"/>
        <w:spacing w:after="0" w:line="246"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amounts in this column reflect performance bonus awards earned by our named executive officers for fiscal 2018 and 2017 performance, as applicable.</w:t>
      </w: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amount represents a relocation assistance payment relating to closing costs on the sale of Mr. Muth’s residence.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93"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Each of our named executive officers is an at-will employee. Except as set forth below, we have not entered into any employment agreements or offer letters with our named executive officers.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Ethan Brown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January 2019, we entered into an amended and restated employment agreement with Mr. Brown. Pursuant to this agreement, Mr. Brown’s annual base salary is $500,000 and he is eligible for an annual target bonus opportunity of 50% of his base salary and certain change in control benefits. For additional information on the change in control severance benefits, see “—Change in Control Severance Agreements.”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Dariush Ajami</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Mr. Ajami’s annual base salary is $325,000. In November 2018, our compensation committee determined that Mr. Ajami will be eligible to earn an annual bonus with a target bonus for fiscal 2019 equal to 50% of his annual base salary and he will be eligible for certain change in control severance benefits. For additional information on the change in control severance benefits, see “—Change in Control Severance Agreements.”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Charles Muth</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January 2019, we entered into an amended and restated employment letter with Mr. Muth. Pursuant to this agreement, Mr. Muth’s annual base salary is $365,000, he is eligible to earn an annual bonus with a target bonus equal to 50% of his annual base salary and he is eligible to receive a severance payment equal to six months of his base salary if we terminate his employment without cause at any time. For additional information on this severance benefit, see “—Severance Agreements not in Connection with a Change in Control.”</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November 2018, our compensation committee confirmed that Mr. Muth will be eligible to earn an annual bonus with a target bonus for fiscal 2019 equal to 50% of his annual base salary and determined that he will be eligible for certain change in control severance benefits. For additional information on the change in control severance benefits, see “—Change in Control Severance Agreements.”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 J. Nelson</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Mr. Nelson’s annual base salary is $365,000. In November 2018, our compensation committee determined that Mr. Nelson will be eligible to earn an annual bonus with a target bonus for fiscal 2019 equal to 50% of his annual base salary and he will be eligible for certain change in control severance benefits. For additional information on the change in control severance benefits, see “—Change in Control Severance Agreements.”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412"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unexercised stock options held by each of our named executive officers and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Nelson as of December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Option Awards</w:t>
            </w:r>
          </w:p>
        </w:tc>
        <w:tc>
          <w:tcPr>
            <w:tcW w:w="17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Securities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Securities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Underlying</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Underlying</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Unexercised Options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Unexercised Options</w:t>
            </w:r>
          </w:p>
        </w:tc>
        <w:tc>
          <w:tcPr>
            <w:tcW w:w="1820" w:type="dxa"/>
            <w:vAlign w:val="bottom"/>
            <w:gridSpan w:val="2"/>
          </w:tcPr>
          <w:p>
            <w:pPr>
              <w:ind w:left="240"/>
              <w:spacing w:after="0"/>
              <w:rPr>
                <w:sz w:val="20"/>
                <w:szCs w:val="20"/>
                <w:color w:val="auto"/>
              </w:rPr>
            </w:pPr>
            <w:r>
              <w:rPr>
                <w:rFonts w:ascii="Arial" w:cs="Arial" w:eastAsia="Arial" w:hAnsi="Arial"/>
                <w:sz w:val="16"/>
                <w:szCs w:val="16"/>
                <w:b w:val="1"/>
                <w:bCs w:val="1"/>
                <w:color w:val="auto"/>
              </w:rPr>
              <w:t>Option Exercise</w:t>
            </w:r>
          </w:p>
        </w:tc>
        <w:tc>
          <w:tcPr>
            <w:tcW w:w="1700" w:type="dxa"/>
            <w:vAlign w:val="bottom"/>
          </w:tcPr>
          <w:p>
            <w:pPr>
              <w:jc w:val="right"/>
              <w:ind w:right="91"/>
              <w:spacing w:after="0"/>
              <w:rPr>
                <w:sz w:val="20"/>
                <w:szCs w:val="20"/>
                <w:color w:val="auto"/>
              </w:rPr>
            </w:pPr>
            <w:r>
              <w:rPr>
                <w:rFonts w:ascii="Arial" w:cs="Arial" w:eastAsia="Arial" w:hAnsi="Arial"/>
                <w:sz w:val="16"/>
                <w:szCs w:val="16"/>
                <w:b w:val="1"/>
                <w:bCs w:val="1"/>
                <w:color w:val="auto"/>
              </w:rPr>
              <w:t>Option Expiration</w:t>
            </w:r>
          </w:p>
        </w:tc>
      </w:tr>
      <w:tr>
        <w:trPr>
          <w:trHeight w:val="180"/>
        </w:trPr>
        <w:tc>
          <w:tcPr>
            <w:tcW w:w="24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w:t>
            </w:r>
          </w:p>
        </w:tc>
        <w:tc>
          <w:tcPr>
            <w:tcW w:w="1720" w:type="dxa"/>
            <w:vAlign w:val="bottom"/>
            <w:gridSpan w:val="2"/>
          </w:tcPr>
          <w:p>
            <w:pPr>
              <w:ind w:left="380"/>
              <w:spacing w:after="0" w:line="181" w:lineRule="exact"/>
              <w:rPr>
                <w:sz w:val="20"/>
                <w:szCs w:val="20"/>
                <w:color w:val="auto"/>
              </w:rPr>
            </w:pPr>
            <w:r>
              <w:rPr>
                <w:rFonts w:ascii="Arial" w:cs="Arial" w:eastAsia="Arial" w:hAnsi="Arial"/>
                <w:sz w:val="16"/>
                <w:szCs w:val="16"/>
                <w:b w:val="1"/>
                <w:bCs w:val="1"/>
                <w:color w:val="auto"/>
              </w:rPr>
              <w:t>Grant Date</w:t>
            </w:r>
          </w:p>
        </w:tc>
        <w:tc>
          <w:tcPr>
            <w:tcW w:w="1840" w:type="dxa"/>
            <w:vAlign w:val="bottom"/>
            <w:gridSpan w:val="2"/>
          </w:tcPr>
          <w:p>
            <w:pPr>
              <w:jc w:val="center"/>
              <w:ind w:right="120"/>
              <w:spacing w:after="0" w:line="181" w:lineRule="exact"/>
              <w:rPr>
                <w:sz w:val="20"/>
                <w:szCs w:val="20"/>
                <w:color w:val="auto"/>
              </w:rPr>
            </w:pPr>
            <w:r>
              <w:rPr>
                <w:rFonts w:ascii="Arial" w:cs="Arial" w:eastAsia="Arial" w:hAnsi="Arial"/>
                <w:sz w:val="15"/>
                <w:szCs w:val="15"/>
                <w:b w:val="1"/>
                <w:bCs w:val="1"/>
                <w:color w:val="auto"/>
              </w:rPr>
              <w:t>(#) Exercisable</w:t>
            </w:r>
            <w:r>
              <w:rPr>
                <w:rFonts w:ascii="Arial" w:cs="Arial" w:eastAsia="Arial" w:hAnsi="Arial"/>
                <w:sz w:val="20"/>
                <w:szCs w:val="20"/>
                <w:b w:val="1"/>
                <w:bCs w:val="1"/>
                <w:color w:val="auto"/>
                <w:vertAlign w:val="superscript"/>
              </w:rPr>
              <w:t>(1)</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5"/>
                <w:szCs w:val="15"/>
                <w:b w:val="1"/>
                <w:bCs w:val="1"/>
                <w:color w:val="auto"/>
              </w:rPr>
              <w:t>(#) Unexercisable</w:t>
            </w:r>
            <w:r>
              <w:rPr>
                <w:rFonts w:ascii="Arial" w:cs="Arial" w:eastAsia="Arial" w:hAnsi="Arial"/>
                <w:sz w:val="20"/>
                <w:szCs w:val="20"/>
                <w:b w:val="1"/>
                <w:bCs w:val="1"/>
                <w:color w:val="auto"/>
                <w:vertAlign w:val="superscript"/>
              </w:rPr>
              <w:t>(1)</w:t>
            </w:r>
          </w:p>
        </w:tc>
        <w:tc>
          <w:tcPr>
            <w:tcW w:w="1820" w:type="dxa"/>
            <w:vAlign w:val="bottom"/>
            <w:gridSpan w:val="2"/>
          </w:tcPr>
          <w:p>
            <w:pPr>
              <w:ind w:left="480"/>
              <w:spacing w:after="0" w:line="181" w:lineRule="exact"/>
              <w:rPr>
                <w:sz w:val="20"/>
                <w:szCs w:val="20"/>
                <w:color w:val="auto"/>
              </w:rPr>
            </w:pPr>
            <w:r>
              <w:rPr>
                <w:rFonts w:ascii="Arial" w:cs="Arial" w:eastAsia="Arial" w:hAnsi="Arial"/>
                <w:sz w:val="15"/>
                <w:szCs w:val="15"/>
                <w:b w:val="1"/>
                <w:bCs w:val="1"/>
                <w:color w:val="auto"/>
              </w:rPr>
              <w:t>Price ($)</w:t>
            </w:r>
            <w:r>
              <w:rPr>
                <w:rFonts w:ascii="Arial" w:cs="Arial" w:eastAsia="Arial" w:hAnsi="Arial"/>
                <w:sz w:val="20"/>
                <w:szCs w:val="20"/>
                <w:b w:val="1"/>
                <w:bCs w:val="1"/>
                <w:color w:val="auto"/>
                <w:vertAlign w:val="superscript"/>
              </w:rPr>
              <w:t>(2)</w:t>
            </w:r>
          </w:p>
        </w:tc>
        <w:tc>
          <w:tcPr>
            <w:tcW w:w="1700" w:type="dxa"/>
            <w:vAlign w:val="bottom"/>
          </w:tcPr>
          <w:p>
            <w:pPr>
              <w:jc w:val="right"/>
              <w:ind w:right="591"/>
              <w:spacing w:after="0" w:line="181" w:lineRule="exact"/>
              <w:rPr>
                <w:sz w:val="20"/>
                <w:szCs w:val="20"/>
                <w:color w:val="auto"/>
              </w:rPr>
            </w:pPr>
            <w:r>
              <w:rPr>
                <w:rFonts w:ascii="Arial" w:cs="Arial" w:eastAsia="Arial" w:hAnsi="Arial"/>
                <w:sz w:val="16"/>
                <w:szCs w:val="16"/>
                <w:b w:val="1"/>
                <w:bCs w:val="1"/>
                <w:color w:val="auto"/>
              </w:rPr>
              <w:t>Date</w:t>
            </w:r>
          </w:p>
        </w:tc>
      </w:tr>
      <w:tr>
        <w:trPr>
          <w:trHeight w:val="34"/>
        </w:trPr>
        <w:tc>
          <w:tcPr>
            <w:tcW w:w="4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8/26/2013</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202,130</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8/25/2023</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1/22/2015</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966,006</w:t>
            </w:r>
            <w:r>
              <w:rPr>
                <w:rFonts w:ascii="Arial" w:cs="Arial" w:eastAsia="Arial" w:hAnsi="Arial"/>
                <w:sz w:val="21"/>
                <w:szCs w:val="21"/>
                <w:color w:val="auto"/>
                <w:vertAlign w:val="superscript"/>
              </w:rPr>
              <w:t>(4)</w:t>
            </w:r>
          </w:p>
        </w:tc>
        <w:tc>
          <w:tcPr>
            <w:tcW w:w="120" w:type="dxa"/>
            <w:vAlign w:val="bottom"/>
          </w:tcPr>
          <w:p>
            <w:pPr>
              <w:spacing w:after="0"/>
              <w:rPr>
                <w:sz w:val="23"/>
                <w:szCs w:val="2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1/21/2025</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182,434</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119,526</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110,718</w:t>
            </w:r>
            <w:r>
              <w:rPr>
                <w:rFonts w:ascii="Arial" w:cs="Arial" w:eastAsia="Arial" w:hAnsi="Arial"/>
                <w:sz w:val="21"/>
                <w:szCs w:val="21"/>
                <w:color w:val="auto"/>
                <w:vertAlign w:val="superscript"/>
              </w:rPr>
              <w:t>(6)</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221,439</w:t>
            </w:r>
            <w:r>
              <w:rPr>
                <w:rFonts w:ascii="Arial" w:cs="Arial" w:eastAsia="Arial" w:hAnsi="Arial"/>
                <w:sz w:val="21"/>
                <w:szCs w:val="21"/>
                <w:color w:val="auto"/>
                <w:vertAlign w:val="superscript"/>
              </w:rPr>
              <w:t>(6)</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5/29/2028</w:t>
            </w: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Dariush Ajami</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6/2/2025</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5/12/2016</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2,292</w:t>
            </w:r>
            <w:r>
              <w:rPr>
                <w:rFonts w:ascii="Arial" w:cs="Arial" w:eastAsia="Arial" w:hAnsi="Arial"/>
                <w:sz w:val="21"/>
                <w:szCs w:val="21"/>
                <w:color w:val="auto"/>
                <w:vertAlign w:val="superscript"/>
              </w:rPr>
              <w:t>(8)</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1,041</w:t>
            </w:r>
            <w:r>
              <w:rPr>
                <w:rFonts w:ascii="Arial" w:cs="Arial" w:eastAsia="Arial" w:hAnsi="Arial"/>
                <w:sz w:val="21"/>
                <w:szCs w:val="21"/>
                <w:color w:val="auto"/>
                <w:vertAlign w:val="superscript"/>
              </w:rPr>
              <w:t>(8)</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5/11/2026</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r>
              <w:rPr>
                <w:rFonts w:ascii="Arial" w:cs="Arial" w:eastAsia="Arial" w:hAnsi="Arial"/>
                <w:sz w:val="21"/>
                <w:szCs w:val="21"/>
                <w:color w:val="auto"/>
                <w:vertAlign w:val="superscript"/>
              </w:rPr>
              <w:t>(9)</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r>
              <w:rPr>
                <w:rFonts w:ascii="Arial" w:cs="Arial" w:eastAsia="Arial" w:hAnsi="Arial"/>
                <w:sz w:val="21"/>
                <w:szCs w:val="21"/>
                <w:color w:val="auto"/>
                <w:vertAlign w:val="superscript"/>
              </w:rPr>
              <w:t>(9)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2/2/2017</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7,780</w:t>
            </w:r>
            <w:r>
              <w:rPr>
                <w:rFonts w:ascii="Arial" w:cs="Arial" w:eastAsia="Arial" w:hAnsi="Arial"/>
                <w:sz w:val="21"/>
                <w:szCs w:val="21"/>
                <w:color w:val="auto"/>
                <w:vertAlign w:val="superscript"/>
              </w:rPr>
              <w:t>(10)</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5,554</w:t>
            </w:r>
            <w:r>
              <w:rPr>
                <w:rFonts w:ascii="Arial" w:cs="Arial" w:eastAsia="Arial" w:hAnsi="Arial"/>
                <w:sz w:val="21"/>
                <w:szCs w:val="21"/>
                <w:color w:val="auto"/>
                <w:vertAlign w:val="superscript"/>
              </w:rPr>
              <w:t>(10)</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2/1/2027</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5/4/2017</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r>
              <w:rPr>
                <w:rFonts w:ascii="Arial" w:cs="Arial" w:eastAsia="Arial" w:hAnsi="Arial"/>
                <w:sz w:val="21"/>
                <w:szCs w:val="21"/>
                <w:color w:val="auto"/>
                <w:vertAlign w:val="superscript"/>
              </w:rPr>
              <w:t>(11)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5/1/2027</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9,514</w:t>
            </w:r>
            <w:r>
              <w:rPr>
                <w:rFonts w:ascii="Arial" w:cs="Arial" w:eastAsia="Arial" w:hAnsi="Arial"/>
                <w:sz w:val="21"/>
                <w:szCs w:val="21"/>
                <w:color w:val="auto"/>
                <w:vertAlign w:val="superscript"/>
              </w:rPr>
              <w:t>(12)</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17,343</w:t>
            </w:r>
            <w:r>
              <w:rPr>
                <w:rFonts w:ascii="Arial" w:cs="Arial" w:eastAsia="Arial" w:hAnsi="Arial"/>
                <w:sz w:val="21"/>
                <w:szCs w:val="21"/>
                <w:color w:val="auto"/>
                <w:vertAlign w:val="superscript"/>
              </w:rPr>
              <w:t>(12)</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2/14/2028</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10/24/2018</w:t>
            </w: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(13)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66,669</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10/23/2028</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11/15/2018</w:t>
            </w:r>
          </w:p>
        </w:tc>
        <w:tc>
          <w:tcPr>
            <w:tcW w:w="120" w:type="dxa"/>
            <w:vAlign w:val="bottom"/>
          </w:tcPr>
          <w:p>
            <w:pPr>
              <w:spacing w:after="0"/>
              <w:rPr>
                <w:sz w:val="23"/>
                <w:szCs w:val="23"/>
                <w:color w:val="auto"/>
              </w:rPr>
            </w:pPr>
          </w:p>
        </w:tc>
        <w:tc>
          <w:tcPr>
            <w:tcW w:w="1840" w:type="dxa"/>
            <w:vAlign w:val="bottom"/>
            <w:gridSpan w:val="2"/>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(14)</w:t>
            </w:r>
          </w:p>
        </w:tc>
        <w:tc>
          <w:tcPr>
            <w:tcW w:w="1820" w:type="dxa"/>
            <w:vAlign w:val="bottom"/>
          </w:tcPr>
          <w:p>
            <w:pPr>
              <w:jc w:val="right"/>
              <w:spacing w:after="0"/>
              <w:rPr>
                <w:sz w:val="20"/>
                <w:szCs w:val="20"/>
                <w:color w:val="auto"/>
              </w:rPr>
            </w:pPr>
            <w:r>
              <w:rPr>
                <w:rFonts w:ascii="Arial" w:cs="Arial" w:eastAsia="Arial" w:hAnsi="Arial"/>
                <w:sz w:val="18"/>
                <w:szCs w:val="18"/>
                <w:color w:val="auto"/>
              </w:rPr>
              <w:t>61,875</w:t>
            </w:r>
            <w:r>
              <w:rPr>
                <w:rFonts w:ascii="Arial" w:cs="Arial" w:eastAsia="Arial" w:hAnsi="Arial"/>
                <w:sz w:val="21"/>
                <w:szCs w:val="21"/>
                <w:color w:val="auto"/>
                <w:vertAlign w:val="superscript"/>
              </w:rPr>
              <w:t>(14)</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11/14/2028</w:t>
            </w: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Charles Muth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72,923</w:t>
            </w:r>
            <w:r>
              <w:rPr>
                <w:rFonts w:ascii="Arial" w:cs="Arial" w:eastAsia="Arial" w:hAnsi="Arial"/>
                <w:sz w:val="21"/>
                <w:szCs w:val="21"/>
                <w:color w:val="auto"/>
                <w:vertAlign w:val="superscript"/>
              </w:rPr>
              <w:t>(15)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302,095</w:t>
            </w:r>
            <w:r>
              <w:rPr>
                <w:rFonts w:ascii="Arial" w:cs="Arial" w:eastAsia="Arial" w:hAnsi="Arial"/>
                <w:sz w:val="21"/>
                <w:szCs w:val="21"/>
                <w:color w:val="auto"/>
                <w:vertAlign w:val="superscript"/>
              </w:rPr>
              <w:t>(15)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2/14/2028</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Mark J. Nelson</w:t>
            </w:r>
          </w:p>
        </w:tc>
        <w:tc>
          <w:tcPr>
            <w:tcW w:w="1600" w:type="dxa"/>
            <w:vAlign w:val="bottom"/>
          </w:tcPr>
          <w:p>
            <w:pPr>
              <w:jc w:val="right"/>
              <w:spacing w:after="0"/>
              <w:rPr>
                <w:sz w:val="20"/>
                <w:szCs w:val="20"/>
                <w:color w:val="auto"/>
              </w:rPr>
            </w:pPr>
            <w:r>
              <w:rPr>
                <w:rFonts w:ascii="Arial" w:cs="Arial" w:eastAsia="Arial" w:hAnsi="Arial"/>
                <w:sz w:val="18"/>
                <w:szCs w:val="18"/>
                <w:color w:val="auto"/>
              </w:rPr>
              <w:t>12/1/2015</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50,334</w:t>
            </w:r>
            <w:r>
              <w:rPr>
                <w:rFonts w:ascii="Arial" w:cs="Arial" w:eastAsia="Arial" w:hAnsi="Arial"/>
                <w:sz w:val="21"/>
                <w:szCs w:val="21"/>
                <w:color w:val="auto"/>
                <w:vertAlign w:val="superscript"/>
              </w:rPr>
              <w:t>(16)</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100,664</w:t>
            </w:r>
            <w:r>
              <w:rPr>
                <w:rFonts w:ascii="Arial" w:cs="Arial" w:eastAsia="Arial" w:hAnsi="Arial"/>
                <w:sz w:val="21"/>
                <w:szCs w:val="21"/>
                <w:color w:val="auto"/>
                <w:vertAlign w:val="superscript"/>
              </w:rPr>
              <w:t>(16)</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11/30/2025</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r>
              <w:rPr>
                <w:rFonts w:ascii="Arial" w:cs="Arial" w:eastAsia="Arial" w:hAnsi="Arial"/>
                <w:sz w:val="21"/>
                <w:szCs w:val="21"/>
                <w:color w:val="auto"/>
                <w:vertAlign w:val="superscript"/>
              </w:rPr>
              <w:t>(17)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31,175</w:t>
            </w:r>
            <w:r>
              <w:rPr>
                <w:rFonts w:ascii="Arial" w:cs="Arial" w:eastAsia="Arial" w:hAnsi="Arial"/>
                <w:sz w:val="21"/>
                <w:szCs w:val="21"/>
                <w:color w:val="auto"/>
                <w:vertAlign w:val="superscript"/>
              </w:rPr>
              <w:t>(17)</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19,032</w:t>
            </w:r>
            <w:r>
              <w:rPr>
                <w:rFonts w:ascii="Arial" w:cs="Arial" w:eastAsia="Arial" w:hAnsi="Arial"/>
                <w:sz w:val="21"/>
                <w:szCs w:val="21"/>
                <w:color w:val="auto"/>
                <w:vertAlign w:val="superscript"/>
              </w:rPr>
              <w:t>(18)</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44,400</w:t>
            </w:r>
            <w:r>
              <w:rPr>
                <w:rFonts w:ascii="Arial" w:cs="Arial" w:eastAsia="Arial" w:hAnsi="Arial"/>
                <w:sz w:val="21"/>
                <w:szCs w:val="21"/>
                <w:color w:val="auto"/>
                <w:vertAlign w:val="superscript"/>
              </w:rPr>
              <w:t>(18)</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r>
              <w:rPr>
                <w:rFonts w:ascii="Arial" w:cs="Arial" w:eastAsia="Arial" w:hAnsi="Arial"/>
                <w:sz w:val="21"/>
                <w:szCs w:val="21"/>
                <w:color w:val="auto"/>
                <w:vertAlign w:val="superscript"/>
              </w:rPr>
              <w:t>(19)</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r>
              <w:rPr>
                <w:rFonts w:ascii="Arial" w:cs="Arial" w:eastAsia="Arial" w:hAnsi="Arial"/>
                <w:sz w:val="21"/>
                <w:szCs w:val="21"/>
                <w:color w:val="auto"/>
                <w:vertAlign w:val="superscript"/>
              </w:rPr>
              <w:t>(19)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2"/>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25,673</w:t>
            </w:r>
            <w:r>
              <w:rPr>
                <w:rFonts w:ascii="Arial" w:cs="Arial" w:eastAsia="Arial" w:hAnsi="Arial"/>
                <w:sz w:val="21"/>
                <w:szCs w:val="21"/>
                <w:color w:val="auto"/>
                <w:vertAlign w:val="superscript"/>
              </w:rPr>
              <w:t>(20)</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51,354</w:t>
            </w:r>
            <w:r>
              <w:rPr>
                <w:rFonts w:ascii="Arial" w:cs="Arial" w:eastAsia="Arial" w:hAnsi="Arial"/>
                <w:sz w:val="21"/>
                <w:szCs w:val="21"/>
                <w:color w:val="auto"/>
                <w:vertAlign w:val="superscript"/>
              </w:rPr>
              <w:t>(20)</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5/29/2028</w:t>
            </w:r>
          </w:p>
        </w:tc>
      </w:tr>
      <w:tr>
        <w:trPr>
          <w:trHeight w:val="189"/>
        </w:trPr>
        <w:tc>
          <w:tcPr>
            <w:tcW w:w="242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awards were granted under our 2011 Plan.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column represents the fair market value of a share of our common stock on the date of grant, as determined by our board of directors.</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202,130 shares of our common stock. One-fourth of the grant vested on May 26, 2014 and the remainder of the grant vested in 36 equal monthly installments thereafter, subject to Mr. Brown’s continuous service through the applicable vesting date. In addition, if we had terminated Mr. Brown’s employment without “cause” (as defined in the 2011 Plan), or if Mr. Brown had resigned for “good reason” (as defined in agreements applicable to Mr. Brown’s equity), in either case, upon the consummation of, or within 12 months following, a change in control in our ownership, then 50% of the then unvested shares subject to this option would have immediately vested (the “Prior Brown Acceleration”). However, these options have now fully vested based on their underlying four-year vesting schedule, so the Prior Brown Acceleration is no longer relevant to this option.</w:t>
      </w:r>
    </w:p>
    <w:p>
      <w:pPr>
        <w:spacing w:after="0" w:line="3" w:lineRule="exact"/>
        <w:rPr>
          <w:rFonts w:ascii="Arial" w:cs="Arial" w:eastAsia="Arial" w:hAnsi="Arial"/>
          <w:sz w:val="16"/>
          <w:szCs w:val="16"/>
          <w:color w:val="auto"/>
        </w:rPr>
      </w:pPr>
    </w:p>
    <w:p>
      <w:pPr>
        <w:ind w:left="340" w:right="20" w:hanging="332"/>
        <w:spacing w:after="0" w:line="251"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966,006 shares of our common stock. One-fourth of the grant vested on June 19, 2015 and the remainder of the grant vested in 36 equal monthly installments thereafter, subject to Mr. Brown’s continuous service through the applicable vesting date. In addition, the Prior Brown Acceleration applies to these option shares prior to their full vesting, however, these options have now fully vested based on their underlying four-year vesting schedule, so the Prior Brown Acceleration is no longer relevant to this option.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68" w:right="239" w:bottom="1440" w:gutter="0" w:footer="0" w:header="0"/>
        </w:sectPr>
      </w:pPr>
    </w:p>
    <w:bookmarkStart w:id="116" w:name="page117"/>
    <w:bookmarkEnd w:id="116"/>
    <w:p>
      <w:pPr>
        <w:ind w:left="332" w:right="40"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301,960 shares of our common stock. One-fourth of the grant vested on July 20, 2017 and the remainder of the grant vested and will vest in 36 equal monthly installments thereafter, subject to Mr. Brown’s continuous service through the applicable vesting date. In addition, if we terminate Mr. Brown’s employment without “cause,” or if Mr. Brown resigns for “good reason,” in either case, within 3 months prior to, or within 18 months following, a “change in control” of the company (each, as defined in Mr. Brown’s change in control severance agreement), then 100% of the then unvested shares subject to this option will immediately vest (the “Brown Acceleration”).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332,157 shares of our common stock. One-fourth of the grant vested on August 3, 2018 and the remainder of the grant vested and will vest in 36 equal monthly installments thereafter, subject to Mr. Brown’s continuous service through the applicable vesting date. In addition, the Brown Acceleration applies to these option shares prior to their full vesting.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6,667 shares of our common stock. One-fourth of the grant vested on May 11, 2016 and the remainder of the grant vested and will vest in 36 equal monthly installments thereafter, subject to Mr. Ajami’s continuous service through the applicable vesting date. In addition, if we terminate Mr. Ajami’s employment without “cause,” or if Mr. Ajami resigns for “good reason,” in either case, within three months prior to, or within 18 months following, a change in control of the company (each, as defined in Mr. Ajami’s change in control severance agreement), then 100% of the then unvested shares subject to this option will immediately vest (the “Ajami Acceleration”).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3,333 shares of our common stock. One-fourth of the grant vested on March 7,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180"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18,561 shares of our common stock. One-fourth of the grant vested on February 4,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13,334 shares of our common stock. One-fourth of the grant vested on August 15,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40"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3,333 shares of our common stock. One-fourth of the grant vested on May 1, 2018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26,857 shares of our common stock. One-fourth of the grant vested on July 25, 2018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jc w:val="both"/>
        <w:ind w:left="332"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66,669 shares of our common stock. One-fourth of the grant will vest on July 16, 2019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jc w:val="both"/>
        <w:ind w:left="332"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61,875 shares of our common stock. One-fourth of the grant will vest on July 16, 2019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40" w:hanging="332"/>
        <w:spacing w:after="0" w:line="246"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500,025 shares of our common stock. One-fourth of the grant vested on May 30, 2018 and the remainder of the grant vested and will vest in 36 equal monthly installments thereafter, subject to Mr. Muth’s continuous service through the applicable vesting date. In addition, if we terminate Mr. Muth’s employment without “cause,” or if Mr. Muth resigns for “good reason,” in either case, within three months prior to, or within 18 months following, a “change in control” of the company (each, as defined in Mr. Muth’s change in control severance agreement), then 100% of the then unvested shares subject to this option will immediately vest.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hanging="332"/>
        <w:spacing w:after="0" w:line="253" w:lineRule="auto"/>
        <w:tabs>
          <w:tab w:leader="none" w:pos="3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402,663 shares of our common stock. One-fourth of the grant vested on December 1, 2016 and the remainder of the grant vested and will vest in 36 equal monthly installments thereafter, subject to Mr. Nelson’s continuous service through the applicable vesting date. In addition, if we terminate Mr. Nelson’s employment without “cause,” or if Mr. Nelson resigns for “good reason,” in</w:t>
      </w:r>
    </w:p>
    <w:p>
      <w:pPr>
        <w:spacing w:after="0" w:line="2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72"/>
          </w:cols>
          <w:pgMar w:left="248" w:top="384" w:right="279" w:bottom="1440" w:gutter="0" w:footer="0" w:header="0"/>
        </w:sectPr>
      </w:pPr>
    </w:p>
    <w:bookmarkStart w:id="117" w:name="page118"/>
    <w:bookmarkEnd w:id="117"/>
    <w:p>
      <w:pPr>
        <w:ind w:left="340" w:right="180"/>
        <w:spacing w:after="0" w:line="322" w:lineRule="auto"/>
        <w:rPr>
          <w:sz w:val="20"/>
          <w:szCs w:val="20"/>
          <w:color w:val="auto"/>
        </w:rPr>
      </w:pPr>
      <w:r>
        <w:rPr>
          <w:rFonts w:ascii="Arial" w:cs="Arial" w:eastAsia="Arial" w:hAnsi="Arial"/>
          <w:sz w:val="16"/>
          <w:szCs w:val="16"/>
          <w:color w:val="auto"/>
        </w:rPr>
        <w:t>either case, within three months prior to, or within 18 months following, a “change in control” of the company (each, as defined in Mr. Nelson’s change in control severance agreement), then 100% of the then unvested shares subject to this option will immediately vest (the “Nelson Acceleration”). For additional information on this change in control severance benefit, see “-Change in Control Severance Agreements.”</w:t>
      </w:r>
    </w:p>
    <w:p>
      <w:pPr>
        <w:spacing w:after="0" w:line="2" w:lineRule="exact"/>
        <w:rPr>
          <w:sz w:val="20"/>
          <w:szCs w:val="20"/>
          <w:color w:val="auto"/>
        </w:rPr>
      </w:pPr>
    </w:p>
    <w:p>
      <w:pPr>
        <w:ind w:left="340" w:hanging="332"/>
        <w:spacing w:after="0" w:line="24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145,341 shares of our common stock. One-fourth of the grant vested on December 1, 2016 and the remainder of the grant vested and will vest in 36 equal monthly installments thereafter, subject to Mr. Nelson’s continuous service through each vesting date. In addition, the Nelson Acceleration applies to these option shares prior to their full vesting.</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152,238 shares of our common stock. One-fourth of the grant vested on February 4, 2017 and the remainder of the grant vested and will vest in 36 equal monthly installments thereafter, subject to Mr. Nelson’s continuous service through the applicable vesting date. In addition, the Nelson Acceleration applies to these option share prior to their full vesting.</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70,024 shares of our common stock. One-fourth of the grant vested on July 20, 2017 and the remainder of the grant vested and will vest in 36 equal monthly installments thereafter, subject to Mr. Nelson’s continuous service through the applicable vesting date. In addition, the Nelson Acceleration applies to these option shares prior to full vesting.</w:t>
      </w:r>
    </w:p>
    <w:p>
      <w:pPr>
        <w:spacing w:after="0" w:line="1"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77,027 shares of our common stock. One-fourth of the grant vested on August 3, 2018 and the remainder of the grant vested and will vest in 36 equal monthly installments thereafter, subject to Mr. Nelson’s continuous service through the applicable vesting date. In addition, the Nelson Acceleration applies to these option shares prior to full vesting.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board of directors approved options to purchase common stock to Messrs. Brown, Nelson, Muth and Ajami effective upon the effectiveness of the registration statement for the IPO. The option grants are as follows: Mr. Brown, 500,000 shares; Mr. Nelson, 200,000 shares; Mr. Muth, 100,000 shares; and Mr. Ajami, 100,000 shares. In addition, our board granted options to purchase 40,000 shares of common stock to Mr. Brown, options to purchase 5,000 shares of common stock to Mr. Goldman, and options to purchase 5,000 shares of common stock to Mr. Nelson, which in each case became effective upon the effectiveness of the registration statement for our IPO. The exercise price per share for each of options described above was $25 per share. The options vest over four years, with 25% vesting on the one year anniversary date of the effectiveness of the registration statement, subject each officer’s continued employment with us through the applicable vesting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 not in Connection with a Change in Control</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Charles Muth</w:t>
      </w:r>
    </w:p>
    <w:p>
      <w:pPr>
        <w:spacing w:after="0" w:line="193"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Pursuant to the offer letter entered into with Charles Muth on May 5, 2017, if we terminate Mr. Muth’s employment without cause at any time, Mr. Muth will be entitled to a severance payment equal to six months of Mr. Muth’s base salary.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Severance Agreements</w:t>
      </w:r>
    </w:p>
    <w:p>
      <w:pPr>
        <w:spacing w:after="0" w:line="193"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In November 2018, our compensation committee approved change in control severance benefits for our named executive officers. These benefits are provided to Mr. Brown in an amended and restated employment agreement that was entered into with Mr. Brown in January 2019. We have also entered into change in control severance agreements with Mr. Nelson, Mr. Ajami and Mr. Muth providing for these benefits.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11" w:right="279" w:bottom="1440" w:gutter="0" w:footer="0" w:header="0"/>
        </w:sectPr>
      </w:pPr>
    </w:p>
    <w:bookmarkStart w:id="118" w:name="page119"/>
    <w:bookmarkEnd w:id="118"/>
    <w:p>
      <w:pPr>
        <w:jc w:val="both"/>
        <w:ind w:right="320" w:firstLine="324"/>
        <w:spacing w:after="0" w:line="254" w:lineRule="auto"/>
        <w:rPr>
          <w:sz w:val="20"/>
          <w:szCs w:val="20"/>
          <w:color w:val="auto"/>
        </w:rPr>
      </w:pPr>
      <w:r>
        <w:rPr>
          <w:rFonts w:ascii="Arial" w:cs="Arial" w:eastAsia="Arial" w:hAnsi="Arial"/>
          <w:sz w:val="18"/>
          <w:szCs w:val="18"/>
          <w:color w:val="auto"/>
        </w:rPr>
        <w:t>These agreements with Mr. Brown, Mr. Nelson, Mr. Ajami and Mr. Muth provide that if, within the period beginning three months prior to, and ending 18 months following, a change in control of the company, we terminate such officer’s employment without cause or such officer resigns for good reason, such officer will be eligible to receive the following severance benefits, subject to, among other things, executing a general release of claims in favor of the company and complying with the terms of his confidentiality agreement:</w:t>
      </w:r>
    </w:p>
    <w:p>
      <w:pPr>
        <w:spacing w:after="0" w:line="150" w:lineRule="exact"/>
        <w:rPr>
          <w:sz w:val="20"/>
          <w:szCs w:val="20"/>
          <w:color w:val="auto"/>
        </w:rPr>
      </w:pPr>
    </w:p>
    <w:p>
      <w:pPr>
        <w:ind w:left="660" w:right="280" w:hanging="328"/>
        <w:spacing w:after="0" w:line="26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cash payment equal to 18 months of his then-current base salary in the case of Mr. Brown and 12 months of his then-current base salary in the case of Mr. Nelson, Mr. Ajami and Mr. Muth;</w:t>
      </w:r>
    </w:p>
    <w:p>
      <w:pPr>
        <w:spacing w:after="0" w:line="142"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cash payment equal to the COBRA premiums that would be due for COBRA coverage (assuming such coverage is elected) for a period of 18 months in the case of Mr. Brown and 12 months in the case of Mr. Nelson, Mr. Ajami and Mr. Muth; and</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100% immediate vesting acceleration of all of the shares of our common stock underlying any then-outstanding unvested stock options and other unvested equity awards that are subject to time-based vesting.</w:t>
      </w:r>
    </w:p>
    <w:p>
      <w:pPr>
        <w:spacing w:after="0" w:line="14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each applicable agreement contains a “better after-tax” provision, which provides that if any of the payments or benefits provided to an executive constitutes a parachute payment under Section 280G of the Code, the payments or benefits will either be (i) reduced or (ii) provided in full, whichever results in the named executive officer receiving the greater amount after taking into account all applicable federal, state and local income taxes, including the excise tax under Section 4999 of the Code.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Our 2011 Equity Incentive Plan was amended, restated and re-named the 2018 Equity Incentive Plan, or 2018 Plan, by our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our stockholders on November 15, 2018 and November 27, 2018, respectively. The 2018 Plan became effective on April 30, 2019.</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The maximum aggregate number of shares that may be issued under the 2018 Plan is 14,482,356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addition, the number of shares reserved for issuance under the 2018 Plan will be increased automatically on the first day of each fiscal year beginning with the 2020 fiscal year, by a number equal to the least of:</w:t>
      </w:r>
    </w:p>
    <w:p>
      <w:pPr>
        <w:spacing w:after="0" w:line="136"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2,144,521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4% of the shares of common stock outstanding on the last day of the prior fiscal year;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number of shares determined by our board of directors.</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If an award expires, is forfeited or becomes unexercisable for any reason without having been exercised in full, or is surrendered pursuant to an exchange program, the unissued shares that were subject to the award will, unless the 2018 Plan is terminated, continue to be available under the 2018 Plan for issuance pursuant to future awards. In addition, any shares which are retained by the company upon exercise of an award in order to satisfy the exercise or purchase price for such award or any withholding taxes due with respect to such award will be treated as not issued and will continue to be available under the 2018 Plan for issuance pursuant to future awards. Shares issued under the 2018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again be available for future grant under the 2018 Plan. To the extent an award under the 2018 Plan is paid out in cash rather than shares, such cash payment will not result in reducing the number of Shares available for issuance under the 2018 Plan.</w:t>
      </w:r>
    </w:p>
    <w:p>
      <w:pPr>
        <w:spacing w:after="0" w:line="137"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b w:val="1"/>
          <w:bCs w:val="1"/>
          <w:color w:val="auto"/>
        </w:rPr>
        <w:t xml:space="preserve">Plan administration. </w:t>
      </w:r>
      <w:r>
        <w:rPr>
          <w:rFonts w:ascii="Arial" w:cs="Arial" w:eastAsia="Arial" w:hAnsi="Arial"/>
          <w:sz w:val="18"/>
          <w:szCs w:val="18"/>
          <w:color w:val="auto"/>
        </w:rPr>
        <w:t>Our board of directors has delegated its authority to administer the 2018 Plan to our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our 2018 Plan, the administrator has the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82" w:right="239" w:bottom="1440" w:gutter="0" w:footer="0" w:header="0"/>
        </w:sectPr>
      </w:pPr>
    </w:p>
    <w:bookmarkStart w:id="119" w:name="page120"/>
    <w:bookmarkEnd w:id="119"/>
    <w:p>
      <w:pPr>
        <w:spacing w:after="0" w:line="252" w:lineRule="auto"/>
        <w:rPr>
          <w:sz w:val="20"/>
          <w:szCs w:val="20"/>
          <w:color w:val="auto"/>
        </w:rPr>
      </w:pPr>
      <w:r>
        <w:rPr>
          <w:rFonts w:ascii="Arial" w:cs="Arial" w:eastAsia="Arial" w:hAnsi="Arial"/>
          <w:sz w:val="18"/>
          <w:szCs w:val="18"/>
          <w:color w:val="auto"/>
        </w:rPr>
        <w:t>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2018 Plan. The administrator also has the authority, subject to the terms of the 2018 Plan, to amend existing awards, to prescribe rules and to construe and interpret the 2018 Plan and awards granted thereunder and to institute an exchange program by which outstanding awards may be surrendered in exchange for awards of the same type which may have a lower exercise price or different terms, awards of a different type and/or cash subject to stockholder approval.</w:t>
      </w:r>
    </w:p>
    <w:p>
      <w:pPr>
        <w:spacing w:after="0" w:line="131"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Employees, members of our board of directors who are not employees and consultants are eligible to participate in our 2018</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0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Non-employee director</w:t>
      </w:r>
      <w:r>
        <w:rPr>
          <w:rFonts w:ascii="Arial" w:cs="Arial" w:eastAsia="Arial" w:hAnsi="Arial"/>
          <w:sz w:val="18"/>
          <w:szCs w:val="18"/>
          <w:color w:val="auto"/>
        </w:rPr>
        <w:t>s. Our 2018 Plan provides that all non-employee directors will be eligible to receive all types of awards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2018 Plan except for incentive stock options. We intend to implement a formal policy pursuant to which our non-employee directors will be eligible to receive equity awards under our 2018 Plan. In addition, in order to provide a maximum limit on awards that can be provided to our non-employee directors under the 2018 Plan, our 2018 Plan provides that no non-employee director may receive awards under the 2018 Plan that, when combined with cash compensation received for service as a non-employee director, exceeds $ 650,000 in a calendar year, increased to $900,000 in the calendar year of his or her initial services as a non-employee director. For purposes of this limit, the value of stock options and stock appreciation rights will be calculated using the Black-Scholes valuation methodology on the date of grant, and the value for all other types of awards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w:t>
      </w:r>
    </w:p>
    <w:p>
      <w:pPr>
        <w:spacing w:after="0" w:line="128"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b w:val="1"/>
          <w:bCs w:val="1"/>
          <w:color w:val="auto"/>
        </w:rPr>
        <w:t xml:space="preserve">Types of award. </w:t>
      </w:r>
      <w:r>
        <w:rPr>
          <w:rFonts w:ascii="Arial" w:cs="Arial" w:eastAsia="Arial" w:hAnsi="Arial"/>
          <w:sz w:val="18"/>
          <w:szCs w:val="18"/>
          <w:color w:val="auto"/>
        </w:rPr>
        <w:t>Our 2018 Plan provides for the grant of incentive stock options, within the meaning of Section 422 of the Code,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the employees of our subsidiaries, and for the grant of nonstatutory stock options, stock appreciation rights, restricted stock, restricted stock units, performance units, and performance shares to our employees, directors, and consultants and the employees and consultants of our subsidiaries.</w:t>
      </w:r>
    </w:p>
    <w:p>
      <w:pPr>
        <w:spacing w:after="0" w:line="12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administrator may grant incentive and/or non-statutory stock options under our 2018 Plan, provided that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may only be granted to employees. The exercise price of such options must generally be equal to at least the fair market value of our common stock on the date of grant. The term of an option may not exceed 10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2018 Plan, the administrator determines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the event of a termination for cause,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 The maximum aggregate number of shares of our common stock that may be issued under the 2018 Plan pursuant to incentive stock options may not exceed the maximum number of shares reserved under the 2018 Plan and to the extent allowable under Section 422 of the Internal Revenue Code, or the Code, any other shares that become available for issuance or reissuance pursuant to the terms of the 2018 Plan.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382" w:right="259" w:bottom="1440" w:gutter="0" w:footer="0" w:header="0"/>
        </w:sectPr>
      </w:pPr>
    </w:p>
    <w:bookmarkStart w:id="120" w:name="page121"/>
    <w:bookmarkEnd w:id="120"/>
    <w:p>
      <w:pPr>
        <w:ind w:right="20" w:firstLine="324"/>
        <w:spacing w:after="0" w:line="257"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our 2018 Plan. Stock appreciation rights allow the recipient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appreciation in the fair market value of our common stock between the date of grant and the exercise date. Subject to the provisions of our 2018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Restricted stock may be granted under our 2018 Plan. Restricted stock awards are grants of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are subject to 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subject to our right of repurchase or forfeited by the recipient and will revert to us. The specific terms will be set forth in an award agreement.</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Restricted stock units may be granted under our 2018 Plan, and may include the right to dividend equivalents,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Performance units/performance shares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and performance shares may be granted under our 2018 Plan.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performance shares are awards that will result in a payment to a participant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based on one or more of the following performance criteria and any adjustment(s) thereto, in each case as determined by the administrator: (i) sales or non-</w:t>
      </w:r>
    </w:p>
    <w:p>
      <w:pPr>
        <w:spacing w:after="0" w:line="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sales revenue; (ii) return on revenues; (iii) operating income; (iv) income or earnings including operating income; (v) income or earnings before or after taxes, interest, depreciation, and/or amortization; (vi) income or earnings from continuing operations; (vii) net income; (viii) pre-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tax income or after-tax income; (ix) net income excluding amortization of intangible assets, depreciation and impairment of goodwill and intangible assets, and/or excluding charges attributable to the adoption of new accounting pronouncements; (x) raising of financing or fundraising; (xi) project financing; (xii) revenue backlog; (xiii) gross margin; (xiv) operating margin or profit margin; (xv) capital expenditures, cost targets, reductions and savings, and expense management; (xvi) return on assets (gross or net), return on investment, return on capital or invested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w:t>
      </w:r>
    </w:p>
    <w:p>
      <w:pPr>
        <w:spacing w:after="0" w:line="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tax profit; (xxiii) strategic business criteria, consisting of one or more objectives based on meeting specified market penetration or market share, completion of strategic agreements such as licenses, funded collaborations, joint ventures, acquisitions, and the like, geographic</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360" w:right="299" w:bottom="1440" w:gutter="0" w:footer="0" w:header="0"/>
        </w:sectPr>
      </w:pPr>
    </w:p>
    <w:bookmarkStart w:id="121" w:name="page122"/>
    <w:bookmarkEnd w:id="121"/>
    <w:p>
      <w:pPr>
        <w:spacing w:after="0" w:line="251" w:lineRule="auto"/>
        <w:rPr>
          <w:sz w:val="20"/>
          <w:szCs w:val="20"/>
          <w:color w:val="auto"/>
        </w:rPr>
      </w:pPr>
      <w:r>
        <w:rPr>
          <w:rFonts w:ascii="Arial" w:cs="Arial" w:eastAsia="Arial" w:hAnsi="Arial"/>
          <w:sz w:val="18"/>
          <w:szCs w:val="18"/>
          <w:color w:val="auto"/>
        </w:rPr>
        <w:t>business expansion, objective customer satisfaction or information technology goals, and/or intellectual property asset metrics; (xxiv) objective goals relating to divestitures, joint ventures, mergers, acquisitions, and similar transactions; (xxv) objective goals relating to staff management, results from staff attitude and/or opinion surveys, staff satisfaction scores, staff safety, staff accident and/or injury rates, compliance headcount, performance management, and completion of critical staff training initiatives; (xxvi) objective goals relating to projects, including project completion timing and/or achievement of milestones, project budget, and technical progress against work plans; and (xxvii) enterprise resource planning. However, awards issued to participants may take into account other factors (including subjective factors). In addition,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our performance as a whole or against any of our affiliate(s), or a particular segment(s), a business unit(s) or a product(s) of ours or individual project company, (v) on a pre-tax or after-tax basis, and/or (vi) using an actual foreign exchange rate or on a foreign exchange neutral basis.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34"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Unless the administrator provides otherwise, our 2018 Plan generally does not allow for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and only the recipient of an option or stock appreciation right may exercise such an award during his or her lifetime.</w:t>
      </w:r>
    </w:p>
    <w:p>
      <w:pPr>
        <w:spacing w:after="0" w:line="99"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b w:val="1"/>
          <w:bCs w:val="1"/>
          <w:color w:val="auto"/>
        </w:rPr>
        <w:t xml:space="preserve">Certain adjustments. </w:t>
      </w:r>
      <w:r>
        <w:rPr>
          <w:rFonts w:ascii="Arial" w:cs="Arial" w:eastAsia="Arial" w:hAnsi="Arial"/>
          <w:sz w:val="18"/>
          <w:szCs w:val="18"/>
          <w:color w:val="auto"/>
        </w:rPr>
        <w:t>In the event of certain corporate events or changes in our capitalization, to prevent diminution or enlargement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or potential benefits available under the 2018 Plan, the administrator will make adjustments to one or more of the number, kind and class of securities that may be delivered under the 2018 Plan and/or the number, kind, class and price of securities covered by each outstanding award.</w:t>
      </w:r>
    </w:p>
    <w:p>
      <w:pPr>
        <w:spacing w:after="0" w:line="123"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color w:val="auto"/>
        </w:rPr>
        <w:t xml:space="preserve">Liquidation or dissolution. </w:t>
      </w:r>
      <w:r>
        <w:rPr>
          <w:rFonts w:ascii="Arial" w:cs="Arial" w:eastAsia="Arial" w:hAnsi="Arial"/>
          <w:sz w:val="18"/>
          <w:szCs w:val="18"/>
          <w:color w:val="auto"/>
        </w:rPr>
        <w:t>In the event of our proposed winding up, liquidation or dissolution, the administrator will notify participants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practicable and all awards will terminate immediately prior to the consummation of such proposed transaction.</w:t>
      </w:r>
    </w:p>
    <w:p>
      <w:pPr>
        <w:spacing w:after="0" w:line="9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Our 2018 Plan provides that in the event of certain significant corporate transactions, including: (1) a transfer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each outstanding award will be treated as the administrator determines. Such determination, without the consent of any Participant, may provide that such awards will be (i) continued if we are the surviving corporation, (ii) assumed by the surviving corporation or its parent, (iii) substituted by the surviving corporation or its parent for a new award, (iv) canceled in exchange for a payment equal to the excess of the fair market value of our shares subject to such award over the exercise price or purchase price paid for such shares, or (v) in the case of options, participants may be given an opportunity to exercise options prior to the transaction and, if not exercised, such options may be terminated upon consummation of the transaction.</w:t>
      </w:r>
    </w:p>
    <w:p>
      <w:pPr>
        <w:spacing w:after="0" w:line="132" w:lineRule="exact"/>
        <w:rPr>
          <w:sz w:val="20"/>
          <w:szCs w:val="20"/>
          <w:color w:val="auto"/>
        </w:rPr>
      </w:pPr>
    </w:p>
    <w:p>
      <w:pPr>
        <w:ind w:right="20" w:firstLine="324"/>
        <w:spacing w:after="0" w:line="269"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The administrator may provide, in an individual award agreement or in any other written agreement between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us that the stock award will be subject to additional acceleration of vesting and exercisability in the event of a change of control. Under the 2018 Plan, a “change of control” is generally (1) a merger, consolidation, or any other corporate reorganization in which</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382" w:right="279" w:bottom="1440" w:gutter="0" w:footer="0" w:header="0"/>
        </w:sectPr>
      </w:pPr>
    </w:p>
    <w:bookmarkStart w:id="122" w:name="page123"/>
    <w:bookmarkEnd w:id="122"/>
    <w:p>
      <w:pPr>
        <w:ind w:right="40"/>
        <w:spacing w:after="0" w:line="254" w:lineRule="auto"/>
        <w:rPr>
          <w:sz w:val="20"/>
          <w:szCs w:val="20"/>
          <w:color w:val="auto"/>
        </w:rPr>
      </w:pPr>
      <w:r>
        <w:rPr>
          <w:rFonts w:ascii="Arial" w:cs="Arial" w:eastAsia="Arial" w:hAnsi="Arial"/>
          <w:sz w:val="18"/>
          <w:szCs w:val="18"/>
          <w:color w:val="auto"/>
        </w:rPr>
        <w:t>our stockholders immediately before the transaction do not own, directly or indirectly, more than a majority of the combined voting power of the surviving entity (or the parent of the surviving entity), (2) the consummation of the sale, transfer or other disposition of all or substantially all of our assets, (3) an unapproved change in the majority of the board of directors during any 12-month period, and (4) the acquisition by any person or company of more than 50% of the total voting power of our then outstanding stock.</w:t>
      </w:r>
    </w:p>
    <w:p>
      <w:pPr>
        <w:spacing w:after="0" w:line="128"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8"/>
          <w:szCs w:val="18"/>
          <w:b w:val="1"/>
          <w:bCs w:val="1"/>
          <w:color w:val="auto"/>
        </w:rPr>
        <w:t xml:space="preserve">Clawback/recovery. </w:t>
      </w:r>
      <w:r>
        <w:rPr>
          <w:rFonts w:ascii="Arial" w:cs="Arial" w:eastAsia="Arial" w:hAnsi="Arial"/>
          <w:sz w:val="18"/>
          <w:szCs w:val="18"/>
          <w:color w:val="auto"/>
        </w:rPr>
        <w:t>Stock awards granted under the 2018 Plan will be subject to recoupment in accordance with any clawback policy we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to adopt pursuant to applicable law and listing requirements. In addition, the administrator may impose such other clawback, recovery or recoupment provisions in any stock award agreement as it determines necessary or appropriate.</w:t>
      </w:r>
    </w:p>
    <w:p>
      <w:pPr>
        <w:spacing w:after="0" w:line="114"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8"/>
          <w:szCs w:val="18"/>
          <w:b w:val="1"/>
          <w:bCs w:val="1"/>
          <w:color w:val="auto"/>
        </w:rPr>
        <w:t xml:space="preserve">Amendment or termination. </w:t>
      </w:r>
      <w:r>
        <w:rPr>
          <w:rFonts w:ascii="Arial" w:cs="Arial" w:eastAsia="Arial" w:hAnsi="Arial"/>
          <w:sz w:val="18"/>
          <w:szCs w:val="18"/>
          <w:color w:val="auto"/>
        </w:rPr>
        <w:t>Our board of directors has the authority to amend, suspend or terminate the 2018 Plan provided such action</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impair the existing rights of any participant. Our 2018 Plan will automatically terminate on November 14, 2028 unless we terminate it sooner. We will obtain stockholder approval of any amendment to our 2018 Plan as required by applicable law or listing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Employee Stock Purchase Plan, or 2018 ESPP, was adopted by our board of directors on November 15, 2018 and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stockholders on November 27, 2018. The 2018 ESPP became effective on April 30, 2019. The 2018 ESPP is intended to qualify as an “employee stock purchase plan” within the meaning of Section 423 of the Code for U.S. employees. In addition, the 2018 ESPP authorizes grants of purchase rights that do not comply with Section 423 of the Code under a separate non-423 component for non-U.S. employees and certain non-U.S. service providers.</w:t>
      </w:r>
    </w:p>
    <w:p>
      <w:pPr>
        <w:spacing w:after="0" w:line="130"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We have reserved 804,195 shares of our common stock for issuance under the 2018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the 2018 ESPP will be increased automatically on the first day of each fiscal year for a period of up to ten years, starting with the 2020 fiscal year, by a number equal to the least of:</w:t>
      </w:r>
    </w:p>
    <w:p>
      <w:pPr>
        <w:spacing w:after="0" w:line="14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536,130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of the shares of common stock outstanding on the last day of the prior fiscal year;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lesser number of shares determined by our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hereof, no shares of our common stock have been purchased under the 2018 ESPP.</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2018 ESPP will be administered by our board of directors or a committee designated by our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delegated its authority to administer the 2018 ESPP to our compensation committee.</w:t>
      </w:r>
    </w:p>
    <w:p>
      <w:pPr>
        <w:spacing w:after="0" w:line="153"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Generally, all regular employees, including executive officers, employed by us or by any of our designated affiliates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non-U.S. service providers may participate in the 2018 ESPP.</w:t>
      </w:r>
    </w:p>
    <w:p>
      <w:pPr>
        <w:spacing w:after="0" w:line="12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2018 ESPP, as determined by the administrator, including: (1) being customarily employed for more than 20 hours per week, (2) being customarily employed for more than 5 months per calendar year, or (3) continuous employment with us or one of our affiliates for a period of time (not to exceed 2 years). No employee may purchase shares under the 2018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2018 ESPP if immediately after such rights are granted, such employee has voting power over 5% or more of our outstanding capital stock measured by vote or value under Section 424(d) of the Code.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382" w:right="279" w:bottom="1440" w:gutter="0" w:footer="0" w:header="0"/>
        </w:sectPr>
      </w:pPr>
    </w:p>
    <w:bookmarkStart w:id="123" w:name="page124"/>
    <w:bookmarkEnd w:id="123"/>
    <w:p>
      <w:pPr>
        <w:ind w:right="560" w:firstLine="324"/>
        <w:spacing w:after="0" w:line="262" w:lineRule="auto"/>
        <w:rPr>
          <w:sz w:val="20"/>
          <w:szCs w:val="20"/>
          <w:color w:val="auto"/>
        </w:rPr>
      </w:pPr>
      <w:r>
        <w:rPr>
          <w:rFonts w:ascii="Arial" w:cs="Arial" w:eastAsia="Arial" w:hAnsi="Arial"/>
          <w:sz w:val="18"/>
          <w:szCs w:val="18"/>
          <w:color w:val="auto"/>
        </w:rPr>
        <w:t>Non-U.S. service providers must provide bona fide services to the company and may be subject to additional eligibility criteria as the administrator may determine even if such criteria is not consistent with Section 423 of the Code.</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Offerings</w:t>
      </w:r>
      <w:r>
        <w:rPr>
          <w:rFonts w:ascii="Arial" w:cs="Arial" w:eastAsia="Arial" w:hAnsi="Arial"/>
          <w:sz w:val="18"/>
          <w:szCs w:val="18"/>
          <w:color w:val="auto"/>
        </w:rPr>
        <w:t>. The 2018 ESPP is expected to be implemented through a series of offerings under which participants are granted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purchase shares of our common stock on specified dates during such offerings. Under the 2018 ESPP, we may specify offerings with durations of not more than 27 months, and we may specify shorter purchase periods within each offering. Each offering will have one or more purchase dates on which shares of our common stock will be purchased for participants in the offering. An offering under the 2018 ESPP may be terminated under certain circumstances. The administrator will have the discretion to structure an offering so that if the fair market value of a share of our common stock on the first trading day of a new purchase period within that offering is less than or equal to the fair market value of a share of our common stock on the offering date for that offering, then that offering will terminate immediately as of that first trading day, and the participants in such terminated offering will be automatically enrolled in a new offering beginning on the first trading day of such new offering period. The administrator has not yet approved an offering under our 2018 ESPP and we are not certain whether or when this will occur.</w:t>
      </w:r>
    </w:p>
    <w:p>
      <w:pPr>
        <w:spacing w:after="0" w:line="132"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Participants who are employees may contribute, normally through payroll deductions, up to 15% of their earnings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board of directors in each offering) for the purchase of our common stock under the ESPP. Participants who are not employees will contribute on an after-tax basis in a manner determined by the administrator.</w:t>
      </w:r>
    </w:p>
    <w:p>
      <w:pPr>
        <w:spacing w:after="0" w:line="14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Unless otherwise determined by the administrator, common stock will be purchased for the accounts of participants in the 2018 ESPP at a price per share that is at least the lesser of (1) 85% of the fair market value of a share of our common stock on the first date of an offering, or (2) 85% of the fair market value of a share of our common stock on the date of purchase.</w:t>
      </w:r>
    </w:p>
    <w:p>
      <w:pPr>
        <w:spacing w:after="0" w:line="13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that there occurs a change in our capital structure through such actions as a stock split,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stock dividend, combination, consolidation, recapitalization (including a recapitalization through a large nonrecurring cash dividend) or reclassification of our common stock, subdivision of our common stock, a rights offering, a reorganization, merger, spin-off, split-up, repurchase, or exchange of our common stock or other significant corporate transaction, or other change affecting our common stock, the administrator will make appropriate adjustments to: (1) the class(es) and maximum number of shares reserved under the 2018 ESPP, (2) the class(es) and maximum number of shares by which the share reserve may increase automatically each year, (3) the class(es) and number of shares and purchase price of all outstanding purchase rights, and (4) the class(es) and number of shares that are subject to purchase limits under ongoing offerings.</w:t>
      </w:r>
    </w:p>
    <w:p>
      <w:pPr>
        <w:spacing w:after="0" w:line="13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winding up, liquidation or dissolution, any offering period then in progress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shortened by setting a new purchase date and will terminate immediately prior to the consummation of such proposed dissolution or liquidation, unless provided otherwise by the administrator.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2018 ESPP provides that in the event of certain significant corporate transactions, including: (1) a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a successor corporation may assume or substitute each outstanding purchase right. If the successor corporation refuses to assume or substitute the purchase right, the offering period then in progress will be shortened, and a new purchase date will be set. The administrator will notify each participant that the purchase date has been changed and that the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382" w:right="259" w:bottom="1440" w:gutter="0" w:footer="0" w:header="0"/>
        </w:sectPr>
      </w:pPr>
    </w:p>
    <w:bookmarkStart w:id="124" w:name="page125"/>
    <w:bookmarkEnd w:id="124"/>
    <w:p>
      <w:pPr>
        <w:ind w:right="200"/>
        <w:spacing w:after="0" w:line="262" w:lineRule="auto"/>
        <w:rPr>
          <w:sz w:val="20"/>
          <w:szCs w:val="20"/>
          <w:color w:val="auto"/>
        </w:rPr>
      </w:pPr>
      <w:r>
        <w:rPr>
          <w:rFonts w:ascii="Arial" w:cs="Arial" w:eastAsia="Arial" w:hAnsi="Arial"/>
          <w:sz w:val="18"/>
          <w:szCs w:val="18"/>
          <w:color w:val="auto"/>
        </w:rPr>
        <w:t>participant’s purchase right will be exercised automatically on the new purchase date unless prior to such date the participant has withdrawn from the offering period.</w:t>
      </w:r>
    </w:p>
    <w:p>
      <w:pPr>
        <w:spacing w:after="0" w:line="12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administrator has the authority to amend, suspend or terminate our 2018 ESPP, except that,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described in our 2018 ESPP, no such action may adversely affect any outstanding rights to purchase stock under our 2018 ESPP without the holder’s consent. We will obtain stockholder approval of any amendment to our 2018 ESPP as required by applicable law or listing requirements.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Bonus Plan</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Executive Incentive Bonus Plan, or the Bonus Plan, allows our compensation committee to provide cash incentive awards to selected officers and key employees, including our named executive officers, based upon performance goals established by our compensation committee.</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the Bonus Plan, our compensation committee will determine the amount of the target award (which may, but is not required to be, based upon the participant’s base salary), the performance period and the performance goals to be applicable to any award. Performance goals that include our financial results may be determined in accordance with U.S. generally accepted accounting principles, or GAAP, or such financial results may consist of non-GAAP financial measures, and any goals or actual results may be adjusted by our compensation committee for any reason, including without limitation, one-time items or unbudgeted or unexpected items, when determining whether the performance goals have been met. The performance goals may be on the basis of any factors our compensation committee determines relevant and may be adjusted on an individual, divisional, business unit or company-wide basis. The performance goals may differ from participant to participant and from award to award.</w:t>
      </w:r>
    </w:p>
    <w:p>
      <w:pPr>
        <w:spacing w:after="0" w:line="15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Our compensation committee, may, in its sole discretion and at any time, increase, reduce or eliminate an award otherwise payable to a participant with respect to any performance period.</w:t>
      </w:r>
    </w:p>
    <w:p>
      <w:pPr>
        <w:spacing w:after="0" w:line="14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Actual awards will be paid in cash only after they are earned, which usually requires continued employment through the date the bonus is paid unless otherwise determined by our compensation committee.</w:t>
      </w:r>
    </w:p>
    <w:p>
      <w:pPr>
        <w:spacing w:after="0" w:line="14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Our board of directors or our compensation committee has the authority to amend, alter, suspend or terminate the Bonus Plan, provided such action does not impair the existing rights of any participant with respect to any earned bonus.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Welfare and Retirement Benefits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maintain a defined contribution retirement plan for our eligible U.S. employees. Participants may make pre-tax contributions to the plan from their eligible earnings, and we may make matching contributions and profit sharing contributions to eligible participants, in each case, up to the statutorily prescribed annual limits on contributions under the Internal Revenue Code. The 401(k) plan permits us to make matching contributions and profit sharing contributions to eligible participants. The plan is intended to be qualified under Section 401(a) of the Internal Revenue Code, and the plan’s trust is intended to be tax exempt under Section 501(a) of the Internal Revenue Code. As a tax-qualified 401(k) plan, contributions to the 401(k) plan and income earned on such contributions, are not taxable to participants until withdrawn or distributed from the 401(k)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93"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None of our named executive officers participate in or has an account balance in any qualified or non-qualified defined benefit plan sponsored by us.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382"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not offered any nonqualified deferred compensation plans or arrangements or entered into any such arrangements with any of our named executive officers.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Tax Gross-ups</w:t>
      </w:r>
    </w:p>
    <w:p>
      <w:pPr>
        <w:spacing w:after="0" w:line="301" w:lineRule="exact"/>
        <w:rPr>
          <w:sz w:val="20"/>
          <w:szCs w:val="20"/>
          <w:color w:val="auto"/>
        </w:rPr>
      </w:pPr>
    </w:p>
    <w:p>
      <w:pPr>
        <w:ind w:right="880" w:firstLine="324"/>
        <w:spacing w:after="0" w:line="262"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paid by 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68"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addition to the compensation arrangements with our directors and executive officers, including those discussed in the sections titled “Management” and “Executive Compensation,” and the registration rights described in the section titled “Description of Capital Stock— Registration Rights,” the following is a description of each transaction since January 1, 2015 and each currently proposed transaction in which:</w:t>
      </w:r>
    </w:p>
    <w:p>
      <w:pPr>
        <w:spacing w:after="0" w:line="148"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E Convertible Preferred Stock</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From October 2, 2015 through January 29, 2016, we issued and sold an aggregate of 4,701,449 shares of our Series E convertible preferred stock, or Series E stock, at a purchase price of $3.68 per share for aggregate consideration of approximately $17,300,000.</w:t>
      </w:r>
    </w:p>
    <w:p>
      <w:pPr>
        <w:spacing w:after="0" w:line="142"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certain members of our board of directors and as applicable, their affiliates. The following table sets forth the aggregate number of shares of Series E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815,235</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2,999,998</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Kleiner Perkins Caufield &amp; Byers</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407,617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1,499,999</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the Obvious Group</w:t>
            </w:r>
            <w:r>
              <w:rPr>
                <w:rFonts w:ascii="Arial" w:cs="Arial" w:eastAsia="Arial" w:hAnsi="Arial"/>
                <w:sz w:val="21"/>
                <w:szCs w:val="21"/>
                <w:color w:val="auto"/>
                <w:vertAlign w:val="superscript"/>
              </w:rPr>
              <w:t>(2)</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135,872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499,998</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(3)</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44,294</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162,999</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(4)</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54,348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199,999</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Gregory Bohlen and related entities</w:t>
            </w:r>
            <w:r>
              <w:rPr>
                <w:rFonts w:ascii="Arial" w:cs="Arial" w:eastAsia="Arial" w:hAnsi="Arial"/>
                <w:sz w:val="21"/>
                <w:szCs w:val="21"/>
                <w:color w:val="auto"/>
                <w:vertAlign w:val="superscript"/>
              </w:rPr>
              <w:t>(5)</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271,744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999,998</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120" w:hanging="332"/>
        <w:spacing w:after="0" w:line="246"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375,823 shares of Series E stock purchased by Kleiner Perkins Caufield &amp; Byers XIV, LLC and 31,794 shares of Series E stock purchased by KPCB XIV Founders Fund, LLC.</w:t>
      </w:r>
    </w:p>
    <w:p>
      <w:pPr>
        <w:ind w:left="340" w:hanging="332"/>
        <w:spacing w:after="0"/>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shares of Series E stock purchased by Obvious Ventures I, L.P.</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44,294 shares of Series E stock purchased by the Julie D. Farkas Revocable Trust for which Mr. Goldman’s wife serves as the trustee.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54,348 shares of Series E stock purchased by GreatPoint Ventures Innovation Fund, LP. for which Mr. Lane serves as Managing Partner.</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271,744 shares of Series E stock purchased by Union Grove Partners Direct Venture Fund, LP, for which Mr. Bohlen serves on the investment committee of the record holder’s general partner.</w:t>
      </w:r>
    </w:p>
    <w:p>
      <w:pPr>
        <w:spacing w:after="0" w:line="22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September 2016 Subordinated Convertible Note Financing</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From September 9, 2016 through September 12, 2016, we issued and sold subordinated convertible promissory notes with an aggregate principal amount of $4,000,000 bearing interest at a rate of 1% per annum, compounded annually.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68" w:right="239" w:bottom="1440" w:gutter="0" w:footer="0" w:header="0"/>
        </w:sectPr>
      </w:pPr>
    </w:p>
    <w:bookmarkStart w:id="127" w:name="page128"/>
    <w:bookmarkEnd w:id="127"/>
    <w:p>
      <w:pPr>
        <w:ind w:right="60" w:firstLine="324"/>
        <w:spacing w:after="0" w:line="256" w:lineRule="auto"/>
        <w:rPr>
          <w:sz w:val="20"/>
          <w:szCs w:val="20"/>
          <w:color w:val="auto"/>
        </w:rPr>
      </w:pPr>
      <w:r>
        <w:rPr>
          <w:rFonts w:ascii="Arial" w:cs="Arial" w:eastAsia="Arial" w:hAnsi="Arial"/>
          <w:sz w:val="18"/>
          <w:szCs w:val="18"/>
          <w:color w:val="auto"/>
        </w:rPr>
        <w:t>The participants in this subordinated convertible note financing included one of the holders of more than 5% of our capital stock, one of our executive officers and members of our board of directors, and their affiliates. The following table sets forth the aggregate principal amount of notes issued to these related parties in this subordinated convertible note financing:</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9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w w:val="99"/>
              </w:rPr>
              <w:t>Stockholder</w:t>
            </w:r>
          </w:p>
        </w:tc>
        <w:tc>
          <w:tcPr>
            <w:tcW w:w="8600" w:type="dxa"/>
            <w:vAlign w:val="bottom"/>
          </w:tcPr>
          <w:p>
            <w:pPr>
              <w:spacing w:after="0"/>
              <w:rPr>
                <w:sz w:val="15"/>
                <w:szCs w:val="15"/>
                <w:color w:val="auto"/>
              </w:rPr>
            </w:pPr>
          </w:p>
        </w:tc>
        <w:tc>
          <w:tcPr>
            <w:tcW w:w="1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94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Directors and Executive Officers: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jc w:val="right"/>
              <w:ind w:right="3274"/>
              <w:spacing w:after="0"/>
              <w:rPr>
                <w:sz w:val="20"/>
                <w:szCs w:val="20"/>
                <w:color w:val="auto"/>
              </w:rPr>
            </w:pPr>
            <w:r>
              <w:rPr>
                <w:rFonts w:ascii="Arial" w:cs="Arial" w:eastAsia="Arial" w:hAnsi="Arial"/>
                <w:sz w:val="18"/>
                <w:szCs w:val="18"/>
                <w:color w:val="auto"/>
                <w:w w:val="98"/>
              </w:rPr>
              <w:t>Seth Goldman and related entities</w:t>
            </w:r>
            <w:r>
              <w:rPr>
                <w:rFonts w:ascii="Arial" w:cs="Arial" w:eastAsia="Arial" w:hAnsi="Arial"/>
                <w:sz w:val="21"/>
                <w:szCs w:val="21"/>
                <w:color w:val="auto"/>
                <w:w w:val="98"/>
                <w:vertAlign w:val="superscript"/>
              </w:rPr>
              <w:t>(1)</w:t>
            </w:r>
          </w:p>
        </w:tc>
        <w:tc>
          <w:tcPr>
            <w:tcW w:w="3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195"/>
        </w:trPr>
        <w:tc>
          <w:tcPr>
            <w:tcW w:w="6240" w:type="dxa"/>
            <w:vAlign w:val="bottom"/>
          </w:tcPr>
          <w:p>
            <w:pPr>
              <w:jc w:val="right"/>
              <w:ind w:right="4434"/>
              <w:spacing w:after="0"/>
              <w:rPr>
                <w:sz w:val="20"/>
                <w:szCs w:val="20"/>
                <w:color w:val="auto"/>
              </w:rPr>
            </w:pPr>
            <w:r>
              <w:rPr>
                <w:rFonts w:ascii="Arial" w:cs="Arial" w:eastAsia="Arial" w:hAnsi="Arial"/>
                <w:sz w:val="16"/>
                <w:szCs w:val="16"/>
                <w:color w:val="auto"/>
              </w:rPr>
              <w:t>___________________</w:t>
            </w:r>
          </w:p>
        </w:tc>
        <w:tc>
          <w:tcPr>
            <w:tcW w:w="39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8" w:lineRule="exact"/>
        <w:rPr>
          <w:sz w:val="20"/>
          <w:szCs w:val="20"/>
          <w:color w:val="auto"/>
        </w:rPr>
      </w:pPr>
    </w:p>
    <w:p>
      <w:pPr>
        <w:ind w:left="340" w:right="280" w:hanging="332"/>
        <w:spacing w:after="0" w:line="269"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$300,000 purchased by the Seth Goldman Revocable Trust for which Mr. Goldman serves as the trustee</w:t>
      </w:r>
      <w:r>
        <w:rPr>
          <w:rFonts w:ascii="Arial" w:cs="Arial" w:eastAsia="Arial" w:hAnsi="Arial"/>
          <w:sz w:val="18"/>
          <w:szCs w:val="18"/>
          <w:color w:val="auto"/>
        </w:rPr>
        <w:t>.</w:t>
      </w:r>
    </w:p>
    <w:p>
      <w:pPr>
        <w:spacing w:after="0" w:line="22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Series F Convertible Preferred Stock</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From October 7, 2016 through June 26, 2017, we issued and sold an aggregate of 4,866,758 shares of our Series F convertible preferred stock, or Series F stock, at a purchase price of $6.19 per share, for aggregate consideration of approximately $30,100,000.</w:t>
      </w:r>
    </w:p>
    <w:p>
      <w:pPr>
        <w:spacing w:after="0" w:line="142"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certain members of our board of directors and as applicable, their affiliates. The following table sets forth the aggregate number of shares of Series F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161,686</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999,999</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Tyson New Ventures, LLC</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2,433,387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15,049,998</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202,107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1,249,996</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51,087</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315,968</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(3)</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48,505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299,998</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Gregory Bohlen and related entities</w:t>
            </w:r>
            <w:r>
              <w:rPr>
                <w:rFonts w:ascii="Arial" w:cs="Arial" w:eastAsia="Arial" w:hAnsi="Arial"/>
                <w:sz w:val="21"/>
                <w:szCs w:val="21"/>
                <w:color w:val="auto"/>
                <w:vertAlign w:val="superscript"/>
              </w:rPr>
              <w:t>(4)</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525,480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3,249,990</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400" w:hanging="332"/>
        <w:spacing w:after="0" w:line="24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148,894 shares of Series F stock purchased by Cleveland Avenue, LLC and held of record by CA Food I Fund LLC and 53,213 shares of Series F stock purchased by Donald Thompson, one of our directors, and held of record by Cleveland Manor Investments II LLC. Mr. Thompson has voting and dispositive control over the shares held by CA Food I Fund LLC and Cleveland Manor Investments II LLC. See “Principal Stockholders” for more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51,087 shares of Series F stock purchased by the Seth Goldman Revocable Trust for which Mr. Goldman serves as the trustee.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48,505 shares of Series F stock purchased by GreatPoint Ventures Innovation Fund, LP. for which Mr. Lane serves as Managing Partner.</w:t>
      </w:r>
    </w:p>
    <w:p>
      <w:pPr>
        <w:spacing w:after="0" w:line="5" w:lineRule="exact"/>
        <w:rPr>
          <w:rFonts w:ascii="Arial" w:cs="Arial" w:eastAsia="Arial" w:hAnsi="Arial"/>
          <w:sz w:val="16"/>
          <w:szCs w:val="16"/>
          <w:color w:val="auto"/>
        </w:rPr>
      </w:pPr>
    </w:p>
    <w:p>
      <w:pPr>
        <w:ind w:left="340" w:right="280" w:hanging="332"/>
        <w:spacing w:after="0" w:line="253"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485,060 shares of Series F stock purchased by Union Grove Partners Venture Access Fund II-B, LP, 20,210 shares of Series F stock purchased by Union Grove Partners Direct Venture Fund, LP and 20,210 shares of Series F stock purchased by Union Grove Partners Venture Access Fund II, LP for which Mr. Bohlen serves on the investment committees of the general partners of each of the aforementioned record 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382" w:right="239" w:bottom="1440" w:gutter="0" w:footer="0" w:header="0"/>
        </w:sectPr>
      </w:pPr>
    </w:p>
    <w:bookmarkStart w:id="128" w:name="page129"/>
    <w:bookmarkEnd w:id="128"/>
    <w:p>
      <w:pPr>
        <w:ind w:left="340"/>
        <w:spacing w:after="0"/>
        <w:rPr>
          <w:sz w:val="20"/>
          <w:szCs w:val="20"/>
          <w:color w:val="auto"/>
        </w:rPr>
      </w:pPr>
      <w:r>
        <w:rPr>
          <w:rFonts w:ascii="Arial" w:cs="Arial" w:eastAsia="Arial" w:hAnsi="Arial"/>
          <w:sz w:val="18"/>
          <w:szCs w:val="18"/>
          <w:b w:val="1"/>
          <w:bCs w:val="1"/>
          <w:i w:val="1"/>
          <w:iCs w:val="1"/>
          <w:color w:val="auto"/>
        </w:rPr>
        <w:t>August 2017 Subordinated Convertible Note Financing</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From August 1, 2017 through November 3, 2017, we issued and sold subordinated convertible promissory notes with an aggregate principal amount of $10,000,000 bearing interest at a rate of 5% per annum, compounded annually.</w:t>
      </w:r>
    </w:p>
    <w:p>
      <w:pPr>
        <w:spacing w:after="0" w:line="14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participants in this subordinated convertible note financing included certain holders of more than 5% of our capital stock, one of our executive officers and certain members of our board of directors and as applicable, their affiliates. The following table sets forth the aggregate principal amount of notes issued to these related parties in this subordinated convertible note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95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340" w:type="dxa"/>
            <w:vAlign w:val="bottom"/>
          </w:tcPr>
          <w:p>
            <w:pPr>
              <w:spacing w:after="0"/>
              <w:rPr>
                <w:sz w:val="15"/>
                <w:szCs w:val="15"/>
                <w:color w:val="auto"/>
              </w:rPr>
            </w:pPr>
          </w:p>
        </w:tc>
        <w:tc>
          <w:tcPr>
            <w:tcW w:w="1500" w:type="dxa"/>
            <w:vAlign w:val="bottom"/>
          </w:tcPr>
          <w:p>
            <w:pPr>
              <w:jc w:val="center"/>
              <w:ind w:right="254"/>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0"/>
        </w:trPr>
        <w:tc>
          <w:tcPr>
            <w:tcW w:w="958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1,000,000</w:t>
            </w:r>
          </w:p>
        </w:tc>
      </w:tr>
      <w:tr>
        <w:trPr>
          <w:trHeight w:val="263"/>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3,600,000</w:t>
            </w:r>
          </w:p>
        </w:tc>
      </w:tr>
      <w:tr>
        <w:trPr>
          <w:trHeight w:val="263"/>
        </w:trPr>
        <w:tc>
          <w:tcPr>
            <w:tcW w:w="958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63"/>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r>
      <w:tr>
        <w:trPr>
          <w:trHeight w:val="243"/>
        </w:trPr>
        <w:tc>
          <w:tcPr>
            <w:tcW w:w="9580" w:type="dxa"/>
            <w:vAlign w:val="bottom"/>
            <w:gridSpan w:val="3"/>
          </w:tcPr>
          <w:p>
            <w:pPr>
              <w:ind w:left="40"/>
              <w:spacing w:after="0"/>
              <w:rPr>
                <w:sz w:val="20"/>
                <w:szCs w:val="20"/>
                <w:color w:val="auto"/>
              </w:rPr>
            </w:pPr>
            <w:r>
              <w:rPr>
                <w:rFonts w:ascii="Arial" w:cs="Arial" w:eastAsia="Arial" w:hAnsi="Arial"/>
                <w:sz w:val="18"/>
                <w:szCs w:val="18"/>
                <w:color w:val="auto"/>
              </w:rPr>
              <w:t>Bernhard van Lengerich</w:t>
            </w:r>
          </w:p>
        </w:tc>
        <w:tc>
          <w:tcPr>
            <w:tcW w:w="3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300,000</w:t>
            </w:r>
          </w:p>
        </w:tc>
      </w:tr>
      <w:tr>
        <w:trPr>
          <w:trHeight w:val="204"/>
        </w:trPr>
        <w:tc>
          <w:tcPr>
            <w:tcW w:w="958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ind w:left="340" w:right="420" w:hanging="332"/>
        <w:spacing w:after="0" w:line="246"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$1,587,322 purchased by Cleveland Avenue, LLC and held of record by Beyond Meat CA LLC, notes in an aggregate principal amount of $1,587,322 purchased by Beyond Meat CA LLC, and notes in an aggregate principal amount of $425,356 purchased by Donald Thompson. Mr. Thompson has voting and dispositive control over the shares held by Beyond Meat CA LLC. See “Principal Stockholders” for more information.</w:t>
      </w:r>
    </w:p>
    <w:p>
      <w:pPr>
        <w:spacing w:after="0" w:line="1"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$1,000,000 purchased by the Seth Goldman Revocable Trust for which Mr. Goldman serves as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8" w:right="2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8"/>
          <w:szCs w:val="18"/>
          <w:b w:val="1"/>
          <w:bCs w:val="1"/>
          <w:i w:val="1"/>
          <w:iCs w:val="1"/>
          <w:color w:val="auto"/>
        </w:rPr>
        <w:t>Series G Convertible Preferred Stock</w:t>
      </w:r>
    </w:p>
    <w:p>
      <w:pPr>
        <w:spacing w:after="0" w:line="193"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From November 22, 2017 through June 29, 2018, we issued and sold an aggregate of 5,114,786 shares of our Series G convertible preferred stock, or Series G stock, at a purchase price of $10.94 per share, for aggregate consideration of approximately $55,953,000, including the conversion of the $10,000,000 of subordinated convertible promissory notes described above.</w:t>
      </w:r>
    </w:p>
    <w:p>
      <w:pPr>
        <w:spacing w:after="0" w:line="14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and certain members of our board of directors and as applicable, their affiliates. The following table sets forth the aggregate number of shares of Series G stock issued to these related parties in this convertible preferred stock financing (amounts shown below are in addition to the convertible promissory notes described in the table above):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102,838</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1,124,992</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Tyson New Ventures, LLC</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731,301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7,999,999</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1,906,253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20,853,281</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102,838</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1,124,992</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Bernhard van Lengerich</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49,133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537,494</w:t>
            </w:r>
          </w:p>
        </w:tc>
      </w:tr>
      <w:tr>
        <w:trPr>
          <w:trHeight w:val="191"/>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20" w:hanging="332"/>
        <w:spacing w:after="0" w:line="24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1,862,511 shares of Series G stock purchased by Beyond Meat CA LLC and 43,742 shares of Series G stock purchased by Don Thompson, in each case held of record by Cleveland Manor Investments II LLC. Mr. Thompson has voting and dispositive control over the shares held by Cleveland Manor Investments II LLC. See “Principal Stockholders” for more information.</w:t>
      </w:r>
    </w:p>
    <w:p>
      <w:pPr>
        <w:spacing w:after="0" w:line="1" w:lineRule="exact"/>
        <w:rPr>
          <w:rFonts w:ascii="Arial" w:cs="Arial" w:eastAsia="Arial" w:hAnsi="Arial"/>
          <w:sz w:val="16"/>
          <w:szCs w:val="16"/>
          <w:color w:val="auto"/>
        </w:rPr>
      </w:pPr>
    </w:p>
    <w:p>
      <w:pPr>
        <w:ind w:left="340" w:right="380" w:hanging="332"/>
        <w:spacing w:after="0" w:line="253"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102,838 shares of Series G stock purchased by the Seth Goldman Revocable Trust for which Mr. Goldman serves as the trustee. These shares were subsequently transferred to the Goldman Farkas 2017 Descendants Trust, and Mr. Goldman no longer has voting or dispositive power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8" w:right="239" w:bottom="1440" w:gutter="0" w:footer="0" w:header="0"/>
        </w:sectPr>
      </w:pPr>
    </w:p>
    <w:bookmarkStart w:id="130" w:name="page131"/>
    <w:bookmarkEnd w:id="130"/>
    <w:p>
      <w:pPr>
        <w:ind w:left="340"/>
        <w:spacing w:after="0"/>
        <w:rPr>
          <w:sz w:val="20"/>
          <w:szCs w:val="20"/>
          <w:color w:val="auto"/>
        </w:rPr>
      </w:pPr>
      <w:r>
        <w:rPr>
          <w:rFonts w:ascii="Arial" w:cs="Arial" w:eastAsia="Arial" w:hAnsi="Arial"/>
          <w:sz w:val="18"/>
          <w:szCs w:val="18"/>
          <w:b w:val="1"/>
          <w:bCs w:val="1"/>
          <w:i w:val="1"/>
          <w:iCs w:val="1"/>
          <w:color w:val="auto"/>
        </w:rPr>
        <w:t>Series H Convertible Preferred Stock</w:t>
      </w:r>
    </w:p>
    <w:p>
      <w:pPr>
        <w:spacing w:after="0" w:line="193"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From October 5, 2018 through November 2, 2018 we issued and sold an aggregate of 2,075,216 shares of our Series H convertible preferred stock, or Series H stock, at a purchase price of $24.23 per share, for an aggregate consideration of approximately $50,283,000.</w:t>
      </w:r>
    </w:p>
    <w:p>
      <w:pPr>
        <w:spacing w:after="0" w:line="14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and certain members of our board of directors and as applicable, their affiliates. The following table sets forth the aggregate number of shares of Series H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4"/>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r>
              <w:rPr>
                <w:rFonts w:ascii="Arial" w:cs="Arial" w:eastAsia="Arial" w:hAnsi="Arial"/>
                <w:sz w:val="21"/>
                <w:szCs w:val="21"/>
                <w:color w:val="auto"/>
                <w:vertAlign w:val="superscript"/>
              </w:rPr>
              <w:t>(1)</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173,570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4,205,581</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(2)</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103,361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2,504,452</w:t>
            </w: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(3)</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41,271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999,997</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(4)</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123,813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2,999,992</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hanging="332"/>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173,570 shares of Series H convertible preferred stock purchased by DNS-BYMT, LLC.</w:t>
      </w:r>
    </w:p>
    <w:p>
      <w:pPr>
        <w:spacing w:after="0" w:line="5"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76,669 shares of Series H convertible preferred stock purchased by Beyond Meat CA LLC, 6,129 shares of Series H convertible preferred stock purchased by CA Food I Fund, LLC and 20,563 shares of Series H convertible preferred stock purchased by Cleveland Manor Investments II LLC, one of our directors, and held of record by Cleveland Manor Investments II LLC. Mr. Thompson has voting and dispositive control over the shares held by CA Food I Fund LLC and Cleveland Manor Investments II LLC. See “Principal Stockholders” for more information.</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41,271 shares of Series H convertible preferred stock purchased by the Seth Goldman Revocable Trust for which Mr. Goldman serves as the trustee.</w:t>
      </w:r>
    </w:p>
    <w:p>
      <w:pPr>
        <w:ind w:left="340" w:right="20" w:hanging="332"/>
        <w:spacing w:after="0" w:line="253"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119,317 shares of Series H convertible preferred stock purchased by GreatPoint Ventures Innovation Fund, LP, for which Mr. Lane serves as Managing Partner, and 4,496 shares of Series H convertible preferred stock purchased by the GreatPoint Ventures Innovation Parallel Fund, LP., for which Mr. Lane serves as Managing Partner. See “Principal Stockholders” for more information.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8"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Certain of our holders of more than 5% of our capital stock as well as certain of our executive officers and members of our board of directors and as applicable, their affiliates, have elected to sell some of their shares of common stock in this offering on the same terms as the other selling stockholders. The following table sets forth the aggregate number of shares of common stock that these related parties may sell in this offering: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Common Stock</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if Option to</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Purchase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Common Stock</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Additional</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in Base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is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Sales</w:t>
            </w:r>
          </w:p>
        </w:tc>
        <w:tc>
          <w:tcPr>
            <w:tcW w:w="0" w:type="dxa"/>
            <w:vAlign w:val="bottom"/>
          </w:tcPr>
          <w:p>
            <w:pPr>
              <w:spacing w:after="0"/>
              <w:rPr>
                <w:sz w:val="1"/>
                <w:szCs w:val="1"/>
                <w:color w:val="auto"/>
              </w:rPr>
            </w:pPr>
          </w:p>
        </w:tc>
      </w:tr>
      <w:tr>
        <w:trPr>
          <w:trHeight w:val="180"/>
        </w:trPr>
        <w:tc>
          <w:tcPr>
            <w:tcW w:w="72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40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Offering</w:t>
            </w:r>
          </w:p>
        </w:tc>
        <w:tc>
          <w:tcPr>
            <w:tcW w:w="146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Exercised</w:t>
            </w:r>
          </w:p>
        </w:tc>
        <w:tc>
          <w:tcPr>
            <w:tcW w:w="13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 Chief Executive Officer and Director</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39,130</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5,870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Gregory Bohlen, Director</w:t>
            </w:r>
          </w:p>
        </w:tc>
        <w:tc>
          <w:tcPr>
            <w:tcW w:w="1280" w:type="dxa"/>
            <w:vAlign w:val="bottom"/>
            <w:vMerge w:val="restart"/>
          </w:tcPr>
          <w:p>
            <w:pPr>
              <w:jc w:val="right"/>
              <w:ind w:right="33"/>
              <w:spacing w:after="0"/>
              <w:rPr>
                <w:sz w:val="20"/>
                <w:szCs w:val="20"/>
                <w:color w:val="auto"/>
              </w:rPr>
            </w:pPr>
            <w:r>
              <w:rPr>
                <w:rFonts w:ascii="Arial" w:cs="Arial" w:eastAsia="Arial" w:hAnsi="Arial"/>
                <w:sz w:val="18"/>
                <w:szCs w:val="18"/>
                <w:color w:val="auto"/>
              </w:rPr>
              <w:t>62,194</w:t>
            </w:r>
          </w:p>
        </w:tc>
        <w:tc>
          <w:tcPr>
            <w:tcW w:w="120" w:type="dxa"/>
            <w:vAlign w:val="bottom"/>
          </w:tcPr>
          <w:p>
            <w:pPr>
              <w:spacing w:after="0"/>
              <w:rPr>
                <w:sz w:val="21"/>
                <w:szCs w:val="21"/>
                <w:color w:val="auto"/>
              </w:rPr>
            </w:pPr>
          </w:p>
        </w:tc>
        <w:tc>
          <w:tcPr>
            <w:tcW w:w="1340" w:type="dxa"/>
            <w:vAlign w:val="bottom"/>
            <w:vMerge w:val="restart"/>
          </w:tcPr>
          <w:p>
            <w:pPr>
              <w:jc w:val="right"/>
              <w:ind w:right="14"/>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Mark J. Nelson, Chief Financial Officer and Treasurer</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55,418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9,034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Chuck Muth, Chief Growth Officer</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21,130</w:t>
            </w: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3,444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Diane Carhart, Director</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9,069</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Stephanie Pullings Hart, Senior Vice President, Operations</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Seeding the Future Foundation (1)</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52,174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7,826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Entities related to Kleiner Perkins Caufield &amp; Byers</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622,401</w:t>
            </w: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101,461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related to Obvious Ventures</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348,138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56,752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Seeding the Future Foundation is a 501(c)(3) entity. Mr. Bernhard van Lengerich, along with his spouse, serve as directors.</w:t>
      </w:r>
    </w:p>
    <w:p>
      <w:pPr>
        <w:spacing w:after="0" w:line="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Amended and Restated Investors’ Rights Agreement</w:t>
      </w:r>
    </w:p>
    <w:p>
      <w:pPr>
        <w:spacing w:after="0" w:line="19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October 2018, we entered into an amended and restated investor rights agreement with certain of our stockholders, which included the entities affiliated with Kleiner Perkins Caufield &amp; Byers, the entities affiliated with the Obvious Group, DNS-BYMT, LLC and the entities affiliated with Cleveland Avenue LLC as well as our directors, Seth Goldman, Bernhard van Lengerich and Ethan Brown and their affiliates to the extent applicable. These stockholders are entitled to rights with respect to the registration of their shares of common stock under the Securities Act under certain circumstances. For a description of these registration rights, see “Description of Capital Stock—Registration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 Agreement</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November 2015, we entered into an advisor agreement with Food System Strategies, LLC. In February 2016, we entered into a new advisor agreement with Food System Strategies, LLC, which was subsequently amended in December 2016. Dr. Bernhard van Lengerich, who is a member of our board of directors, is the Chief Executive Officer of Food System Strategies, LLC. As of December 31, 2018, we have paid $563,500 in fees to Food System Strategies, LLC pursuant to the advisor agreement. For more information regarding this advisor agreement, see “Management—Director Compensation Arrangements.”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November 2018, we amended and restated a consulting agreement with Seth Goldman, our Executive Chair and a member of our board of directors, which was amended again in April 2019. As of December 31, 2018, we have paid $495,833 in fees and a $149,625 discretionary bonus to Mr. Goldman pursuant to this consulting agreement. For more information regarding this consulting agreement, see “Management— Director Compensation Arrangements.”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8" w:right="239" w:bottom="1440" w:gutter="0" w:footer="0" w:header="0"/>
        </w:sectPr>
      </w:pPr>
    </w:p>
    <w:bookmarkStart w:id="132" w:name="page133"/>
    <w:bookmarkEnd w:id="132"/>
    <w:p>
      <w:pPr>
        <w:ind w:right="240" w:firstLine="324"/>
        <w:spacing w:after="0" w:line="254" w:lineRule="auto"/>
        <w:rPr>
          <w:sz w:val="20"/>
          <w:szCs w:val="20"/>
          <w:color w:val="auto"/>
        </w:rPr>
      </w:pPr>
      <w:r>
        <w:rPr>
          <w:rFonts w:ascii="Arial" w:cs="Arial" w:eastAsia="Arial" w:hAnsi="Arial"/>
          <w:sz w:val="18"/>
          <w:szCs w:val="18"/>
          <w:color w:val="auto"/>
        </w:rPr>
        <w:t>In 2018, the Company reimbursed Cleveland Avenue, LLC, a venture capital investment company, which holds more than 5% of the Company’s stock and is led by Don Thompson, for certain costs that were incurred by Cleveland Avenue, LLC in connection with Company presentations and the hosting of Company meetings. Cleveland Avenue, LLC received $121,546 in reimbursements for staff time, food, food preparation and facility rental costs for the period from January 2017 to December 2018.</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July 2019, we entered into a consulting agreement with Michael A. Pucker, a former member of our board of directors, pursuant to which Mr. Pucker will provide consulting services for up to one year in consideration for $ 40,000 and a restricted stock unit award with a grant date fair value of approximately $105,000, which will vest in equal monthly installments over one year, subject to Mr. Pucker providing services through each vesting date. Mr. Pucker is the Chairman and CEO of DNS Capital, LLC and a partner of Latham &amp; Watkins LLP, which firm is acting as counsel to the underwriters in connection with this offering. DNS Capital, LLC is an investment office for the enterprise of Gigi Pritzker, Mr. Pucker and their immediate family. DNS Capital also acts as an advisor to DNS - BYMT, LLC, which is a holder of more than 5% of our outstanding common stock. See “Principal and Selling Stockholders”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Amendment Letter</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March 2017, Mark J. Nelson, our Chief Financial Officer, terminated his employment with us but was re-employed by us in May 2017. In May 2017 we entered into an option amendment letter with Mr. Nelson, pursuant to which his outstanding stock options were amended to provide that his termination of employment from us would not be considered a termination of his “Continuous Service” (as defined by the 2011 Plan) and that his stock options would continue to vest pursuant to their terms. The intrinsic value of his amended options as of the date of the amendment was $389,441, which amount was equal to the fair market value of the options less the exercise price as of such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93"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We have entered into indemnification agreements with each of our directors and officers. The indemnification agreements and our certificate of incorporation and bylaws require us to indemnify our directors and officers to the fullest extent permitted by Delaware law. For more information regarding these indemnification agreements, see “Management—Limitation of Liability and Indemnification.”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December 2015, we loaned Donald Thompson, a member of our board of directors and Seth Goldman, $380,498 and $570,747, respectively, pursuant to promissory notes at an annual interest rate of 1.68%, compounded annually, to allow them to purchase restricted shares of our common stock. The promissory notes were repaid in full by each of Mr. Thompson and Mr. Goldman on July 17, 2018 and July 9, 2018,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 Policy</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written charter of our audit committee will provide that our audit committee shall review and approve in advance any related-party transaction.</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adopted a formal written policy providing that we are not permitted to enter into any transaction that exceeds $120,000 and in which any related person has a direct or indirect material interest without the consent of our audit committee. This policy was not in effect when we entered into the related-party transactions above, other than the consulting agreement with Mr. Pucker. In approving or rejecting any such transaction, our audit committee is to consider the relevant facts and circumstances available and deemed relevant to our audit committee, including whether the transaction is on terms no</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382" w:right="259" w:bottom="1440" w:gutter="0" w:footer="0" w:header="0"/>
        </w:sectPr>
      </w:pPr>
    </w:p>
    <w:bookmarkStart w:id="133" w:name="page134"/>
    <w:bookmarkEnd w:id="133"/>
    <w:p>
      <w:pPr>
        <w:spacing w:after="0" w:line="262" w:lineRule="auto"/>
        <w:rPr>
          <w:sz w:val="20"/>
          <w:szCs w:val="20"/>
          <w:color w:val="auto"/>
        </w:rPr>
      </w:pPr>
      <w:r>
        <w:rPr>
          <w:rFonts w:ascii="Arial" w:cs="Arial" w:eastAsia="Arial" w:hAnsi="Arial"/>
          <w:sz w:val="18"/>
          <w:szCs w:val="18"/>
          <w:color w:val="auto"/>
        </w:rPr>
        <w:t>less favorable than terms generally available to an unaffiliated third party under the same or similar circumstances and the extent of the related person’s interest in the transaction.</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382" w:right="29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following table and footnotes set forth information with respect to the beneficial ownership of our common stock as of July 10, 2019, subject to certain assumptions set forth in the footnotes and as adjusted to reflect the sale of the shares of common stock offered in the public offering under this prospectus for:</w:t>
      </w:r>
    </w:p>
    <w:p>
      <w:pPr>
        <w:spacing w:after="0" w:line="148"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holder of 5% or more of the outstanding shares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the other selling stockholders.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SEC rules, each listed person’s beneficial ownership includes:</w:t>
      </w:r>
    </w:p>
    <w:p>
      <w:pPr>
        <w:spacing w:after="0" w:line="171"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shares the stockholder actually owns beneficially or of record;</w:t>
      </w:r>
    </w:p>
    <w:p>
      <w:pPr>
        <w:spacing w:after="0" w:line="171"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shares over which the stockholder has or shares voting or dispositive control (such as in the capacity as a general partner of an investment fund);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shares the stockholder has the right to acquire beneficial ownership of within 60 days after July 10, 2019.</w:t>
      </w:r>
    </w:p>
    <w:p>
      <w:pPr>
        <w:spacing w:after="0" w:line="171"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Our calculation of the percentage of beneficial ownership prior to this offering is based on 60,286,940 shares of common stock outstanding as of July 10, 2019, which include 115,055 shares to be exercised and sold this offering. The percentage ownership information assumes no exercise of the underwriters’ option to purchase additional shares. Shares of common stock that a person has the right to acquire within</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60 days after July 10,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As noted above, in connection with this offering, certain of the selling stockholders will exercise outstanding stock options in the aggregate amount of 115,055 shares of common stock. Such exercises have been reflected in the listed beneficial ownership for each stockholder below and have been included in the number of shares of common stock outstanding as of July 10, 2019.</w:t>
      </w:r>
    </w:p>
    <w:p>
      <w:pPr>
        <w:spacing w:after="0" w:line="155" w:lineRule="exact"/>
        <w:rPr>
          <w:sz w:val="20"/>
          <w:szCs w:val="20"/>
          <w:color w:val="auto"/>
        </w:rPr>
      </w:pPr>
    </w:p>
    <w:p>
      <w:pPr>
        <w:jc w:val="both"/>
        <w:ind w:right="420" w:firstLine="324"/>
        <w:spacing w:after="0" w:line="254" w:lineRule="auto"/>
        <w:rPr>
          <w:sz w:val="20"/>
          <w:szCs w:val="20"/>
          <w:color w:val="auto"/>
        </w:rPr>
      </w:pPr>
      <w:r>
        <w:rPr>
          <w:rFonts w:ascii="Arial" w:cs="Arial" w:eastAsia="Arial" w:hAnsi="Arial"/>
          <w:sz w:val="18"/>
          <w:szCs w:val="18"/>
          <w:color w:val="auto"/>
        </w:rPr>
        <w:t>Unless otherwise indicated, we believe, based on the information furnished to us, that the persons named in the table below have sole voting and investment power with respect to all securities that they beneficially own, subject to community property laws where applicable. Unless otherwise noted below, the business address of the stockholders listed below is the address of our principal executive office, 119 Standard Street, El Segundo, CA 90245.</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gridSpan w:val="6"/>
          </w:tcPr>
          <w:p>
            <w:pPr>
              <w:ind w:left="76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Shares 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r>
      <w:tr>
        <w:trPr>
          <w:trHeight w:val="133"/>
        </w:trPr>
        <w:tc>
          <w:tcPr>
            <w:tcW w:w="1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Common stock</w:t>
            </w:r>
          </w:p>
        </w:tc>
        <w:tc>
          <w:tcPr>
            <w:tcW w:w="116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80" w:type="dxa"/>
            <w:vAlign w:val="bottom"/>
          </w:tcPr>
          <w:p>
            <w:pPr>
              <w:jc w:val="right"/>
              <w:ind w:right="18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1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2"/>
                <w:szCs w:val="12"/>
                <w:color w:val="auto"/>
              </w:rPr>
              <w:t>5% or more stockholders: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w w:val="98"/>
              </w:rPr>
              <w:t>Entities affiliated with Kleiner</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6"/>
        </w:trPr>
        <w:tc>
          <w:tcPr>
            <w:tcW w:w="40" w:type="dxa"/>
            <w:vAlign w:val="bottom"/>
          </w:tcPr>
          <w:p>
            <w:pPr>
              <w:spacing w:after="0"/>
              <w:rPr>
                <w:sz w:val="10"/>
                <w:szCs w:val="10"/>
                <w:color w:val="auto"/>
              </w:rPr>
            </w:pPr>
          </w:p>
        </w:tc>
        <w:tc>
          <w:tcPr>
            <w:tcW w:w="1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Perkins Caufield &amp;</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49"/>
        </w:trPr>
        <w:tc>
          <w:tcPr>
            <w:tcW w:w="40" w:type="dxa"/>
            <w:vAlign w:val="bottom"/>
          </w:tcPr>
          <w:p>
            <w:pPr>
              <w:spacing w:after="0"/>
              <w:rPr>
                <w:sz w:val="21"/>
                <w:szCs w:val="21"/>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Byers</w:t>
            </w:r>
            <w:r>
              <w:rPr>
                <w:rFonts w:ascii="Arial" w:cs="Arial" w:eastAsia="Arial" w:hAnsi="Arial"/>
                <w:sz w:val="19"/>
                <w:szCs w:val="19"/>
                <w:color w:val="auto"/>
                <w:vertAlign w:val="superscript"/>
              </w:rPr>
              <w:t>(1)</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7,751,463</w:t>
            </w:r>
          </w:p>
        </w:tc>
        <w:tc>
          <w:tcPr>
            <w:tcW w:w="12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7,751,463</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12.88</w:t>
            </w:r>
          </w:p>
        </w:tc>
        <w:tc>
          <w:tcPr>
            <w:tcW w:w="12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622,401</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7,129,062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11.78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101,461</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7,027,601</w:t>
            </w:r>
          </w:p>
        </w:tc>
        <w:tc>
          <w:tcPr>
            <w:tcW w:w="100" w:type="dxa"/>
            <w:vAlign w:val="bottom"/>
          </w:tcPr>
          <w:p>
            <w:pPr>
              <w:spacing w:after="0"/>
              <w:rPr>
                <w:sz w:val="21"/>
                <w:szCs w:val="21"/>
                <w:color w:val="auto"/>
              </w:rPr>
            </w:pPr>
          </w:p>
        </w:tc>
        <w:tc>
          <w:tcPr>
            <w:tcW w:w="560" w:type="dxa"/>
            <w:vAlign w:val="bottom"/>
          </w:tcPr>
          <w:p>
            <w:pPr>
              <w:ind w:left="220"/>
              <w:spacing w:after="0"/>
              <w:rPr>
                <w:sz w:val="20"/>
                <w:szCs w:val="20"/>
                <w:color w:val="auto"/>
              </w:rPr>
            </w:pPr>
            <w:r>
              <w:rPr>
                <w:rFonts w:ascii="Arial" w:cs="Arial" w:eastAsia="Arial" w:hAnsi="Arial"/>
                <w:sz w:val="12"/>
                <w:szCs w:val="12"/>
                <w:color w:val="auto"/>
              </w:rPr>
              <w:t>11.6</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8"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6"/>
          </w:tcPr>
          <w:p>
            <w:pPr>
              <w:ind w:left="76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Shares 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Common stock</w:t>
            </w:r>
          </w:p>
        </w:tc>
        <w:tc>
          <w:tcPr>
            <w:tcW w:w="116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80" w:type="dxa"/>
            <w:vAlign w:val="bottom"/>
          </w:tcPr>
          <w:p>
            <w:pPr>
              <w:jc w:val="right"/>
              <w:ind w:right="18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Entities affiliated with</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ind w:left="160"/>
              <w:spacing w:after="0" w:line="169" w:lineRule="exact"/>
              <w:rPr>
                <w:sz w:val="20"/>
                <w:szCs w:val="20"/>
                <w:color w:val="auto"/>
              </w:rPr>
            </w:pPr>
            <w:r>
              <w:rPr>
                <w:rFonts w:ascii="Arial" w:cs="Arial" w:eastAsia="Arial" w:hAnsi="Arial"/>
                <w:sz w:val="12"/>
                <w:szCs w:val="12"/>
                <w:color w:val="auto"/>
              </w:rPr>
              <w:t>Obvious Ventures</w:t>
            </w:r>
            <w:r>
              <w:rPr>
                <w:rFonts w:ascii="Arial" w:cs="Arial" w:eastAsia="Arial" w:hAnsi="Arial"/>
                <w:sz w:val="19"/>
                <w:szCs w:val="19"/>
                <w:color w:val="auto"/>
                <w:vertAlign w:val="superscript"/>
              </w:rPr>
              <w:t>(2)</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4,462,542</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4,462,542</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348,138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4,114,404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56,752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4,057,652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6.70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DNS-BYMT, LLC</w:t>
            </w:r>
            <w:r>
              <w:rPr>
                <w:rFonts w:ascii="Arial" w:cs="Arial" w:eastAsia="Arial" w:hAnsi="Arial"/>
                <w:sz w:val="19"/>
                <w:szCs w:val="19"/>
                <w:color w:val="auto"/>
                <w:vertAlign w:val="superscript"/>
              </w:rPr>
              <w:t>(3)</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4,390,084</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4,390,084</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7.30</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4,390,084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7.25</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4,390,084</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7.25</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gridSpan w:val="6"/>
          </w:tcPr>
          <w:p>
            <w:pPr>
              <w:ind w:left="40"/>
              <w:spacing w:after="0"/>
              <w:rPr>
                <w:sz w:val="20"/>
                <w:szCs w:val="20"/>
                <w:color w:val="auto"/>
              </w:rPr>
            </w:pPr>
            <w:r>
              <w:rPr>
                <w:rFonts w:ascii="Arial" w:cs="Arial" w:eastAsia="Arial" w:hAnsi="Arial"/>
                <w:sz w:val="12"/>
                <w:szCs w:val="12"/>
                <w:b w:val="1"/>
                <w:bCs w:val="1"/>
                <w:color w:val="auto"/>
                <w:w w:val="97"/>
              </w:rPr>
              <w:t>Named executive officers and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2"/>
                <w:szCs w:val="12"/>
                <w:b w:val="1"/>
                <w:bCs w:val="1"/>
                <w:color w:val="auto"/>
              </w:rPr>
              <w:t>directors</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Ethan Brown</w:t>
            </w:r>
            <w:r>
              <w:rPr>
                <w:rFonts w:ascii="Arial" w:cs="Arial" w:eastAsia="Arial" w:hAnsi="Arial"/>
                <w:sz w:val="19"/>
                <w:szCs w:val="19"/>
                <w:color w:val="auto"/>
                <w:vertAlign w:val="superscript"/>
              </w:rPr>
              <w:t>(4)</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1,604,027</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1,573,895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3,177,922</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39,130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3,138,792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5,870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3,132,922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Donald Thompson</w:t>
            </w:r>
            <w:r>
              <w:rPr>
                <w:rFonts w:ascii="Arial" w:cs="Arial" w:eastAsia="Arial" w:hAnsi="Arial"/>
                <w:sz w:val="19"/>
                <w:szCs w:val="19"/>
                <w:color w:val="auto"/>
                <w:vertAlign w:val="superscript"/>
              </w:rPr>
              <w:t>(5)</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2,632,384</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2,632,384</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4.37</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2,632,384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4.35</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2,632,384</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4.35</w:t>
            </w: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vMerge w:val="restart"/>
            <w:shd w:val="clear" w:color="auto" w:fill="CCEEFF"/>
          </w:tcPr>
          <w:p>
            <w:pPr>
              <w:spacing w:after="0"/>
              <w:rPr>
                <w:sz w:val="20"/>
                <w:szCs w:val="20"/>
                <w:color w:val="auto"/>
              </w:rPr>
            </w:pPr>
            <w:r>
              <w:rPr>
                <w:rFonts w:ascii="Arial" w:cs="Arial" w:eastAsia="Arial" w:hAnsi="Arial"/>
                <w:sz w:val="12"/>
                <w:szCs w:val="12"/>
                <w:color w:val="auto"/>
              </w:rPr>
              <w:t>Seth Goldman</w:t>
            </w:r>
            <w:r>
              <w:rPr>
                <w:rFonts w:ascii="Arial" w:cs="Arial" w:eastAsia="Arial" w:hAnsi="Arial"/>
                <w:sz w:val="19"/>
                <w:szCs w:val="19"/>
                <w:color w:val="auto"/>
                <w:vertAlign w:val="superscript"/>
              </w:rPr>
              <w:t>(6)</w:t>
            </w:r>
          </w:p>
        </w:tc>
        <w:tc>
          <w:tcPr>
            <w:tcW w:w="9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1,019,011</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13,213</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1,032,224</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1,032,224</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1,032,224</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4"/>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Gregory Bohlen</w:t>
            </w:r>
            <w:r>
              <w:rPr>
                <w:rFonts w:ascii="Arial" w:cs="Arial" w:eastAsia="Arial" w:hAnsi="Arial"/>
                <w:sz w:val="19"/>
                <w:szCs w:val="19"/>
                <w:color w:val="auto"/>
                <w:vertAlign w:val="superscript"/>
              </w:rPr>
              <w:t>(7)</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797,224</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797,224</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62,194</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735,030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10,138</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724,892</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Mark J. Nelson</w:t>
            </w:r>
            <w:r>
              <w:rPr>
                <w:rFonts w:ascii="Arial" w:cs="Arial" w:eastAsia="Arial" w:hAnsi="Arial"/>
                <w:sz w:val="19"/>
                <w:szCs w:val="19"/>
                <w:color w:val="auto"/>
                <w:vertAlign w:val="superscript"/>
              </w:rPr>
              <w:t>(8)</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520,268</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223,953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744,221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55,418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688,803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9,034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679,769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Bernhard van Lengerich</w:t>
            </w:r>
            <w:r>
              <w:rPr>
                <w:rFonts w:ascii="Arial" w:cs="Arial" w:eastAsia="Arial" w:hAnsi="Arial"/>
                <w:sz w:val="19"/>
                <w:szCs w:val="19"/>
                <w:color w:val="auto"/>
                <w:vertAlign w:val="superscript"/>
              </w:rPr>
              <w:t>(9)</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453,076</w:t>
            </w:r>
          </w:p>
        </w:tc>
        <w:tc>
          <w:tcPr>
            <w:tcW w:w="1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133,147</w:t>
            </w:r>
          </w:p>
        </w:tc>
        <w:tc>
          <w:tcPr>
            <w:tcW w:w="12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586,223</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52,174</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534,049</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7,826</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526,223</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Charles Muth</w:t>
            </w:r>
            <w:r>
              <w:rPr>
                <w:rFonts w:ascii="Arial" w:cs="Arial" w:eastAsia="Arial" w:hAnsi="Arial"/>
                <w:sz w:val="19"/>
                <w:szCs w:val="19"/>
                <w:color w:val="auto"/>
                <w:vertAlign w:val="superscript"/>
              </w:rPr>
              <w:t>(10)</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239,895</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41,373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281,268</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21,130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260,138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3,444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256,694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Raymond J. Lane</w:t>
            </w:r>
            <w:r>
              <w:rPr>
                <w:rFonts w:ascii="Arial" w:cs="Arial" w:eastAsia="Arial" w:hAnsi="Arial"/>
                <w:sz w:val="19"/>
                <w:szCs w:val="19"/>
                <w:color w:val="auto"/>
                <w:vertAlign w:val="superscript"/>
              </w:rPr>
              <w:t>(11)</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256,108</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256,108</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256,108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256,108</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Diane Carhart</w:t>
            </w:r>
            <w:r>
              <w:rPr>
                <w:rFonts w:ascii="Arial" w:cs="Arial" w:eastAsia="Arial" w:hAnsi="Arial"/>
                <w:sz w:val="19"/>
                <w:szCs w:val="19"/>
                <w:color w:val="auto"/>
                <w:vertAlign w:val="superscript"/>
              </w:rPr>
              <w:t>(12)</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9,069</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90,936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100,005</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9,069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90,936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90,936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Dariush Ajami</w:t>
            </w:r>
            <w:r>
              <w:rPr>
                <w:rFonts w:ascii="Arial" w:cs="Arial" w:eastAsia="Arial" w:hAnsi="Arial"/>
                <w:sz w:val="19"/>
                <w:szCs w:val="19"/>
                <w:color w:val="auto"/>
                <w:vertAlign w:val="superscript"/>
              </w:rPr>
              <w:t>(13)</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4,083</w:t>
            </w:r>
          </w:p>
        </w:tc>
        <w:tc>
          <w:tcPr>
            <w:tcW w:w="1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83,494</w:t>
            </w:r>
          </w:p>
        </w:tc>
        <w:tc>
          <w:tcPr>
            <w:tcW w:w="12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87,577</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87,577</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87,577</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w w:val="99"/>
              </w:rPr>
              <w:t>Christopher Isaac Stone</w:t>
            </w:r>
            <w:r>
              <w:rPr>
                <w:rFonts w:ascii="Arial" w:cs="Arial" w:eastAsia="Arial" w:hAnsi="Arial"/>
                <w:sz w:val="19"/>
                <w:szCs w:val="19"/>
                <w:color w:val="auto"/>
                <w:w w:val="99"/>
                <w:vertAlign w:val="superscript"/>
              </w:rPr>
              <w:t>(14)</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18,519</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18,519</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18,519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18,519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Ned Segal</w:t>
            </w:r>
            <w:r>
              <w:rPr>
                <w:rFonts w:ascii="Arial" w:cs="Arial" w:eastAsia="Arial" w:hAnsi="Arial"/>
                <w:sz w:val="19"/>
                <w:szCs w:val="19"/>
                <w:color w:val="auto"/>
                <w:vertAlign w:val="superscript"/>
              </w:rPr>
              <w:t>(15)</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6,976</w:t>
            </w:r>
          </w:p>
        </w:tc>
        <w:tc>
          <w:tcPr>
            <w:tcW w:w="12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11,976</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11,976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11,976</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Kathy N. Waller</w:t>
            </w:r>
            <w:r>
              <w:rPr>
                <w:rFonts w:ascii="Arial" w:cs="Arial" w:eastAsia="Arial" w:hAnsi="Arial"/>
                <w:sz w:val="19"/>
                <w:szCs w:val="19"/>
                <w:color w:val="auto"/>
                <w:vertAlign w:val="superscript"/>
              </w:rPr>
              <w:t>(16)</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6,976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7,476</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7,476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7,476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All directors and executive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4"/>
          </w:tcPr>
          <w:p>
            <w:pPr>
              <w:ind w:left="160"/>
              <w:spacing w:after="0" w:line="126" w:lineRule="exact"/>
              <w:rPr>
                <w:sz w:val="20"/>
                <w:szCs w:val="20"/>
                <w:color w:val="auto"/>
              </w:rPr>
            </w:pPr>
            <w:r>
              <w:rPr>
                <w:rFonts w:ascii="Arial" w:cs="Arial" w:eastAsia="Arial" w:hAnsi="Arial"/>
                <w:sz w:val="12"/>
                <w:szCs w:val="12"/>
                <w:color w:val="auto"/>
              </w:rPr>
              <w:t>officers as a</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160"/>
              <w:spacing w:after="0" w:line="169" w:lineRule="exact"/>
              <w:rPr>
                <w:sz w:val="20"/>
                <w:szCs w:val="20"/>
                <w:color w:val="auto"/>
              </w:rPr>
            </w:pPr>
            <w:r>
              <w:rPr>
                <w:rFonts w:ascii="Arial" w:cs="Arial" w:eastAsia="Arial" w:hAnsi="Arial"/>
                <w:sz w:val="12"/>
                <w:szCs w:val="12"/>
                <w:color w:val="auto"/>
              </w:rPr>
              <w:t>group</w:t>
            </w:r>
            <w:r>
              <w:rPr>
                <w:rFonts w:ascii="Arial" w:cs="Arial" w:eastAsia="Arial" w:hAnsi="Arial"/>
                <w:sz w:val="19"/>
                <w:szCs w:val="19"/>
                <w:color w:val="auto"/>
                <w:vertAlign w:val="superscript"/>
              </w:rPr>
              <w:t>(17)</w:t>
            </w:r>
            <w:r>
              <w:rPr>
                <w:rFonts w:ascii="Arial" w:cs="Arial" w:eastAsia="Arial" w:hAnsi="Arial"/>
                <w:sz w:val="12"/>
                <w:szCs w:val="12"/>
                <w:color w:val="auto"/>
              </w:rPr>
              <w:t xml:space="preserve"> (15 persons)</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7,563,698</w:t>
            </w:r>
          </w:p>
        </w:tc>
        <w:tc>
          <w:tcPr>
            <w:tcW w:w="1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2,217,617</w:t>
            </w:r>
          </w:p>
        </w:tc>
        <w:tc>
          <w:tcPr>
            <w:tcW w:w="1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9,871,375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15.68</w:t>
            </w:r>
          </w:p>
        </w:tc>
        <w:tc>
          <w:tcPr>
            <w:tcW w:w="1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191,475</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9,589,900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15.28</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28,486</w:t>
            </w:r>
          </w:p>
        </w:tc>
        <w:tc>
          <w:tcPr>
            <w:tcW w:w="10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9,561,414</w:t>
            </w:r>
          </w:p>
        </w:tc>
        <w:tc>
          <w:tcPr>
            <w:tcW w:w="10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15.24</w:t>
            </w:r>
          </w:p>
        </w:tc>
        <w:tc>
          <w:tcPr>
            <w:tcW w:w="0" w:type="dxa"/>
            <w:vAlign w:val="bottom"/>
          </w:tcPr>
          <w:p>
            <w:pPr>
              <w:spacing w:after="0"/>
              <w:rPr>
                <w:sz w:val="1"/>
                <w:szCs w:val="1"/>
                <w:color w:val="auto"/>
              </w:rPr>
            </w:pPr>
          </w:p>
        </w:tc>
      </w:tr>
      <w:tr>
        <w:trPr>
          <w:trHeight w:val="150"/>
        </w:trPr>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Other selling</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2"/>
                <w:szCs w:val="12"/>
                <w:b w:val="1"/>
                <w:bCs w:val="1"/>
                <w:color w:val="auto"/>
              </w:rPr>
              <w:t>stockholders:</w:t>
            </w: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Strategic Partners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160"/>
              <w:spacing w:after="0" w:line="169" w:lineRule="exact"/>
              <w:rPr>
                <w:sz w:val="20"/>
                <w:szCs w:val="20"/>
                <w:color w:val="auto"/>
              </w:rPr>
            </w:pPr>
            <w:r>
              <w:rPr>
                <w:rFonts w:ascii="Arial" w:cs="Arial" w:eastAsia="Arial" w:hAnsi="Arial"/>
                <w:sz w:val="12"/>
                <w:szCs w:val="12"/>
                <w:color w:val="auto"/>
              </w:rPr>
              <w:t>Entities</w:t>
            </w:r>
            <w:r>
              <w:rPr>
                <w:rFonts w:ascii="Arial" w:cs="Arial" w:eastAsia="Arial" w:hAnsi="Arial"/>
                <w:sz w:val="19"/>
                <w:szCs w:val="19"/>
                <w:color w:val="auto"/>
                <w:vertAlign w:val="superscript"/>
              </w:rPr>
              <w:t>(18)</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1,003,964</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1,003,964</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1.67</w:t>
            </w:r>
          </w:p>
        </w:tc>
        <w:tc>
          <w:tcPr>
            <w:tcW w:w="1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78,322</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925,642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12,767</w:t>
            </w:r>
          </w:p>
        </w:tc>
        <w:tc>
          <w:tcPr>
            <w:tcW w:w="10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912,875</w:t>
            </w:r>
          </w:p>
        </w:tc>
        <w:tc>
          <w:tcPr>
            <w:tcW w:w="10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Future Positive Health</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ind w:left="160"/>
              <w:spacing w:after="0" w:line="169" w:lineRule="exact"/>
              <w:rPr>
                <w:sz w:val="20"/>
                <w:szCs w:val="20"/>
                <w:color w:val="auto"/>
              </w:rPr>
            </w:pPr>
            <w:r>
              <w:rPr>
                <w:rFonts w:ascii="Arial" w:cs="Arial" w:eastAsia="Arial" w:hAnsi="Arial"/>
                <w:sz w:val="19"/>
                <w:szCs w:val="19"/>
                <w:color w:val="auto"/>
                <w:vertAlign w:val="subscript"/>
              </w:rPr>
              <w:t>SPV</w:t>
            </w:r>
            <w:r>
              <w:rPr>
                <w:rFonts w:ascii="Arial" w:cs="Arial" w:eastAsia="Arial" w:hAnsi="Arial"/>
                <w:sz w:val="9"/>
                <w:szCs w:val="9"/>
                <w:color w:val="auto"/>
              </w:rPr>
              <w:t>(19)</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1,774,573</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1,774,573</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138,440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1,636,133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22,568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1,613,565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S2G Entities</w:t>
            </w:r>
            <w:r>
              <w:rPr>
                <w:rFonts w:ascii="Arial" w:cs="Arial" w:eastAsia="Arial" w:hAnsi="Arial"/>
                <w:sz w:val="19"/>
                <w:szCs w:val="19"/>
                <w:color w:val="auto"/>
                <w:vertAlign w:val="superscript"/>
              </w:rPr>
              <w:t>(20)</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1,814,375</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1,814,375</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3.02</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141,545</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1,672,830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23,074</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1,649,756</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Gates Entities</w:t>
            </w:r>
            <w:r>
              <w:rPr>
                <w:rFonts w:ascii="Arial" w:cs="Arial" w:eastAsia="Arial" w:hAnsi="Arial"/>
                <w:sz w:val="19"/>
                <w:szCs w:val="19"/>
                <w:color w:val="auto"/>
                <w:vertAlign w:val="superscript"/>
              </w:rPr>
              <w:t>(21)</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1,688,971</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1,688,971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128,737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1,560,234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24,975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1,535,259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Morgan Creek Partners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4"/>
          </w:tcPr>
          <w:p>
            <w:pPr>
              <w:ind w:left="160"/>
              <w:spacing w:after="0" w:line="135" w:lineRule="exact"/>
              <w:rPr>
                <w:sz w:val="20"/>
                <w:szCs w:val="20"/>
                <w:color w:val="auto"/>
              </w:rPr>
            </w:pPr>
            <w:r>
              <w:rPr>
                <w:rFonts w:ascii="Arial" w:cs="Arial" w:eastAsia="Arial" w:hAnsi="Arial"/>
                <w:sz w:val="12"/>
                <w:szCs w:val="12"/>
                <w:color w:val="auto"/>
              </w:rPr>
              <w:t>Venture Access Funds,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160"/>
              <w:spacing w:after="0"/>
              <w:rPr>
                <w:sz w:val="20"/>
                <w:szCs w:val="20"/>
                <w:color w:val="auto"/>
              </w:rPr>
            </w:pPr>
            <w:r>
              <w:rPr>
                <w:rFonts w:ascii="Arial" w:cs="Arial" w:eastAsia="Arial" w:hAnsi="Arial"/>
                <w:sz w:val="12"/>
                <w:szCs w:val="12"/>
                <w:color w:val="auto"/>
              </w:rPr>
              <w:t>L.P.</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1,610,024</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1,610,024</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2.68</w:t>
            </w:r>
          </w:p>
        </w:tc>
        <w:tc>
          <w:tcPr>
            <w:tcW w:w="1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125,603</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1,484,421</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2.45</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20,475</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1,463,946</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Mitsui &amp; Co. (U.S.A.), Inc.</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808,433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808,433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63,068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745,365</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735,084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Eminent Harmony Limited</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489,141</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489,141</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38,282</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450,859</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6,240</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444,619</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Unicorn Link International,</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2"/>
                <w:szCs w:val="12"/>
                <w:color w:val="auto"/>
              </w:rPr>
              <w:t>Ltd.</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436,055</w:t>
            </w: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436,055</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33,895</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402,160</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5,525</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396,635</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Proof I Entities</w:t>
            </w:r>
            <w:r>
              <w:rPr>
                <w:rFonts w:ascii="Arial" w:cs="Arial" w:eastAsia="Arial" w:hAnsi="Arial"/>
                <w:sz w:val="19"/>
                <w:szCs w:val="19"/>
                <w:color w:val="auto"/>
                <w:vertAlign w:val="superscript"/>
              </w:rPr>
              <w:t>(22)</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1,317,830</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1,317,830</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2.19</w:t>
            </w:r>
          </w:p>
        </w:tc>
        <w:tc>
          <w:tcPr>
            <w:tcW w:w="120" w:type="dxa"/>
            <w:vAlign w:val="bottom"/>
          </w:tcPr>
          <w:p>
            <w:pPr>
              <w:spacing w:after="0"/>
              <w:rPr>
                <w:sz w:val="23"/>
                <w:szCs w:val="2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102,808</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1,215,022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2.01</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16,308</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1,198,714</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MLC50 LP Inc.</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312,165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312,165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24,353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287,812</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283,843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Humane Society of the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160"/>
              <w:spacing w:after="0"/>
              <w:rPr>
                <w:sz w:val="20"/>
                <w:szCs w:val="20"/>
                <w:color w:val="auto"/>
              </w:rPr>
            </w:pPr>
            <w:r>
              <w:rPr>
                <w:rFonts w:ascii="Arial" w:cs="Arial" w:eastAsia="Arial" w:hAnsi="Arial"/>
                <w:sz w:val="12"/>
                <w:szCs w:val="12"/>
                <w:color w:val="auto"/>
              </w:rPr>
              <w:t>United States</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277,303</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277,303</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21,633</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255,670</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3,526</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252,144</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w w:val="97"/>
              </w:rPr>
              <w:t>Sidney W. Swartz Trusts</w:t>
            </w:r>
            <w:r>
              <w:rPr>
                <w:rFonts w:ascii="Arial" w:cs="Arial" w:eastAsia="Arial" w:hAnsi="Arial"/>
                <w:sz w:val="19"/>
                <w:szCs w:val="19"/>
                <w:color w:val="auto"/>
                <w:w w:val="97"/>
                <w:vertAlign w:val="superscript"/>
              </w:rPr>
              <w:t>(23)</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431,092</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431,092</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33,629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397,463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5,481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391,982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Closed Loop Capital</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160"/>
              <w:spacing w:after="0"/>
              <w:rPr>
                <w:sz w:val="20"/>
                <w:szCs w:val="20"/>
                <w:color w:val="auto"/>
              </w:rPr>
            </w:pPr>
            <w:r>
              <w:rPr>
                <w:rFonts w:ascii="Arial" w:cs="Arial" w:eastAsia="Arial" w:hAnsi="Arial"/>
                <w:sz w:val="12"/>
                <w:szCs w:val="12"/>
                <w:color w:val="auto"/>
              </w:rPr>
              <w:t>Investments, L.P.</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269,220</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269,220</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21,002</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248,218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3,423</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244,795</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Powerplant Ventures, LP</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263,168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263,168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20,530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242,638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239,292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spacing w:after="0"/>
              <w:rPr>
                <w:sz w:val="20"/>
                <w:szCs w:val="20"/>
                <w:color w:val="auto"/>
              </w:rPr>
            </w:pPr>
            <w:r>
              <w:rPr>
                <w:rFonts w:ascii="Arial" w:cs="Arial" w:eastAsia="Arial" w:hAnsi="Arial"/>
                <w:sz w:val="12"/>
                <w:szCs w:val="12"/>
                <w:color w:val="auto"/>
              </w:rPr>
              <w:t>Bunge Ventures Ltd.</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979,556</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979,556</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76,418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903,138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12,457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890,681</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Primerose Development</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Group Limited</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1,589,640</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1,589,640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137,014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1,452,626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22,335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1,430,291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614"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60" w:type="dxa"/>
            <w:vAlign w:val="bottom"/>
            <w:gridSpan w:val="6"/>
          </w:tcPr>
          <w:p>
            <w:pPr>
              <w:ind w:left="78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Shares</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Common stock</w:t>
            </w:r>
          </w:p>
        </w:tc>
        <w:tc>
          <w:tcPr>
            <w:tcW w:w="112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8"/>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Hyunju Yang</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17,028</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17,028</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4,110</w:t>
            </w:r>
          </w:p>
        </w:tc>
        <w:tc>
          <w:tcPr>
            <w:tcW w:w="10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12,918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12,248</w:t>
            </w:r>
          </w:p>
        </w:tc>
        <w:tc>
          <w:tcPr>
            <w:tcW w:w="100" w:type="dxa"/>
            <w:vAlign w:val="bottom"/>
          </w:tcPr>
          <w:p>
            <w:pPr>
              <w:spacing w:after="0"/>
              <w:rPr>
                <w:sz w:val="20"/>
                <w:szCs w:val="20"/>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Total Formation Inc.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1,589,639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1,589,639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137,014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1,452,625</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22,335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1,430,290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Sugar Bear Investments,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LLC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134,610</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134,610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10,501</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124,109</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1,711</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122,398</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TriplePoint Capital 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119,891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119,891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9,353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110,538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109,014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Innovative Fund, LLC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1,131,725</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1,131,725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1.88</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88,289</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1,043,436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14,392</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1,029,044</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Brent Taylor</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414,656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414,656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32,348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382,308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377,035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CAVU Venture Partners II,</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LP</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386,494</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386,494</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30,151</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356,343</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4,915</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351,428</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ind w:left="160"/>
              <w:spacing w:after="0"/>
              <w:rPr>
                <w:sz w:val="20"/>
                <w:szCs w:val="20"/>
                <w:color w:val="auto"/>
              </w:rPr>
            </w:pPr>
            <w:r>
              <w:rPr>
                <w:rFonts w:ascii="Arial" w:cs="Arial" w:eastAsia="Arial" w:hAnsi="Arial"/>
                <w:sz w:val="12"/>
                <w:szCs w:val="12"/>
                <w:color w:val="auto"/>
              </w:rPr>
              <w:t>West Investments IV, LLC</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90,107</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38,603</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128,710</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9,692</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119,018</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1,580</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117,438</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gridSpan w:val="2"/>
            <w:vMerge w:val="continue"/>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Little Harbor SAZ, LLC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248,751</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248,751</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19,405</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229,346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3,163</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226,183</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The Bunting Family Private</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Fund 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161,686</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161,686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12,613</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149,073</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2,056</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147,017</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General Mills, Inc.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176,768</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176,768</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13,790</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162,978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2,248</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160,730</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Anni Roder</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34,905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34,905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32,182</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31,739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Demming International Ltd.</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34,279</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34,279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2,674</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31,605</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435</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31,170</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Scott Hairston</w:t>
            </w:r>
            <w:r>
              <w:rPr>
                <w:rFonts w:ascii="Arial" w:cs="Arial" w:eastAsia="Arial" w:hAnsi="Arial"/>
                <w:sz w:val="19"/>
                <w:szCs w:val="19"/>
                <w:color w:val="auto"/>
                <w:vertAlign w:val="superscript"/>
              </w:rPr>
              <w:t>(24)</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97,556</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97,556</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27,826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69,730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4,174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65,556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Impact Assets, Inc.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257,626</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257,626</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20,098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237,528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3,276</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234,252</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Ismene, Ltd.</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86,841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86,841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6,774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80,067</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78,963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Mortimer Trust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276,603</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276,603</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21,578</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255,025</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3,517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251,508</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OurCrowd (Investment in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w w:val="97"/>
              </w:rPr>
              <w:t>Beyond) LP, a BVI limited</w:t>
            </w: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Partnership</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28,063</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28,063</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2,189</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25,874</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356</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25,518</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Dae Kim</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260,039</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260,039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20,286</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239,753</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3,307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236,446</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MSA Entities</w:t>
            </w:r>
            <w:r>
              <w:rPr>
                <w:rFonts w:ascii="Arial" w:cs="Arial" w:eastAsia="Arial" w:hAnsi="Arial"/>
                <w:sz w:val="19"/>
                <w:szCs w:val="19"/>
                <w:color w:val="auto"/>
                <w:vertAlign w:val="superscript"/>
              </w:rPr>
              <w:t>(25)</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243,500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243,500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18,996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224,504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221,408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Y Capital Management Inc.</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21,024</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21,024</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1,640</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19,384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19,117</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w w:val="98"/>
              </w:rPr>
              <w:t>H. Barton Co-Invest Fund III,</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71,415</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71,415</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5,571</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65,844</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908</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64,936</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Welch Trust Entities(26)</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103,138</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103,138</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8,046</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95,092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1,310</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93,782</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Ambrosia SPV 1</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91,412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91,412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84,281</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The Rebholz 2012 Trust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DTD 7/12/12</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31,097</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31,097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2,425</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28,672</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28,277</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Blue Horizon Corporation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Inc.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45,704</w:t>
            </w:r>
          </w:p>
        </w:tc>
        <w:tc>
          <w:tcPr>
            <w:tcW w:w="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45,704</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3,565</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42,139</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581</w:t>
            </w: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41,558</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Shaun Roger White Family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Trust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13,710</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13,710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1,069</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12,641</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12,467</w:t>
            </w: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David Zarfes</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45,902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45,902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42,322</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41,739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Levin Entities</w:t>
            </w:r>
            <w:r>
              <w:rPr>
                <w:rFonts w:ascii="Arial" w:cs="Arial" w:eastAsia="Arial" w:hAnsi="Arial"/>
                <w:sz w:val="19"/>
                <w:szCs w:val="19"/>
                <w:color w:val="auto"/>
                <w:vertAlign w:val="superscript"/>
              </w:rPr>
              <w:t>(27)</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51,418</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51,418</w:t>
            </w: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4,010</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47,408</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652</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46,756</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Moskowitz Entities</w:t>
            </w:r>
            <w:r>
              <w:rPr>
                <w:rFonts w:ascii="Arial" w:cs="Arial" w:eastAsia="Arial" w:hAnsi="Arial"/>
                <w:sz w:val="19"/>
                <w:szCs w:val="19"/>
                <w:color w:val="auto"/>
                <w:vertAlign w:val="superscript"/>
              </w:rPr>
              <w:t>(28)</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73,059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73,281</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5,716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67,565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931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66,634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New Crop Capital</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61,070</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61,070</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4,764</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56,306</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776</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55,530</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Big Loud Capital, LLC</w:t>
            </w: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9,141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9,141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8,428</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8,312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Moore Entities</w:t>
            </w:r>
            <w:r>
              <w:rPr>
                <w:rFonts w:ascii="Arial" w:cs="Arial" w:eastAsia="Arial" w:hAnsi="Arial"/>
                <w:sz w:val="19"/>
                <w:szCs w:val="19"/>
                <w:color w:val="auto"/>
                <w:vertAlign w:val="superscript"/>
              </w:rPr>
              <w:t>(29)</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2,760</w:t>
            </w:r>
          </w:p>
        </w:tc>
        <w:tc>
          <w:tcPr>
            <w:tcW w:w="12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5,907</w:t>
            </w:r>
          </w:p>
        </w:tc>
        <w:tc>
          <w:tcPr>
            <w:tcW w:w="12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8,667</w:t>
            </w: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760</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7,907</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7,783</w:t>
            </w:r>
          </w:p>
        </w:tc>
        <w:tc>
          <w:tcPr>
            <w:tcW w:w="10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Other selling stockholder</w:t>
            </w: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320"/>
              <w:spacing w:after="0" w:line="169" w:lineRule="exact"/>
              <w:rPr>
                <w:sz w:val="20"/>
                <w:szCs w:val="20"/>
                <w:color w:val="auto"/>
              </w:rPr>
            </w:pPr>
            <w:r>
              <w:rPr>
                <w:rFonts w:ascii="Arial" w:cs="Arial" w:eastAsia="Arial" w:hAnsi="Arial"/>
                <w:sz w:val="12"/>
                <w:szCs w:val="12"/>
                <w:color w:val="auto"/>
              </w:rPr>
              <w:t>investors</w:t>
            </w:r>
            <w:r>
              <w:rPr>
                <w:rFonts w:ascii="Arial" w:cs="Arial" w:eastAsia="Arial" w:hAnsi="Arial"/>
                <w:sz w:val="19"/>
                <w:szCs w:val="19"/>
                <w:color w:val="auto"/>
                <w:vertAlign w:val="superscript"/>
              </w:rPr>
              <w:t>(30)</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541,604</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47,199</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588,803</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46,296</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542,507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7,037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535,470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2"/>
                <w:szCs w:val="12"/>
                <w:color w:val="auto"/>
              </w:rPr>
              <w:t>Other selling stockholder</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employees of the</w:t>
            </w: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680" w:type="dxa"/>
            <w:vAlign w:val="bottom"/>
            <w:gridSpan w:val="2"/>
          </w:tcPr>
          <w:p>
            <w:pPr>
              <w:ind w:left="320"/>
              <w:spacing w:after="0"/>
              <w:rPr>
                <w:sz w:val="20"/>
                <w:szCs w:val="20"/>
                <w:color w:val="auto"/>
              </w:rPr>
            </w:pPr>
            <w:r>
              <w:rPr>
                <w:rFonts w:ascii="Arial" w:cs="Arial" w:eastAsia="Arial" w:hAnsi="Arial"/>
                <w:sz w:val="12"/>
                <w:szCs w:val="12"/>
                <w:color w:val="auto"/>
              </w:rPr>
              <w:t>Company</w:t>
            </w:r>
            <w:r>
              <w:rPr>
                <w:rFonts w:ascii="Arial" w:cs="Arial" w:eastAsia="Arial" w:hAnsi="Arial"/>
                <w:sz w:val="19"/>
                <w:szCs w:val="19"/>
                <w:color w:val="auto"/>
                <w:vertAlign w:val="superscript"/>
              </w:rPr>
              <w:t>(31)</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78,097</w:t>
            </w:r>
          </w:p>
        </w:tc>
        <w:tc>
          <w:tcPr>
            <w:tcW w:w="12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64,992</w:t>
            </w:r>
          </w:p>
        </w:tc>
        <w:tc>
          <w:tcPr>
            <w:tcW w:w="120" w:type="dxa"/>
            <w:vAlign w:val="bottom"/>
          </w:tcPr>
          <w:p>
            <w:pPr>
              <w:spacing w:after="0"/>
              <w:rPr>
                <w:sz w:val="21"/>
                <w:szCs w:val="21"/>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143,089</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11,445</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131,644</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1,083</w:t>
            </w: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130,561</w:t>
            </w: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614"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gridSpan w:val="6"/>
          </w:tcPr>
          <w:p>
            <w:pPr>
              <w:ind w:left="760"/>
              <w:spacing w:after="0"/>
              <w:rPr>
                <w:sz w:val="20"/>
                <w:szCs w:val="20"/>
                <w:color w:val="auto"/>
              </w:rPr>
            </w:pPr>
            <w:r>
              <w:rPr>
                <w:rFonts w:ascii="Arial" w:cs="Arial" w:eastAsia="Arial" w:hAnsi="Arial"/>
                <w:sz w:val="12"/>
                <w:szCs w:val="12"/>
                <w:b w:val="1"/>
                <w:bCs w:val="1"/>
                <w:color w:val="auto"/>
              </w:rPr>
              <w:t>Shares beneficially owned prior to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0" w:type="dxa"/>
            <w:vAlign w:val="bottom"/>
            <w:gridSpan w:val="7"/>
          </w:tcPr>
          <w:p>
            <w:pPr>
              <w:jc w:val="center"/>
              <w:ind w:right="420"/>
              <w:spacing w:after="0"/>
              <w:rPr>
                <w:sz w:val="20"/>
                <w:szCs w:val="20"/>
                <w:color w:val="auto"/>
              </w:rPr>
            </w:pPr>
            <w:r>
              <w:rPr>
                <w:rFonts w:ascii="Arial" w:cs="Arial" w:eastAsia="Arial" w:hAnsi="Arial"/>
                <w:sz w:val="12"/>
                <w:szCs w:val="12"/>
                <w:b w:val="1"/>
                <w:bCs w:val="1"/>
                <w:color w:val="auto"/>
                <w:w w:val="97"/>
              </w:rPr>
              <w:t>Shares beneficially owned after the offering</w:t>
            </w:r>
          </w:p>
        </w:tc>
        <w:tc>
          <w:tcPr>
            <w:tcW w:w="5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Assuming no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shares being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Assuming</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exercise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offered if option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exercise of</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6"/>
              </w:rPr>
              <w:t>to purchase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option to</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Options</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Aggregate number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purchase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1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purchase</w:t>
            </w:r>
          </w:p>
        </w:tc>
        <w:tc>
          <w:tcPr>
            <w:tcW w:w="5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exercisable</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of shares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8"/>
              </w:rPr>
              <w:t>Shares being</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shares is</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560" w:type="dxa"/>
            <w:vAlign w:val="bottom"/>
          </w:tcPr>
          <w:p>
            <w:pPr>
              <w:spacing w:after="0"/>
              <w:rPr>
                <w:sz w:val="11"/>
                <w:szCs w:val="11"/>
                <w:color w:val="auto"/>
              </w:rPr>
            </w:pPr>
          </w:p>
        </w:tc>
      </w:tr>
      <w:tr>
        <w:trPr>
          <w:trHeight w:val="133"/>
        </w:trPr>
        <w:tc>
          <w:tcPr>
            <w:tcW w:w="1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Name of beneficial owner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Common stock</w:t>
            </w:r>
          </w:p>
        </w:tc>
        <w:tc>
          <w:tcPr>
            <w:tcW w:w="116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within 60 days</w:t>
            </w: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beneficially owned</w:t>
            </w:r>
          </w:p>
        </w:tc>
        <w:tc>
          <w:tcPr>
            <w:tcW w:w="580" w:type="dxa"/>
            <w:vAlign w:val="bottom"/>
          </w:tcPr>
          <w:p>
            <w:pPr>
              <w:jc w:val="right"/>
              <w:ind w:right="182"/>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offered</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shares</w:t>
            </w:r>
          </w:p>
        </w:tc>
        <w:tc>
          <w:tcPr>
            <w:tcW w:w="6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7"/>
              </w:rPr>
              <w:t>exercised</w:t>
            </w:r>
          </w:p>
        </w:tc>
        <w:tc>
          <w:tcPr>
            <w:tcW w:w="11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shares</w:t>
            </w:r>
          </w:p>
        </w:tc>
        <w:tc>
          <w:tcPr>
            <w:tcW w:w="560" w:type="dxa"/>
            <w:vAlign w:val="bottom"/>
          </w:tcPr>
          <w:p>
            <w:pPr>
              <w:jc w:val="right"/>
              <w:ind w:right="162"/>
              <w:spacing w:after="0" w:line="133" w:lineRule="exact"/>
              <w:rPr>
                <w:sz w:val="20"/>
                <w:szCs w:val="20"/>
                <w:color w:val="auto"/>
              </w:rPr>
            </w:pPr>
            <w:r>
              <w:rPr>
                <w:rFonts w:ascii="Arial" w:cs="Arial" w:eastAsia="Arial" w:hAnsi="Arial"/>
                <w:sz w:val="12"/>
                <w:szCs w:val="12"/>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4"/>
        </w:trPr>
        <w:tc>
          <w:tcPr>
            <w:tcW w:w="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Other selling stockholder</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5"/>
        </w:trPr>
        <w:tc>
          <w:tcPr>
            <w:tcW w:w="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ambassador and other</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26"/>
        </w:trPr>
        <w:tc>
          <w:tcPr>
            <w:tcW w:w="4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non-employee investors</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69"/>
        </w:trPr>
        <w:tc>
          <w:tcPr>
            <w:tcW w:w="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320"/>
              <w:spacing w:after="0" w:line="169" w:lineRule="exact"/>
              <w:rPr>
                <w:sz w:val="20"/>
                <w:szCs w:val="20"/>
                <w:color w:val="auto"/>
              </w:rPr>
            </w:pPr>
            <w:r>
              <w:rPr>
                <w:rFonts w:ascii="Arial" w:cs="Arial" w:eastAsia="Arial" w:hAnsi="Arial"/>
                <w:sz w:val="12"/>
                <w:szCs w:val="12"/>
                <w:color w:val="auto"/>
              </w:rPr>
              <w:t>of the Company</w:t>
            </w:r>
            <w:r>
              <w:rPr>
                <w:rFonts w:ascii="Arial" w:cs="Arial" w:eastAsia="Arial" w:hAnsi="Arial"/>
                <w:sz w:val="19"/>
                <w:szCs w:val="19"/>
                <w:color w:val="auto"/>
                <w:vertAlign w:val="superscript"/>
              </w:rPr>
              <w:t>(32)</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57,750</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57,750</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3,392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54,358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53,807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5"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of the outstanding shares of our common stock.</w:t>
      </w:r>
    </w:p>
    <w:p>
      <w:pPr>
        <w:spacing w:after="0" w:line="5" w:lineRule="exact"/>
        <w:rPr>
          <w:sz w:val="20"/>
          <w:szCs w:val="20"/>
          <w:color w:val="auto"/>
        </w:rPr>
      </w:pPr>
    </w:p>
    <w:p>
      <w:pPr>
        <w:ind w:left="340" w:right="2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7,146,849 shares of common stock held by Kleiner Perkins Caufield &amp; Byers XIV, LLC (“KPCB XIV”) and (ii) 604,614 shares of common stock held by KPCB XIV Founders Fund, LLC (“KPCB XIV FF”). All shares are held for convenience in the name of “KPCB Holdings, Inc., as nominee” for the accounts of such entities. The managing member of KPCB XIV and KPCB XIV FF is KPCB XIV Associates, LLC (“KPCB XIV Associates”). Brook Byers, L. John Doerr, William Gordon and Theodore Schlein, the managing members of KPCB XIV Associates, may be deemed to have shared voting and dispositive power over the shares held by KPCB XIV and KPCB XIV FF. The address for each of the entities identified above is 2750 Sand Hill Road, Menlo Park, CA 94025.</w:t>
      </w:r>
    </w:p>
    <w:p>
      <w:pPr>
        <w:spacing w:after="0" w:line="2"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3,873,584 shares of common stock held by Obvious Group LLC (“Obvious Group”) and (ii) 588,958 shares of common stock held by Obvious Ventures I, L.P. (“OV1”). The sole managing member of Obvious Group is Evan Williams, who may be deemed to have sole voting and dispositive power over the shares held by Obvious Group. The general partner of Obvious Ventures I, L.P. is Obvious Ventures GP I, L.L.C. (“OV1 GP”). Evan Williams and James Joaquin, the managing members of OV1 GP, may be deemed to have shared voting and dispositive power over the shares held by OV1 GP. The address for Obvious Group is PO Box 849 Lafayette, CA 94549-0849. The address for OV1 and OV1 GP is 220 Halleck Street, Suite 120, San Francisco, CA 94129.</w:t>
      </w:r>
    </w:p>
    <w:p>
      <w:pPr>
        <w:spacing w:after="0" w:line="2"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4,390,084 shares of common stock held of record by DNS-BYMT, LLC. DNS-BYMT, LLC (“DNS”) is a manager-managed Delaware limited liability company. The controlling member of DNS is DNS Venture Partners, LLC (“DNS VP”), a manager-managed Delaware limited liability, and the sole managers of both DNS and DNS VP are P. Daniel Donohue and Edward Rabin who may be deemed to have shared voting and dispositive power over the shares held by DNS. Subsequent to July 10, 2019, DNS distributed 225,782 shares to certain of its members, including 97,556 shares to Scott Hairston, a portion of which are being sold in the offering (see footnote 24 below). The address for each of the entities identified above is 350 S Main Ave., Suite 402, Sioux Falls, SD 57104.</w:t>
      </w:r>
    </w:p>
    <w:p>
      <w:pPr>
        <w:spacing w:after="0" w:line="2"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1,604,027 shares of common stock and (ii) 1,573,895 shares of common stock issuable upon the exercise of stock options exercisable within 60 days after July 10, 2019. Pursuant to a personal loan from a lender that is not the company, all but 180,874 of Mr. Brown’s shares are subject to a “negative pledge” under which the sale or transfer of his shares would result in such loan becoming due.</w:t>
      </w:r>
    </w:p>
    <w:p>
      <w:pPr>
        <w:spacing w:after="0" w:line="1"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15,000 shares of common stock held by Donald Thompson, (ii) 520,181 shares of common stock held by Cleveland Manor Investments II LLC (“Cleveland Manor”), (iii) 1,940,680 shares of common stock held by Beyond Meat CA LLC (“BM CA”), and (iv) 156,523 shares of common stock held by CA Food I Fund, LLC (“CA Food”). Cleveland Avenue Food and Beverage Fund Holdings LLC (“CA F &amp; B”) is the sole member of BM CA. Cleveland Avenue GP, LLC (“CA GP”) is the sole manager of CA F &amp; B. Cleveland Avenue, LLC (“CA LLC”) is the sole manager of CA GP. Mr. Thompson is the sole manager of CA LLC and may be deemed to have sole voting and dispositive power over the shares held by BM CA. Mr. Thompson is the sole manager of Cleveland Manor and may be deemed to have sole voting and dispositive power over the shares held by Cleveland Manor. CA LLC is the sole manager of CA Food. Mr. Thompson is the sole manager of CA LLC and may be deemed to have sole voting and dispositive power over the shares held by CA Food. The address for each of the entities identified above is 222 N. Canal, St. Chicago, IL 60606.</w:t>
      </w:r>
    </w:p>
    <w:p>
      <w:pPr>
        <w:spacing w:after="0" w:line="3"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253,659 shares of common stock held by the Julie D. Farkas Revocable Trust, (ii) 92,358 shares of common stock held by the Seth Goldman Revocable Trust, (iii) an aggregate of 600 shares of common stock held by Seth Goldman’s sons, who are residing in Mr. Goldman’s household, (iv) 450 shares of common stock purchased by Impact Assets Inc., through a donor advised fund over which Mr. Goldman has dispositive control, and (v)</w:t>
      </w:r>
    </w:p>
    <w:p>
      <w:pPr>
        <w:spacing w:after="0" w:line="1" w:lineRule="exact"/>
        <w:rPr>
          <w:rFonts w:ascii="Arial" w:cs="Arial" w:eastAsia="Arial" w:hAnsi="Arial"/>
          <w:sz w:val="16"/>
          <w:szCs w:val="16"/>
          <w:color w:val="auto"/>
        </w:rPr>
      </w:pPr>
    </w:p>
    <w:p>
      <w:pPr>
        <w:ind w:left="340" w:right="120"/>
        <w:spacing w:after="0" w:line="253" w:lineRule="auto"/>
        <w:rPr>
          <w:rFonts w:ascii="Arial" w:cs="Arial" w:eastAsia="Arial" w:hAnsi="Arial"/>
          <w:sz w:val="16"/>
          <w:szCs w:val="16"/>
          <w:color w:val="auto"/>
        </w:rPr>
      </w:pPr>
      <w:r>
        <w:rPr>
          <w:rFonts w:ascii="Arial" w:cs="Arial" w:eastAsia="Arial" w:hAnsi="Arial"/>
          <w:sz w:val="16"/>
          <w:szCs w:val="16"/>
          <w:color w:val="auto"/>
        </w:rPr>
        <w:t>(a) 672,394 shares of common stock and (b) 13,213 shares of common stock issuable upon the exercise of stock options exercisable within 60 days after July 10, 2019 held in each case by Seth Goldman. Mr. Goldman’s spouse is the trustee of the Julie D. Farkas Revocable Trust and Mr. Goldman is the trustee of 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614" w:right="239" w:bottom="1440" w:gutter="0" w:footer="0" w:header="0"/>
        </w:sectPr>
      </w:pPr>
    </w:p>
    <w:bookmarkStart w:id="138" w:name="page139"/>
    <w:bookmarkEnd w:id="138"/>
    <w:p>
      <w:pPr>
        <w:ind w:left="332"/>
        <w:spacing w:after="0"/>
        <w:rPr>
          <w:sz w:val="20"/>
          <w:szCs w:val="20"/>
          <w:color w:val="auto"/>
        </w:rPr>
      </w:pPr>
      <w:r>
        <w:rPr>
          <w:rFonts w:ascii="Arial" w:cs="Arial" w:eastAsia="Arial" w:hAnsi="Arial"/>
          <w:sz w:val="16"/>
          <w:szCs w:val="16"/>
          <w:color w:val="auto"/>
        </w:rPr>
        <w:t>Seth Goldman Revocable Trust. Therefore, Mr. Goldman may be deemed to have voting and dispositive power over the shares held by both trusts.</w:t>
      </w:r>
    </w:p>
    <w:p>
      <w:pPr>
        <w:spacing w:after="0" w:line="46" w:lineRule="exact"/>
        <w:rPr>
          <w:sz w:val="20"/>
          <w:szCs w:val="20"/>
          <w:color w:val="auto"/>
        </w:rPr>
      </w:pPr>
    </w:p>
    <w:p>
      <w:pPr>
        <w:ind w:left="332" w:right="2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291,954 shares of common stock held by Union Grove Partners Direct Venture Fund, LP, (ii) 20,210 shares of common stock held by Union Grove Partners Venture Access Fund II, LP, and (iii) 485,060 shares of common stock held by Union Grove Partners Venture Access Fund II-B, LP (collectively, the “Union Grove Funds”). Union Grove Venture Partners 2014, LLC is the general partner of Union Grove Partners Direct Venture Fund, LP. Union Grove Venture Partners 2015, LLC is the general partner of Union Grove Partners Venture Access Fund II, LP. Union Grove Venture Partners 2015-B, LLC is the general partner of Union Grove Partners Venture Access Fund II-B, LP. Mr. Bohlen serves on the investment committee of each of Union Grove Venture Partners 2014, LLC, Union Grove Venture Partners 2015, LLC and Union Grove Venture Partners 2015-B, LLC, and may be deemed to share voting and dispositive power over the shares held by the Union Grove Funds with the other members of the investment committee. The address for each of the entities identified above is 7203 Union Grove Church Rd., Chapel Hill, NC 27516.</w:t>
      </w:r>
    </w:p>
    <w:p>
      <w:pPr>
        <w:spacing w:after="0" w:line="3" w:lineRule="exact"/>
        <w:rPr>
          <w:rFonts w:ascii="Arial" w:cs="Arial" w:eastAsia="Arial" w:hAnsi="Arial"/>
          <w:sz w:val="16"/>
          <w:szCs w:val="16"/>
          <w:color w:val="auto"/>
        </w:rPr>
      </w:pPr>
    </w:p>
    <w:p>
      <w:pPr>
        <w:ind w:left="332" w:right="2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520,268 shares of common stock, which includes 55,418 shares of common stock issuable upon the exercise of stock options in connection with the offering and (ii) 223,953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53,633 shares of common stock held by Mr. van Lengerich, (ii) 133,147 shares of common stock issuable upon the exercise of stock options exercisable within 60 days after July 10, 2019, and (iii) 399,443 shares of common stock held by Seeding the Future Foundation, a 501(c)(3) organization. Seeding the Future Foundation is the selling stockholder in this transaction. Mr. van Lengerich is the founder and president of Seeding the Future Foundation. In addition, Mr. van Lengerich and his wife serve as the only board members of Seeding the Future Foundation. Therefore, Mr. van Lengerich may be deemed to have voting and dispositive power over the shares held by Seeding the Future Foundation. The address for Seeding the Future Foundation is 1855 Troy Lane Plymouth, MN 55447.</w:t>
      </w:r>
    </w:p>
    <w:p>
      <w:pPr>
        <w:spacing w:after="0" w:line="2" w:lineRule="exact"/>
        <w:rPr>
          <w:rFonts w:ascii="Arial" w:cs="Arial" w:eastAsia="Arial" w:hAnsi="Arial"/>
          <w:sz w:val="16"/>
          <w:szCs w:val="16"/>
          <w:color w:val="auto"/>
        </w:rPr>
      </w:pPr>
    </w:p>
    <w:p>
      <w:pPr>
        <w:ind w:left="332" w:right="2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239,895 shares of common stock, which includes 21,130 shares of common stock issuable upon the exercise of stock options in connection with the offering and (ii) 41,373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332" w:right="40" w:hanging="332"/>
        <w:spacing w:after="0" w:line="247"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222,170 shares of common stock held by GreatPoint Ventures Innovation Fund, LP, (ii) 4,496 shares of common stock held by GreatPoint Ventures Innovation Parallel Fund, L.P., and (iii) 29,442 shares of common stock held by Stephanie H. Lane and Raymond J. Lane as Community Property. GreatPoint Investment Partners, LLC is the general partner of GreatPoint Ventures Innovation Fund, L.P. and GreatPoint Ventures Innovation Parallel Fund, L.P. Mr. Lane serves on the investment committee of GreatPoint Investment Partners, LLC and may be deemed to share voting and dispositive power over the shares held by GreatPoint Ventures Innovation Fund, L.P. and GreatPoint Ventures Innovation Parallel Fund, L.P. with the other members of the investment committee. The address for each of the entities identified above is 744 Montgomery Street, 5th Floor San Francisco, CA 94111.</w:t>
      </w:r>
    </w:p>
    <w:p>
      <w:pPr>
        <w:spacing w:after="0" w:line="187"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9,069 shares of common stock, which includes 9,069 shares of common stock issuable upon the exercise of stock options in connection with the offering and (ii) 90,936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332" w:right="10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2,083 shares of common stock held by Dariush Ajami, (ii) 2,000 shares of common stock held by Mr. Ajami’s wife, and (ii) 83,494 shares of common stock issuable upon the exercise of stock options exercisable within 60 days after July 10, 2019.</w:t>
      </w:r>
    </w:p>
    <w:p>
      <w:pPr>
        <w:ind w:left="332" w:right="30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18,519 shares of common stock that are held by the Biz and Livy Stone Family Trust, for which Mr. Stone and his wife serve as co-trustees and for which Mr. Stone may be deemed to have voting and dispositive power over the shares held by the trust.</w:t>
      </w:r>
    </w:p>
    <w:p>
      <w:pPr>
        <w:ind w:left="332" w:right="58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5,000 shares of common stock and (ii) 6,976 shares of common stock issuable upon the exercise of stock options exercisable within 60 days after July 10, 2019.</w:t>
      </w:r>
    </w:p>
    <w:p>
      <w:pPr>
        <w:ind w:left="332" w:right="100" w:hanging="332"/>
        <w:spacing w:after="0" w:line="246"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500 shares of common stock and (ii) 6,976 shares of common stock issuable upon the exercise of stock options exercisable within 60 days after July 10, 2019.</w:t>
      </w:r>
    </w:p>
    <w:p>
      <w:pPr>
        <w:ind w:left="332" w:right="240" w:hanging="332"/>
        <w:spacing w:after="0" w:line="253" w:lineRule="auto"/>
        <w:tabs>
          <w:tab w:leader="none" w:pos="3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(i) 8,220,317 shares of common stock which includes 90,151 shares of common stock issuable upon the exercise of stock options in connection with the offering and (ii) 2,217,677 shares of common stock that may be acquired pursuant to the exercise of stock options within 60 days of July 10, 2019, and not including the options exercised in connection with the offering.</w:t>
      </w: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92"/>
          </w:cols>
          <w:pgMar w:left="248" w:top="411" w:right="259" w:bottom="1440" w:gutter="0" w:footer="0" w:header="0"/>
        </w:sectPr>
      </w:pPr>
    </w:p>
    <w:bookmarkStart w:id="139" w:name="page140"/>
    <w:bookmarkEnd w:id="139"/>
    <w:p>
      <w:pPr>
        <w:ind w:left="332" w:right="20" w:hanging="332"/>
        <w:spacing w:after="0" w:line="246" w:lineRule="auto"/>
        <w:tabs>
          <w:tab w:leader="none" w:pos="3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797,608 shares of common stock held by Strategic Partners VIII Investments L.P. and (ii) 206,356 shares of common stock held by Strategic Partners VII Investments L.P. (Series D).</w:t>
      </w:r>
    </w:p>
    <w:p>
      <w:pPr>
        <w:ind w:left="332" w:right="420" w:hanging="332"/>
        <w:spacing w:after="0" w:line="246" w:lineRule="auto"/>
        <w:tabs>
          <w:tab w:leader="none" w:pos="3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1,224,491 shares of common stock held by Future Positive Health II SPV LLC and (ii) 550,082 shares of common stock held by Future Positive Health I SPV LLC.</w:t>
      </w:r>
    </w:p>
    <w:p>
      <w:pPr>
        <w:ind w:left="652" w:right="220"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1,742,641 shares of common stock held by S2G Ventures Fund I, L.P. and (ii) 71,734 shares of common stock held by S2G Ventures Fund II, L.P.</w:t>
      </w:r>
    </w:p>
    <w:p>
      <w:pPr>
        <w:ind w:left="652" w:right="80"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1,688,971 shares of common stock held by Gates Frontier, LLC. Subsequent to July 10, 2019, Gates Frontier, LLC transferred 252,000 shares of common stock to the Bill &amp; Melinda Gates Foundation Trust, of which 128,737 shares are being sold in this offering.</w:t>
      </w:r>
    </w:p>
    <w:p>
      <w:pPr>
        <w:ind w:left="652" w:right="480"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104,607 shares of common stock held by Proof I, LLC, (ii) 762,179 shares of common stock held by BM1 P, LLC and (iii) 451,044 shares of common stock held by BM2 P, LLC.</w:t>
      </w:r>
    </w:p>
    <w:p>
      <w:pPr>
        <w:ind w:left="652" w:right="20"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315,906 shares of common stock held by the Sidney W Swartz 1982 Trust B for Jeffrey Swartz, (ii) 75,413 shares of common stock held by the Sidney W Swartz 1982 Trust A for Jeffrey Swartz and (iii) 39,773 shares of common stock held by the Sidney W. Swartz 1982 Family Trust C for the Issue of Jeffrey Swartz.</w:t>
      </w:r>
    </w:p>
    <w:p>
      <w:pPr>
        <w:spacing w:after="0" w:line="1" w:lineRule="exact"/>
        <w:rPr>
          <w:rFonts w:ascii="Arial" w:cs="Arial" w:eastAsia="Arial" w:hAnsi="Arial"/>
          <w:sz w:val="16"/>
          <w:szCs w:val="16"/>
          <w:color w:val="auto"/>
        </w:rPr>
      </w:pPr>
    </w:p>
    <w:p>
      <w:pPr>
        <w:ind w:left="332" w:hanging="332"/>
        <w:spacing w:after="0"/>
        <w:tabs>
          <w:tab w:leader="none" w:pos="3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97,556 shares of common stock distributed to Mr. Hairston from DNS-BYMT, LLC subsequent to July 10, 2019.</w:t>
      </w:r>
    </w:p>
    <w:p>
      <w:pPr>
        <w:spacing w:after="0" w:line="5" w:lineRule="exact"/>
        <w:rPr>
          <w:rFonts w:ascii="Arial" w:cs="Arial" w:eastAsia="Arial" w:hAnsi="Arial"/>
          <w:sz w:val="16"/>
          <w:szCs w:val="16"/>
          <w:color w:val="auto"/>
        </w:rPr>
      </w:pPr>
    </w:p>
    <w:p>
      <w:pPr>
        <w:ind w:left="652" w:hanging="652"/>
        <w:spacing w:after="0"/>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157,862 shares of common stock held by MSA Enterprises AIV I, LP and (ii) 85,638 shares of common stock held by MSA Isolate, LP.</w:t>
      </w:r>
    </w:p>
    <w:p>
      <w:pPr>
        <w:spacing w:after="0" w:line="5" w:lineRule="exact"/>
        <w:rPr>
          <w:rFonts w:ascii="Arial" w:cs="Arial" w:eastAsia="Arial" w:hAnsi="Arial"/>
          <w:sz w:val="16"/>
          <w:szCs w:val="16"/>
          <w:color w:val="auto"/>
        </w:rPr>
      </w:pPr>
    </w:p>
    <w:p>
      <w:pPr>
        <w:ind w:left="332" w:right="120" w:hanging="332"/>
        <w:spacing w:after="0" w:line="246" w:lineRule="auto"/>
        <w:tabs>
          <w:tab w:leader="none" w:pos="3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51,419 shares of common stock held by the John F. Welch, Jr. 2004 Revocable Trust, (ii) 51,419 shares of common stock held by the Suzy Welch Revocable Trust and (iii) 300 shares of common stock held by the Welch Jr. 2004 Revocable Trust.</w:t>
      </w:r>
    </w:p>
    <w:p>
      <w:pPr>
        <w:ind w:left="652" w:hanging="652"/>
        <w:spacing w:after="0"/>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25,709 shares of common stock held by Eichner Investments LLC and (ii) Felicia Levin 1995 Family Trust UAD 12/15/1995.</w:t>
      </w:r>
    </w:p>
    <w:p>
      <w:pPr>
        <w:spacing w:after="0" w:line="5" w:lineRule="exact"/>
        <w:rPr>
          <w:rFonts w:ascii="Arial" w:cs="Arial" w:eastAsia="Arial" w:hAnsi="Arial"/>
          <w:sz w:val="16"/>
          <w:szCs w:val="16"/>
          <w:color w:val="auto"/>
        </w:rPr>
      </w:pPr>
    </w:p>
    <w:p>
      <w:pPr>
        <w:ind w:left="652" w:right="660"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49,879 shares of common stock held by MMBL Enterprise WA, LLC and (ii) 23,180 shares of common stock and 222 shares of common stock issuable upon the exercise of stock options exercisable within 60 days after July 10, 2019 held by Beth Moskowitz.</w:t>
      </w:r>
    </w:p>
    <w:p>
      <w:pPr>
        <w:ind w:left="652" w:right="80"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2,000 shares of common stock held by Maya Moore and (ii) 6,667 shares of common stock issuable upon the exercise of stock options exercisable within 60 days after July 10, 2019 held by Three 23, Inc.</w:t>
      </w:r>
    </w:p>
    <w:p>
      <w:pPr>
        <w:ind w:left="652" w:right="100"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selling stockholder investors not otherwise listed in this table who collectively beneficially own less than 1% of our common stock prior to the offering. Consists of (i) 541,604 shares of common stock, which includes 16,733 shares of common stock issuable upon the exercise of stock options in connection with the offering and (ii) 47,199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652" w:hanging="652"/>
        <w:spacing w:after="0" w:line="246"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selling stockholder employees not otherwise listed in this table who collectively beneficially own less than 1% of our common stock prior to the offering. Consists of (i) 78,097 shares of common stock, which includes 5,803 shares of common stock issuable upon the exercise of stock options in connection with the offering and (ii) 64,992 shares of common stock issuable upon the exercise of stock options exercisable within 60 days after July 10, 2019, and not including the options exercised in connection with the offering.</w:t>
      </w:r>
    </w:p>
    <w:p>
      <w:pPr>
        <w:spacing w:after="0" w:line="1" w:lineRule="exact"/>
        <w:rPr>
          <w:rFonts w:ascii="Arial" w:cs="Arial" w:eastAsia="Arial" w:hAnsi="Arial"/>
          <w:sz w:val="16"/>
          <w:szCs w:val="16"/>
          <w:color w:val="auto"/>
        </w:rPr>
      </w:pPr>
    </w:p>
    <w:p>
      <w:pPr>
        <w:ind w:left="652" w:right="160" w:hanging="652"/>
        <w:spacing w:after="0" w:line="260" w:lineRule="auto"/>
        <w:tabs>
          <w:tab w:leader="none" w:pos="6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selling stockholder ambassador and other non-employee investors not otherwise listed in this table who collectively beneficially own less than 1% of our common stock prior to the offering. Consists of 57,750 shares of common stock.</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12"/>
          </w:cols>
          <w:pgMar w:left="248" w:top="384" w:right="23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our amended and restated bylaws. Copies of these documents have been filed with the SEC as exhibits to our registration statement, of which this prospectus forms a part.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authorized capital stock consists of 500,500,000 shares of capital stock, par value $0.0001 per share, of which:</w:t>
      </w:r>
    </w:p>
    <w:p>
      <w:pPr>
        <w:spacing w:after="0" w:line="171"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500,000,000 shares are designated as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500,000 shares are designated as preferred stock.</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board of directors is authorized, without stockholder approval except as required by the listing standards of Nasdaq, to issue additional shares of our capital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15, 2019, we had 60,173,551 shares of common stock issued and outstanding held by 227 stockholders of record.</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68" w:right="279" w:bottom="1440" w:gutter="0" w:footer="0" w:header="0"/>
        </w:sectPr>
      </w:pPr>
    </w:p>
    <w:bookmarkStart w:id="141" w:name="page142"/>
    <w:bookmarkEnd w:id="141"/>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93"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shares of preferred stock outstanding as of June 29,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93"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As of June 29, 2019, we had outstanding options to purchase up to an aggregate of 6,130,048 shares of common stock (which excludes 115,055 shares of common stock that we expect to be sold in this offering by certain selling stockholders upon the exercise of vested options prior to the closing of this offering), with a weighted average exercise price of $11.01 pursuant to our 2018 Equity Incentive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of June 29, 2019, we had outstanding 140,560 restricted shares of our common stock which were subject to repurchase pursuant to restricted stock purchase agreements. Restricted shares vest upon the satisfaction of the service condition and provide the holders with certain stockholder rights, such as the right to vote the shares immediately upon grant and prior to their vesting.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of June 29, 2019, 70,360 shares of our common stock were issuable upon the vesting and settlement of outstanding RSUs. RSU grants in the six months ended June 29, 2019 vest 25% of the total award on the first anniversary of the grant date, and thereafter ratably vesting quarterly over the remaining three years of the award.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2019, we had no warrants outstanding to purchase shares of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The investor rights agreement was entered into in April 2011 and has been amended and restated from time to time in connection with our preferred stock financings. The last such amendment and restatement of this agreement occurred in October 2018. The registration of shares of our common stock by the exercise of registration rights described below would enable the holders to sell their shares without restriction under the Securities Act when the applicable registration statement was declared effective.</w:t>
      </w:r>
    </w:p>
    <w:p>
      <w:pPr>
        <w:spacing w:after="0" w:line="15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four years after the effective date of our IPO, or with respect to any particular stockholder, such time after the effective date of the registration statement that such stockholder can sell all of its shares under Rule 144 of the Securities Act during any three-month period without registration.</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Pursuant to our investors’ rights agreement, the holders of up to 41,562,111 of our outstanding common stock are entitled to certain demand registration rights. At any time beginning 180 days after the closing of our IPO, the holders of at least 30% of these shares may, on not more than two occasions,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68" w:right="279" w:bottom="1440" w:gutter="0" w:footer="0" w:header="0"/>
        </w:sectPr>
      </w:pPr>
    </w:p>
    <w:bookmarkStart w:id="142" w:name="page143"/>
    <w:bookmarkEnd w:id="142"/>
    <w:p>
      <w:pPr>
        <w:ind w:right="320"/>
        <w:spacing w:after="0" w:line="256" w:lineRule="auto"/>
        <w:rPr>
          <w:sz w:val="20"/>
          <w:szCs w:val="20"/>
          <w:color w:val="auto"/>
        </w:rPr>
      </w:pPr>
      <w:r>
        <w:rPr>
          <w:rFonts w:ascii="Arial" w:cs="Arial" w:eastAsia="Arial" w:hAnsi="Arial"/>
          <w:sz w:val="18"/>
          <w:szCs w:val="18"/>
          <w:color w:val="auto"/>
        </w:rPr>
        <w:t>request that we register all or a portion of their shares. Such anticipated aggregate offering price must, net of underwriting discounts and commissions, stock transfer taxes and fees and disbursements of counsel to such holders (except such fees and disbursements borne and paid by us), exceed $5,000,000. We are only obligated to effect two registrations in response to these demand registration rights.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Pursuant to our investor rights agreement, in the event that we propose to register any of our securities under the Securities Act, the holders of shares of our common stock which were issued upon conversion of our convertible preferred stock into common stock in our IPO or issued upon exercise of a certain warrant will be entitled to, either for their own account or for the account of other security holders,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any time after we are qualified to file a registration statement on Form S-3, the holders of 15% of such registrable securities then outstanding may request in writing that we effect a registration on Form S-3 if the proposed aggregate offering price of the shares to be registered by the holders requesting registration is at least $1,000,000 net of underwriting discounts and commissions, stock transfer taxes and fees and disbursements of counsel to such holders (except such fees and disbursements borne and paid by us), subject to certain exceptions. We are only obligated to effect two such S-3 registrations in any 12-month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9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exceptions.</w:t>
      </w:r>
    </w:p>
    <w:p>
      <w:pPr>
        <w:spacing w:after="0" w:line="22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Certain provisions of Delaware law and certain provisions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has an equal number of directors, as nearly as possible, consisting of one-third of the total number of directors constituting our entire board of directors. The term of initial Class I directors will terminate on the date of the 2020 annual meeting, the term of the initial Class II directors shall terminate on the date of the 2021 annual meeting,</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382" w:right="279" w:bottom="1440" w:gutter="0" w:footer="0" w:header="0"/>
        </w:sectPr>
      </w:pPr>
    </w:p>
    <w:bookmarkStart w:id="143" w:name="page144"/>
    <w:bookmarkEnd w:id="143"/>
    <w:p>
      <w:pPr>
        <w:ind w:right="340"/>
        <w:spacing w:after="0" w:line="262" w:lineRule="auto"/>
        <w:rPr>
          <w:sz w:val="20"/>
          <w:szCs w:val="20"/>
          <w:color w:val="auto"/>
        </w:rPr>
      </w:pPr>
      <w:r>
        <w:rPr>
          <w:rFonts w:ascii="Arial" w:cs="Arial" w:eastAsia="Arial" w:hAnsi="Arial"/>
          <w:sz w:val="18"/>
          <w:szCs w:val="18"/>
          <w:color w:val="auto"/>
        </w:rPr>
        <w:t>and the term of the initial Class III directors shall terminate on the date of the 2022 annual meeting. At each annual meeting of stockholders beginning in 2020, successors to the class of directors whose term expires at that annual meeting will be elected for a three-year term.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9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two-thirds of the shares present in person or by proxy at the meeting and entitled to vote.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9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chairperson of our board of directors, by the lead independent director or by our Chief Executive Officer.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our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 that our bylaws may be amended, altered, or repealed by our board of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82" w:right="239" w:bottom="1440" w:gutter="0" w:footer="0" w:header="0"/>
        </w:sectPr>
      </w:pPr>
    </w:p>
    <w:bookmarkStart w:id="144" w:name="page145"/>
    <w:bookmarkEnd w:id="144"/>
    <w:p>
      <w:pPr>
        <w:ind w:left="3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shall be the sole and exclusive forum for:</w:t>
      </w:r>
    </w:p>
    <w:p>
      <w:pPr>
        <w:spacing w:after="0" w:line="171"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or our stockholders;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action regarding our amended and restated certificate of incorporation or our amended and restated bylaws or any action asserting a claim against us that is governed by the internal affairs doctrine;</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w:t>
      </w:r>
    </w:p>
    <w:p>
      <w:pPr>
        <w:spacing w:after="0" w:line="14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Our amended and restated certificate of incorporation further provides that the federal district courts of the United States of America will be the exclusive forum for resolving any complaint asserting a cause of action arising under the Securities Act. A December 2018 decision by the Court of Chancery of the State of Delaware in </w:t>
      </w:r>
      <w:r>
        <w:rPr>
          <w:rFonts w:ascii="Arial" w:cs="Arial" w:eastAsia="Arial" w:hAnsi="Arial"/>
          <w:sz w:val="17"/>
          <w:szCs w:val="17"/>
          <w:i w:val="1"/>
          <w:iCs w:val="1"/>
          <w:color w:val="auto"/>
        </w:rPr>
        <w:t>Sciabacucchi v. Salzberg</w:t>
      </w:r>
      <w:r>
        <w:rPr>
          <w:rFonts w:ascii="Arial" w:cs="Arial" w:eastAsia="Arial" w:hAnsi="Arial"/>
          <w:sz w:val="17"/>
          <w:szCs w:val="17"/>
          <w:color w:val="auto"/>
        </w:rPr>
        <w:t xml:space="preserve"> determined that this type of exclusive forum provision is unenforceable;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13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exclusive forum provisions described above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93" w:lineRule="exact"/>
        <w:rPr>
          <w:sz w:val="20"/>
          <w:szCs w:val="20"/>
          <w:color w:val="auto"/>
        </w:rPr>
      </w:pPr>
    </w:p>
    <w:p>
      <w:pPr>
        <w:ind w:right="180" w:firstLine="324"/>
        <w:spacing w:after="0" w:line="251" w:lineRule="auto"/>
        <w:rPr>
          <w:sz w:val="20"/>
          <w:szCs w:val="20"/>
          <w:color w:val="auto"/>
        </w:rPr>
      </w:pPr>
      <w:r>
        <w:rPr>
          <w:rFonts w:ascii="Arial" w:cs="Arial" w:eastAsia="Arial" w:hAnsi="Arial"/>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8" w:right="259" w:bottom="1440" w:gutter="0" w:footer="0" w:header="0"/>
        </w:sectPr>
      </w:pPr>
    </w:p>
    <w:bookmarkStart w:id="145" w:name="page146"/>
    <w:bookmarkEnd w:id="145"/>
    <w:p>
      <w:pPr>
        <w:ind w:right="140"/>
        <w:spacing w:after="0" w:line="256" w:lineRule="auto"/>
        <w:rPr>
          <w:sz w:val="20"/>
          <w:szCs w:val="20"/>
          <w:color w:val="auto"/>
        </w:rPr>
      </w:pPr>
      <w:r>
        <w:rPr>
          <w:rFonts w:ascii="Arial" w:cs="Arial" w:eastAsia="Arial" w:hAnsi="Arial"/>
          <w:sz w:val="18"/>
          <w:szCs w:val="18"/>
          <w:color w:val="auto"/>
        </w:rPr>
        <w:t>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148"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may purchase insurance on behalf of any person whom we are required or permitted to indemnify.</w:t>
      </w:r>
    </w:p>
    <w:p>
      <w:pPr>
        <w:spacing w:after="0" w:line="15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382" w:right="259" w:bottom="1440" w:gutter="0" w:footer="0" w:header="0"/>
        </w:sectPr>
      </w:pPr>
    </w:p>
    <w:bookmarkStart w:id="146" w:name="page147"/>
    <w:bookmarkEnd w:id="146"/>
    <w:p>
      <w:pPr>
        <w:ind w:right="260"/>
        <w:spacing w:after="0" w:line="262" w:lineRule="auto"/>
        <w:rPr>
          <w:sz w:val="20"/>
          <w:szCs w:val="20"/>
          <w:color w:val="auto"/>
        </w:rPr>
      </w:pPr>
      <w:r>
        <w:rPr>
          <w:rFonts w:ascii="Arial" w:cs="Arial" w:eastAsia="Arial" w:hAnsi="Arial"/>
          <w:sz w:val="18"/>
          <w:szCs w:val="18"/>
          <w:color w:val="auto"/>
        </w:rPr>
        <w:t>any of our directors or officers as to which indemnification is being sought, nor are we aware of any pending or threatened litigation that may result in claims for indemnification by any director or officer.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“BYND.”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transfer agent and registrar for our common stock is Equiniti Trust Company. The transfer agent and registrar’s address is 1110 Centre Point Curve, Suite 101, Mendota Heights, Minnesota 55120-4101.</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382" w:right="25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might occur could adversely affect market prices prevailing from time to time.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of our common stock in the public market could cause our share price to fall.”</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Upon the consummation of this offering, based on 60,167,521 shares of our common stock outstanding as of June 29, 2019, we will have 60,532,576 shares of common stock outstanding, which includes 115,055 shares of our common stock that we expect to be sold in this offering by certain selling stockholders upon the exercise of vested options prior to the closing of this offering. Of these shares, all of the shares sold in this offering, as well as shares sold in our IPO, will be freely transferable without restriction or further registration under the Securities Act, except that any shares purchased by one of our “affiliates,” as that term is defined in Rule 144 under the Securities Act may be sold only in compliance with the limitations described below.</w:t>
      </w:r>
    </w:p>
    <w:p>
      <w:pPr>
        <w:spacing w:after="0" w:line="15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shares of common stock held by our stockholders prior to our IPO, of which 48,807,972 were outstanding as of June 29, 2019, are “restricted securities” as defined in Rule 144. Restricted shares may be sold in the public market only if registered under the Securities Act or if they qualify for an exemption from registration, including, among others, the exemptions provided by Rules 144 and 701 promulgated by the SEC under the Securities Act. As a result of the contractual 180-day and 90-day lock-up periods described below under “Lock-Up Agreements” and in “Underwriting” and the provisions of Rules 144 and 701, these shares will be available for sale in the public market as follows:</w:t>
      </w:r>
    </w:p>
    <w:p>
      <w:pPr>
        <w:spacing w:after="0" w:line="152" w:lineRule="exact"/>
        <w:rPr>
          <w:sz w:val="20"/>
          <w:szCs w:val="20"/>
          <w:color w:val="auto"/>
        </w:rPr>
      </w:pPr>
    </w:p>
    <w:p>
      <w:pPr>
        <w:ind w:left="660" w:right="360" w:hanging="328"/>
        <w:spacing w:after="0" w:line="25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beginning October 29, 2019, which is the 181st day after the date of the prospectus for our IPO, up to 48,807,972 shares held by existing stockholders prior to our IPO (including directors and officers, and the selling stockholders) that are not sold in this offering may be eligible for sale in the public market, of which 15,164,518 shares are held by affiliates and subject to the volume and other restrictions of Rule 144, as described below; and</w:t>
      </w:r>
    </w:p>
    <w:p>
      <w:pPr>
        <w:spacing w:after="0" w:line="150"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remainder of the shares of common stock not described above in this paragraph will be eligible for sale in the public market from time to time thereafter, subject in some cases to the volume and other restrictions of Rule 144, as described below.</w:t>
      </w:r>
    </w:p>
    <w:p>
      <w:pPr>
        <w:spacing w:after="0" w:line="14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addition, 131,542 of the shares purchased in our directed share program in connection with our IPO are subject to the180-day lock-up period for our IPO and will be eligible for sale in the public market beginning October 29, 2019, subject in some cases to the volume and other restrictions of Rule 144 and to certain other limits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all of our directors and executive officers, and holders of substantially all of our capital stock outstanding immediately prior to our IPO agreed that, subject to certain exceptions, until October 28, 2019, which is the 180th day after the date of the prospectus for our IPO, we and they will not, without the prior written consent of Goldman Sachs &amp; Co. LLC and J.P. Morgan Securities LLC, dispose of or hedge any shares or any securities convertible into or exchangeable for shares of our capital stock. Goldman Sachs &amp; Co. LLC and J.P. Morgan Securities LLC may, in their sole discretion, release any of the securities subject to these lock-up agreements at any time. See “Underwriting—Lock-Up.”</w:t>
      </w:r>
    </w:p>
    <w:p>
      <w:pPr>
        <w:spacing w:after="0" w:line="1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underwriters intend to waive, with respect to the shares being sold in this offering, the restrictions under these lock-up agreements applicable to us and the selling stockholders for purposes of this offering. The remaining shares held by the selling stockholders and not sold in this offering will continue to be locked up under the IPO lock-up agreement.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68"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general, under Rule 144, as currently in effect, an affiliate who beneficially owns shares that were purchased from us, or any affiliate, at least six months previously, is entitled to sell, upon the expiration of the lock-up agreements described in “Underwriting,” within any three-month period, a number of shares that does not exceed the greater of:</w:t>
      </w:r>
    </w:p>
    <w:p>
      <w:pPr>
        <w:spacing w:after="0" w:line="148" w:lineRule="exact"/>
        <w:rPr>
          <w:sz w:val="20"/>
          <w:szCs w:val="20"/>
          <w:color w:val="auto"/>
        </w:rPr>
      </w:pPr>
    </w:p>
    <w:p>
      <w:pPr>
        <w:ind w:left="660" w:right="200" w:hanging="328"/>
        <w:spacing w:after="0" w:line="25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 of our then-outstanding shares of common stock, which will equal approximately 605,325 shares immediately after this offering, based on the number of shares of our common stock outstanding as of June 29, 2019 (including 115,055 shares to be exercised and sold in the offering upon exercise of vested options); or</w:t>
      </w:r>
    </w:p>
    <w:p>
      <w:pPr>
        <w:spacing w:after="0" w:line="147"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of the sale with the SEC.</w:t>
      </w:r>
    </w:p>
    <w:p>
      <w:pPr>
        <w:spacing w:after="0" w:line="14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notice requirements and the availability of current public information about us. The sale of these shares, or the perception that sales will be made, may adversely affect the price of our common stock after this offering because a great supply of shares would be, or world be perceived to be, available for sale in the public market.</w:t>
      </w:r>
    </w:p>
    <w:p>
      <w:pPr>
        <w:spacing w:after="0" w:line="15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 person that is not an affiliate of ours at the time of, or at any time during the three months preceding, a sale and who has beneficially owned restricted securities within the meaning of Rule 144 for at least six months may sell shares subject only to the availability of current public information about us, and any such person who has beneficially owned restricted shares of our common stock for at least one year may sell shares without restriction.</w:t>
      </w:r>
    </w:p>
    <w:p>
      <w:pPr>
        <w:spacing w:after="0" w:line="1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purchased shares from us in connection with a compensatory stock or option plan or other written agreement before the effective date of our initial public offering is entitled to resell such shares 90 days after the effective date of our initial public offering in reliance on Rule 144, without having to comply with the holding period requirements or other restrictions contained in Rule 701.</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our initial public offering. Securities issued in reliance on Rule 701 are restricted securities and, subject to the contractual lock-up restrictions described above, beginning July 30, 2019, may be sold by persons other than “affiliates,” as defined in Rule 144, subject only to the manner of sale provisions of Rule 144 and by “affiliates” under Rule 144 without compliance with its one-year minimum holding period requirement.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filed a registration statement on Form S-8 under the Securities Act to register all of the shares of common stock subject to outstanding stock options under our 2011 Plan or reserved for future issuance under our 2018 Plan and 2018 ESPP. This registration statement covers approximately 9,776,590 shares as of June 29, 2019. Shares registered under the registration statement will generally be available for sale in the open market after October 28, 2019. See “Certain Relationships and Related-Party Transactions—Amended and Restated Investors’ Rights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8"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Beginning on October 29, 2019, subject to certain exceptions and automatic extensions in certain circumstances, certain holders of shares of our common stock will be entitled to the rights described under “Description of Capital Stock—Registration Rights.” Registration of these shares under the Securities Act would result in these shares becoming freely tradeable without restriction under the Securities Act immediately upon effectiveness of the registration.</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40"/>
          </w:cols>
          <w:pgMar w:left="240" w:top="468" w:right="31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HOLDERS OF COMMON STOCK</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This section discusses certain material U.S. federal income tax consequences of the ownership and sale, exchange or other taxable disposition of our common stock sold pursuant to this offering to a “non-U.S. holder” (as defined below). This discussion does not provide a complete analysis of all potential tax considerations. The information provided below is based upon provisions of the Internal Revenue Code of 1986, as amended, or Code, Treasury regulations promulgated thereunder, administrative rulings and judicial decisions, in each case, as currently in effect. These authorities may change at any time, possibly on a retroactive basis, or the Internal Revenue Service, or IRS, might interpret the existing authorities differently. In either case, the U.S. federal income tax considerations of owning or disposing of our common stock could differ from those described below. As a result, we cannot assure you that the U.S. federal income tax considerations described in this discussion will not be challenged by the IRS or will be sustained by a court if challenged by the IRS.</w:t>
      </w:r>
    </w:p>
    <w:p>
      <w:pPr>
        <w:spacing w:after="0" w:line="1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discussion does not address the tax considerations arising under the alternative minimum tax, the net investment income tax, the laws of any state, local or non-U.S. jurisdiction, or under U.S. federal gift and estate tax laws. In addition, this discussion does not address tax considerations applicable to an investor’s particular circumstances or to investors that may be subject to special tax rules, including, without limitation:</w:t>
      </w:r>
    </w:p>
    <w:p>
      <w:pPr>
        <w:spacing w:after="0" w:line="150"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income tax purposes (or investors in such entities);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tax-exempt or governmental organizations or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7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an employee stock option or otherwise as compensation for services;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 (except to the extent specifically set forth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42"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360" w:right="279" w:bottom="1440" w:gutter="0" w:footer="0" w:header="0"/>
        </w:sectPr>
      </w:pPr>
    </w:p>
    <w:bookmarkStart w:id="151" w:name="page152"/>
    <w:bookmarkEnd w:id="151"/>
    <w:p>
      <w:pPr>
        <w:jc w:val="both"/>
        <w:ind w:right="40" w:firstLine="324"/>
        <w:spacing w:after="0" w:line="254" w:lineRule="auto"/>
        <w:rPr>
          <w:sz w:val="20"/>
          <w:szCs w:val="20"/>
          <w:color w:val="auto"/>
        </w:rPr>
      </w:pPr>
      <w:r>
        <w:rPr>
          <w:rFonts w:ascii="Arial" w:cs="Arial" w:eastAsia="Arial" w:hAnsi="Arial"/>
          <w:sz w:val="18"/>
          <w:szCs w:val="18"/>
          <w:color w:val="auto"/>
        </w:rPr>
        <w:t>If a partnership or entity classified as a partnership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discussion does not address U.S. federal income tax considerations applicable to partnerships that hold our common stock, and partners in such partnerships should consult their tax advisors.</w:t>
      </w:r>
    </w:p>
    <w:p>
      <w:pPr>
        <w:spacing w:after="0" w:line="128" w:lineRule="exact"/>
        <w:rPr>
          <w:sz w:val="20"/>
          <w:szCs w:val="20"/>
          <w:color w:val="auto"/>
        </w:rPr>
      </w:pPr>
    </w:p>
    <w:p>
      <w:pPr>
        <w:jc w:val="both"/>
        <w:ind w:right="120" w:firstLine="324"/>
        <w:spacing w:after="0" w:line="269"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gift and estate tax laws to their particular situations and the consequences of non-U.S., state or local laws, and tax treaties.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section, a “non-U.S. holder” is any holder of our common stock, other than an entity taxable as a partnership for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that is not:</w:t>
      </w:r>
    </w:p>
    <w:p>
      <w:pPr>
        <w:spacing w:after="0" w:line="171"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 or otherwise treated as such for U.S. federal income tax purposes;</w:t>
      </w:r>
    </w:p>
    <w:p>
      <w:pPr>
        <w:spacing w:after="0" w:line="142"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one or more ”United States persons” (within the meaning of Section 7701(a)(30) of the Code) have authority to control all substantial decisions of the trust or (2) has a valid election in effect under applicable Treasury regulations to be treated as a United States person; 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source.</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and sale, exchange or other taxable disposition of our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do not anticipate paying any distributions in the foreseeable future. If we do make any distributions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exchange or other taxable disposition of our common stock. See “—Sale of Common Stock.”</w:t>
      </w:r>
    </w:p>
    <w:p>
      <w:pPr>
        <w:spacing w:after="0" w:line="15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Subject to the discussion below regarding the Foreign Account Tax Compliance Act, or FATCA, and backup withholding, any distribution made to a non-U.S. holder on our common stock that is not effectively connected with a non-U.S. holder’s conduct of a trade or business in the United States will generally be subject to U.S. withholding tax at a 30% rate. The withholding tax might not apply, however, or might apply at a reduced rate, under the terms of an applicable income tax treaty between the United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382" w:right="259" w:bottom="1440" w:gutter="0" w:footer="0" w:header="0"/>
        </w:sectPr>
      </w:pPr>
    </w:p>
    <w:bookmarkStart w:id="152" w:name="page153"/>
    <w:bookmarkEnd w:id="152"/>
    <w:p>
      <w:pPr>
        <w:ind w:right="60"/>
        <w:spacing w:after="0" w:line="252" w:lineRule="auto"/>
        <w:rPr>
          <w:sz w:val="20"/>
          <w:szCs w:val="20"/>
          <w:color w:val="auto"/>
        </w:rPr>
      </w:pPr>
      <w:r>
        <w:rPr>
          <w:rFonts w:ascii="Arial" w:cs="Arial" w:eastAsia="Arial" w:hAnsi="Arial"/>
          <w:sz w:val="18"/>
          <w:szCs w:val="18"/>
          <w:color w:val="auto"/>
        </w:rPr>
        <w:t>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or W-8BEN-E (or any successor form to the IRS Form W-8BEN or W-8BEN-E) to us or our paying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us or our paying agent, either directly or through other intermediaries. If you are eligible for a reduced rate of U.S. federal withholding tax under an income tax treaty, you may obtain a refund or credit from the IRS of any excess amounts withheld by filing an appropriate claim for a refund with the IRS in a timely manner.</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Distributions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(or in the case of an individual, a fixed base) by the non-U.S. holder in the United States, are not subject to such withholding tax. To obtain this exemption, a non-U.S. holder generally must provide us or our paying agent with an IRS Form W-8ECI properly certifying such exemption. Such effectively connected distributions or our paying agent, although not subject to U.S. withholding tax, are generally taxed at the same graduated rates applicable to U.S. persons, net of certain deductions and credits. In addition to the graduated tax described above, distributions received by corporate non-U.S. holders that are effectively connected with a U.S. trade or business of the corporate non-U.S. holder may also be subject to a branch profits tax equal to 30% of its effectively connected earnings and profits for the taxable year that are attributable to such dividends, as adjusted for certain items, although an applicable income tax treaty between the United States and the non-U.S. holder’s country of residence might provide for a lower rate.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9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Subject to the discussion below regarding FATCA and backup withholding, non-U.S. holders will generally not be subject to U.S. federal income tax on any gains realized on the sale, exchange or other taxable disposition of our common stock unless:</w:t>
      </w:r>
    </w:p>
    <w:p>
      <w:pPr>
        <w:spacing w:after="0" w:line="142" w:lineRule="exact"/>
        <w:rPr>
          <w:sz w:val="20"/>
          <w:szCs w:val="20"/>
          <w:color w:val="auto"/>
        </w:rPr>
      </w:pPr>
    </w:p>
    <w:p>
      <w:pPr>
        <w:ind w:left="660" w:right="120" w:hanging="328"/>
        <w:spacing w:after="0" w:line="25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the case of an individual, a fixed base) maintained by the non-U.S. holder in the United States (in which case the special rules described below apply);</w:t>
      </w:r>
    </w:p>
    <w:p>
      <w:pPr>
        <w:spacing w:after="0" w:line="150"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taxable disposition of our common stock, and certain other requirements are met (in which case the gain would be subject to a flat 30% tax, or such reduced rate as may be specified by an applicable income tax treaty, which may be offset by U.S.-source capital losses, even though the individual is not considered a resident of the United States, provided that the non-U.S. holder has timely filed U.S. federal income tax returns with respect to such losses); or</w:t>
      </w:r>
    </w:p>
    <w:p>
      <w:pPr>
        <w:spacing w:after="0" w:line="151"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42"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 FIRPTA rules may apply to a sale, exchange or other taxable disposition of our common stock if we are at the time of the sale, exchange, or other taxable disposition, or were within the shorter of the five-year period preceding the disposition and the non-U.S. holder’s holding period, a “United States real property holding corporation,” or USRPHC. In general, we would be a USRPHC if the value of our interests in U.S. real property comprised at least half of the value of our business assets and our U.S.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382" w:right="259" w:bottom="1440" w:gutter="0" w:footer="0" w:header="0"/>
        </w:sectPr>
      </w:pPr>
    </w:p>
    <w:bookmarkStart w:id="153" w:name="page154"/>
    <w:bookmarkEnd w:id="153"/>
    <w:p>
      <w:pPr>
        <w:spacing w:after="0" w:line="252" w:lineRule="auto"/>
        <w:rPr>
          <w:sz w:val="20"/>
          <w:szCs w:val="20"/>
          <w:color w:val="auto"/>
        </w:rPr>
      </w:pPr>
      <w:r>
        <w:rPr>
          <w:rFonts w:ascii="Arial" w:cs="Arial" w:eastAsia="Arial" w:hAnsi="Arial"/>
          <w:sz w:val="18"/>
          <w:szCs w:val="18"/>
          <w:color w:val="auto"/>
        </w:rPr>
        <w:t>non-U.S. real property interests. If we are or become a USRPHC, as long as our common stock is regularly traded on an established securities market, such common stock will be treated as U.S. real property interests subject to the FIRPTA rules only if a non-U.S. holder actually owns or constructively holds more than 5% of our outstanding common stock at any time within the shorter of the five-year period preceding the disposition and the non-U.S. holder’s holding period. However, there can be no assurance that our common stock will be treated as regularly traded. Currently, we believe we are not, and do not anticipate becoming, a USRPHC. However, because the determination of whether we are a USRPHC depends on the fair market value of our U.S. real property relative to the fair market value of our other business and real estate assets, there can be no assurance that we will not become a USRPHC in the future.</w:t>
      </w:r>
    </w:p>
    <w:p>
      <w:pPr>
        <w:spacing w:after="0" w:line="15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If any gain from the sale, exchange or other taxable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the case of an individual, a fixed base)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to a “branch profits tax.” The branch profits tax rate is equal to 30% of its effectively connected earnings and profits for the taxable year, as adjusted for certain items, although an applicable income tax treaty between the United States and the non-U.S. holder’s country of residence might provide for a lower rate.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Payments of dividends on, or proceeds on the disposition of, our common stock made to you may be subject to additional information reporting and backup withholding at a current rate of 24% unless you establish an exemption, for example by properly certifying your non-U.S. status on an IRS Form W-8BEN, IRS Form W-8BEN-E or another appropriate version of IRS Form W-8. Notwithstanding the foregoing, backup withholding and information reporting may apply if either we or our paying agent has actual knowledge, or reason to know, that you are a U.S. person.</w:t>
      </w:r>
    </w:p>
    <w:p>
      <w:pPr>
        <w:spacing w:after="0" w:line="152"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Backup withholding is not an additional tax. Any amounts withheld from a payment to a non-U.S. holder of our common stock under the backup withholding rules can be credited against any U.S. federal income tax liability of the non-U.S. holder and may entitle the non-U.S. holder to a refund from the IRS, provided that the required information is furnished to the IRS in a timely manner.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 or FATCA</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FATCA imposes U.S. federal withholding tax of 30% on certain types of U.S. source “withholdable payments” (including dividends and the gross proceeds from the sale, exchange or other taxable disposition of U.S. stock) to foreign financial institutions, which are broadly defined for this purpose, and other non-U.S. entities that fail to comply with certain certification and information reporting requirements regarding U.S. account holders or owners of such institutions or entities. The obligation to withhold under FATCA applies to any dividends on our common stock and to certain “pass-thru” payments received with respect to instruments held through foreign financial institutions no earlier than two years after the date on which applicable final Treasury regulations are issued. An intergovernmental agreement between the United States and an applicable foreign country may modify the requirements described in this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382" w:right="259" w:bottom="1440" w:gutter="0" w:footer="0" w:header="0"/>
        </w:sectPr>
      </w:pPr>
    </w:p>
    <w:bookmarkStart w:id="154" w:name="page155"/>
    <w:bookmarkEnd w:id="154"/>
    <w:p>
      <w:pPr>
        <w:ind w:right="400"/>
        <w:spacing w:after="0" w:line="262" w:lineRule="auto"/>
        <w:rPr>
          <w:sz w:val="20"/>
          <w:szCs w:val="20"/>
          <w:color w:val="auto"/>
        </w:rPr>
      </w:pPr>
      <w:r>
        <w:rPr>
          <w:rFonts w:ascii="Arial" w:cs="Arial" w:eastAsia="Arial" w:hAnsi="Arial"/>
          <w:sz w:val="18"/>
          <w:szCs w:val="18"/>
          <w:color w:val="auto"/>
        </w:rPr>
        <w:t>paragraph. Non-U.S. holders should consult their own tax advisors regarding the possible implications of FATCA on their investment in our common stock.</w:t>
      </w:r>
    </w:p>
    <w:p>
      <w:pPr>
        <w:spacing w:after="0" w:line="12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Each prospective investor should consult its own tax advisor regarding the particular U.S. federal, state, local and non-U.S. tax consequences of the sale, exchange or other taxable disposition of our common stock, including the consequences of any proposed change in applicable laws.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382" w:right="25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and the selling stockholders are offering the shares of common stock described in this prospectus through a number of underwriters. Goldman Sachs &amp; Co. LLC, J.P. Morgan Securities LLC and Credit Suisse Securities (USA) LLC are acting as representatives of the underwriters. Subject to the terms and conditions of the underwriting agreement, among us, the selling stockholders and the underwriters,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Number of</w:t>
      </w:r>
    </w:p>
    <w:p>
      <w:pPr>
        <w:spacing w:after="0" w:line="25"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-6407785</wp:posOffset>
            </wp:positionH>
            <wp:positionV relativeFrom="paragraph">
              <wp:posOffset>19050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9380" w:space="720"/>
            <w:col w:w="1320"/>
          </w:cols>
          <w:pgMar w:left="240" w:top="468"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Goldman Sachs &amp; Co.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Suisse Securities (USA)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Jefferies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James &amp; Associates,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6350</wp:posOffset>
            </wp:positionV>
            <wp:extent cx="11576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23495</wp:posOffset>
            </wp:positionV>
            <wp:extent cx="11576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9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underwriters are committed to purchase all the common shares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underwriters propose to offer the common shares directly to the public at the public offering price set forth on the cover page of this</w:t>
      </w:r>
    </w:p>
    <w:p>
      <w:pPr>
        <w:spacing w:after="0" w:line="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common shares are not sold at the public offering price, the underwriters may change the offering price and the other selling terms.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50"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underwriters have an option to buy up to 487,500 additional shares of common stock from the selling stockholders.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and Expenses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or the</w:t>
      </w:r>
    </w:p>
    <w:p>
      <w:pPr>
        <w:spacing w:after="0" w:line="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selling stockholders per share of common stock. The underwriting fee is $ per share. The following table shows the per share and total underwriting discounts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8" w:right="239" w:bottom="1440" w:gutter="0" w:footer="0" w:header="0"/>
          <w:type w:val="continuous"/>
        </w:sectPr>
      </w:pPr>
    </w:p>
    <w:bookmarkStart w:id="156" w:name="page157"/>
    <w:bookmarkEnd w:id="156"/>
    <w:p>
      <w:pPr>
        <w:ind w:right="520"/>
        <w:spacing w:after="0" w:line="262" w:lineRule="auto"/>
        <w:rPr>
          <w:sz w:val="20"/>
          <w:szCs w:val="20"/>
          <w:color w:val="auto"/>
        </w:rPr>
      </w:pPr>
      <w:r>
        <w:rPr>
          <w:rFonts w:ascii="Arial" w:cs="Arial" w:eastAsia="Arial" w:hAnsi="Arial"/>
          <w:sz w:val="18"/>
          <w:szCs w:val="18"/>
          <w:color w:val="auto"/>
        </w:rPr>
        <w:t>commissions we and the selling stockholders will pay to the underwriters assuming both no exercise and full exercise of the underwriters’ option to purchase additional shares.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Without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766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option to purchase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option to purchase</w:t>
            </w:r>
          </w:p>
        </w:tc>
      </w:tr>
      <w:tr>
        <w:trPr>
          <w:trHeight w:val="189"/>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additional shares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additional shares</w:t>
            </w:r>
          </w:p>
        </w:tc>
      </w:tr>
      <w:tr>
        <w:trPr>
          <w:trHeight w:val="228"/>
        </w:trPr>
        <w:tc>
          <w:tcPr>
            <w:tcW w:w="766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exercise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sold by us</w:t>
            </w:r>
          </w:p>
        </w:tc>
        <w:tc>
          <w:tcPr>
            <w:tcW w:w="1820" w:type="dxa"/>
            <w:vAlign w:val="bottom"/>
            <w:tcBorders>
              <w:top w:val="single" w:sz="8" w:color="auto"/>
            </w:tcBorders>
            <w:shd w:val="clear" w:color="auto" w:fill="CCEEFF"/>
          </w:tcPr>
          <w:p>
            <w:pPr>
              <w:jc w:val="right"/>
              <w:ind w:right="159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rPr>
              <w:t>N/A</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Per share sold by the selling stockholders</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jc w:val="right"/>
              <w:ind w:right="159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616"/>
              <w:spacing w:after="0"/>
              <w:rPr>
                <w:sz w:val="20"/>
                <w:szCs w:val="20"/>
                <w:color w:val="auto"/>
              </w:rPr>
            </w:pPr>
            <w:r>
              <w:rPr>
                <w:rFonts w:ascii="Arial" w:cs="Arial" w:eastAsia="Arial" w:hAnsi="Arial"/>
                <w:sz w:val="18"/>
                <w:szCs w:val="18"/>
                <w:color w:val="auto"/>
                <w:w w:val="99"/>
              </w:rPr>
              <w:t>$</w:t>
            </w:r>
          </w:p>
        </w:tc>
      </w:tr>
    </w:tbl>
    <w:p>
      <w:pPr>
        <w:spacing w:after="0" w:line="161"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$1.7 million. We have agreed to reimburse the underwriters for expenses relating to any applicable state securities filings and the clearance of this offering with the Financial Industry Regulatory Authority in amount not to exceed $30,000. The underwriters have agreed to reimburse us for certain of our expenses incurred in connection with the offering.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93"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period beginning from the date hereof and continuing to and including the date 90 days after the date of the final prospectus (the “Lock-Up Period”), we have agreed not to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common stock, including but not limited to any options or warrants to purchase shares of our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our stock or any such other securities, whether any such transaction described in clause (i) or (ii) above is to be settled by delivery of stock or such other securities, in cash or otherwise, other than (a) shares of our common stock to be sold hereunder, (b) any shares of stock issued by us upon the exercise of options granted under our stock-based compensation plans existing on the date of the underwriting agreement (“Company Stock Plans”), or upon the conversion or exchange of convertible or exchangeable securities outstanding as of the date of the underwriting agreement, (c) the grant or issuance by us of employee, consultant, or director stock options or restricted stock in the ordinary course of business under Company Stock Plans described in this prospectus, (d) the issuance of shares registered on Form S-8 relating to Company Stock Plans described in this prospectus, (e) the issuance of securities in connection with the acquisition by us or any subsidiary of the securities, businesses, property or other assets of another person or entity or pursuant to any employee benefit plan assumed by us in connection with any such acquisition, (f) the issuance of securities in connection with joint ventures, commercial relationships, or other strategic transactions; provided that, in the case of clauses (e) and (f), (x) the aggregate number of shares issued in all such acquisitions and transactions does not exceed 5% of our outstanding common stock following the offering of shares offered hereby and (y) each person to whom such shares are issued executes a “lock-up”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382" w:right="239" w:bottom="1440" w:gutter="0" w:footer="0" w:header="0"/>
        </w:sectPr>
      </w:pPr>
    </w:p>
    <w:bookmarkStart w:id="157" w:name="page158"/>
    <w:bookmarkEnd w:id="157"/>
    <w:p>
      <w:pPr>
        <w:ind w:right="300"/>
        <w:spacing w:after="0" w:line="262" w:lineRule="auto"/>
        <w:rPr>
          <w:sz w:val="20"/>
          <w:szCs w:val="20"/>
          <w:color w:val="auto"/>
        </w:rPr>
      </w:pPr>
      <w:r>
        <w:rPr>
          <w:rFonts w:ascii="Arial" w:cs="Arial" w:eastAsia="Arial" w:hAnsi="Arial"/>
          <w:sz w:val="18"/>
          <w:szCs w:val="18"/>
          <w:color w:val="auto"/>
        </w:rPr>
        <w:t>agreement, unless we obtain the prior written consent of Goldman Sachs &amp; Co. LLC and J.P. Morgan Securities LLC. In connection with the IPO, we made a similar agreement with respect to the period ending 180 days after May 1, 2019.</w:t>
      </w:r>
    </w:p>
    <w:p>
      <w:pPr>
        <w:spacing w:after="0" w:line="142"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connection with our IPO, our directors, executive officers, and substantially all of our stockholders (the “Lock-Up Parties”) entered into lock up agreements with the underwriters in that offering pursuant to which each of these persons or entities, with limited exceptions, for a period ending 180 days after May 1, 2019, agreed that they will not, without the prior written consent of Goldman Sachs &amp; Co. LLC and J.P. Morgan Securities LLC, (i) offer, sell, contract to sell, pledge, grant any option to purchase, make any short sale or otherwise transfer or dispose of any shares of our common stock, or any options or warrants to purchase any shares of our common stock or any securities convertible into, exchangeable for or that represent the right to receive shares of our common stock, whether now owned or hereinafter acquired, owned directly by the Lock-Up Parties (including holding as a custodian) or with respect to which such Lock-Up Party has beneficial ownership within the rules and regulations of the SEC (collectively, the “Lock-Up Parties’ Shares”), (ii) enter into any swap or other agreement that transfers, in whole or in part, any of the economic consequences of ownership of the Lock-Up Parties’ Shares, or (iii) publicly disclose the intent to do any of the foregoing. In addition, the Lock-Up Parties have agreed that, without prior written consent of Goldman Sachs &amp; Co. LLC and J.P. Morgan Securities LLC on behalf of the underwriters, they will not make any demand for or exercise any right with respect to the registration of the Lock-Up Parties’ Shares. The foregoing restrictions are expressly agreed to preclude the Lock-Up Parties from engaging in any hedging or other transaction which is designed to or which reasonably could be expected to lead to or result in a sale or disposition of the Lock-Up Parties’ Shares even if such shares would be disposed of by someone other than such Lock- Up Party. Such prohibited hedging or other transactions would include without limitation any short sale or any purchase, sale or grant of any right (including without limitation any put or call option) with respect to any of the Lock-Up Parties’ Shares or with respect to any security that includes, relates to, or derives any significant part of its value from such shares.</w:t>
      </w:r>
    </w:p>
    <w:p>
      <w:pPr>
        <w:spacing w:after="0" w:line="15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connection with this offering, Goldman Sachs &amp; Co. LLC and J.P. Morgan Securities LLC have agreed to waive the lock-up restrictions applicable to us for purposes of this offering. Also in connection with this offering, Goldman Sachs &amp; Co. LLC and J.P. Morgan Securities LLC have agreed to waive the lock-up restrictions with respect to the selling stockholders, which include certain of our officers and directors. This waiver relates only to the sale of shares in this offering and becomes effective at the time of pricing of this offering. The lock-up restrictions applicable to the Lock-Up Parties, including the selling stockholders, will otherwise continue until the expiration of the original 180-day period, ending October 28,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“BYND.”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382" w:right="259" w:bottom="1440" w:gutter="0" w:footer="0" w:header="0"/>
        </w:sectPr>
      </w:pPr>
    </w:p>
    <w:bookmarkStart w:id="158" w:name="page159"/>
    <w:bookmarkEnd w:id="158"/>
    <w:p>
      <w:pPr>
        <w:ind w:right="20"/>
        <w:spacing w:after="0" w:line="254" w:lineRule="auto"/>
        <w:rPr>
          <w:sz w:val="20"/>
          <w:szCs w:val="20"/>
          <w:color w:val="auto"/>
        </w:rPr>
      </w:pPr>
      <w:r>
        <w:rPr>
          <w:rFonts w:ascii="Arial" w:cs="Arial" w:eastAsia="Arial" w:hAnsi="Arial"/>
          <w:sz w:val="18"/>
          <w:szCs w:val="18"/>
          <w:color w:val="auto"/>
        </w:rPr>
        <w:t>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50"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The underwriters have advised us and the selling stockholders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50" w:lineRule="exact"/>
        <w:rPr>
          <w:sz w:val="20"/>
          <w:szCs w:val="20"/>
          <w:color w:val="auto"/>
        </w:rPr>
      </w:pPr>
    </w:p>
    <w:p>
      <w:pPr>
        <w:ind w:right="160" w:firstLine="324"/>
        <w:spacing w:after="0" w:line="216" w:lineRule="exact"/>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64"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Other than in the United States, no action has been taken by us, the selling stockholders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In relation to each Member State of the European Economic Area (each, a “Member State”), no offer of shares may be made to the public in that Member State other than:</w:t>
      </w:r>
    </w:p>
    <w:p>
      <w:pPr>
        <w:spacing w:after="0" w:line="142" w:lineRule="exact"/>
        <w:rPr>
          <w:sz w:val="20"/>
          <w:szCs w:val="20"/>
          <w:color w:val="auto"/>
        </w:rPr>
      </w:pPr>
    </w:p>
    <w:p>
      <w:pPr>
        <w:ind w:left="5560" w:right="3840" w:hanging="5228"/>
        <w:spacing w:after="0" w:line="731"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 154</w:t>
      </w:r>
    </w:p>
    <w:p>
      <w:pPr>
        <w:sectPr>
          <w:pgSz w:w="11900" w:h="16838" w:orient="portrait"/>
          <w:cols w:equalWidth="0" w:num="1">
            <w:col w:w="11420"/>
          </w:cols>
          <w:pgMar w:left="240" w:top="382" w:right="239" w:bottom="1440" w:gutter="0" w:footer="0" w:header="0"/>
        </w:sectPr>
      </w:pPr>
    </w:p>
    <w:bookmarkStart w:id="159" w:name="page160"/>
    <w:bookmarkEnd w:id="159"/>
    <w:p>
      <w:pPr>
        <w:ind w:left="660" w:right="240" w:hanging="328"/>
        <w:spacing w:after="0" w:line="262"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142"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2"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382" w:right="239" w:bottom="1440" w:gutter="0" w:footer="0" w:header="0"/>
        </w:sectPr>
      </w:pPr>
    </w:p>
    <w:bookmarkStart w:id="160" w:name="page161"/>
    <w:bookmarkEnd w:id="160"/>
    <w:p>
      <w:pPr>
        <w:ind w:firstLine="324"/>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Beyond Meat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5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document:</w:t>
      </w:r>
    </w:p>
    <w:p>
      <w:pPr>
        <w:spacing w:after="0" w:line="171" w:lineRule="exact"/>
        <w:rPr>
          <w:sz w:val="20"/>
          <w:szCs w:val="20"/>
          <w:color w:val="auto"/>
        </w:rPr>
      </w:pPr>
    </w:p>
    <w:p>
      <w:pPr>
        <w:ind w:left="660" w:right="680" w:hanging="328"/>
        <w:spacing w:after="0" w:line="26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42"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47"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47"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382" w:right="239" w:bottom="1440" w:gutter="0" w:footer="0" w:header="0"/>
        </w:sectPr>
      </w:pPr>
    </w:p>
    <w:bookmarkStart w:id="161" w:name="page162"/>
    <w:bookmarkEnd w:id="161"/>
    <w:p>
      <w:pPr>
        <w:ind w:firstLine="324"/>
        <w:spacing w:after="0" w:line="25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382" w:right="259" w:bottom="1440" w:gutter="0" w:footer="0" w:header="0"/>
        </w:sectPr>
      </w:pPr>
    </w:p>
    <w:bookmarkStart w:id="162" w:name="page163"/>
    <w:bookmarkEnd w:id="162"/>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460" w:hanging="328"/>
        <w:spacing w:after="0" w:line="26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2"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50"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for the purposes of the Securities and Investment Business Act, 2010 or the Public Issuers Code of the British Virgin Islands.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382" w:right="2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(the “PRC”).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shares are not being offered or sold directly or indirectly in the PRC to or for the benefit of, legal or natural persons of the PRC.</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Malaysia</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8"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9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42"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71" w:lineRule="exact"/>
        <w:rPr>
          <w:rFonts w:ascii="Arial" w:cs="Arial" w:eastAsia="Arial" w:hAnsi="Arial"/>
          <w:sz w:val="18"/>
          <w:szCs w:val="18"/>
          <w:color w:val="auto"/>
        </w:rPr>
      </w:pPr>
    </w:p>
    <w:p>
      <w:pPr>
        <w:jc w:val="both"/>
        <w:ind w:left="980" w:right="260" w:hanging="324"/>
        <w:spacing w:after="0" w:line="256"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47" w:lineRule="exact"/>
        <w:rPr>
          <w:rFonts w:ascii="Arial" w:cs="Arial" w:eastAsia="Arial" w:hAnsi="Arial"/>
          <w:sz w:val="18"/>
          <w:szCs w:val="18"/>
          <w:color w:val="auto"/>
        </w:rPr>
      </w:pPr>
    </w:p>
    <w:p>
      <w:pPr>
        <w:ind w:left="980" w:hanging="32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combination of the person in (a) to (f); or</w:t>
      </w:r>
    </w:p>
    <w:p>
      <w:pPr>
        <w:spacing w:after="0" w:line="171"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total contemplated acquisition cost of the securities, for any single addressee acting as principal is equal to or greater than ZAR1,000,000.</w:t>
      </w:r>
    </w:p>
    <w:p>
      <w:pPr>
        <w:spacing w:after="0" w:line="14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No “offer to the public” (as such term is defined in the South African Companies Act, No. 71 of 2008 (as amended or re-enacted)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8"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and entities with relationships with us, for which they received or will receive customary fees and expenses.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382" w:right="279" w:bottom="1440" w:gutter="0" w:footer="0" w:header="0"/>
        </w:sectPr>
      </w:pPr>
    </w:p>
    <w:bookmarkStart w:id="166" w:name="page167"/>
    <w:bookmarkEnd w:id="166"/>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validity of the shares of common stock offered hereby will be passed upon for us by Orrick, Herrington &amp; Sutcliffe LLP, 1000 Marsh Road, Menlo Park, California 94025. Latham &amp; Watkins LLP, 330 North Wabash Avenue, Suite 2800, Chicago, Illinois 60611, is acting as counsel for the underwriters in connection with this offering. Certain attorneys with Orrick, Herrington &amp; Sutcliffe LLP and certain funds affiliated with the firm own and/or have an indirect interest in shares of our common stock, which represent less than 1% of our common stock. In addition, certain attorneys of Latham &amp; Watkins LLP own and/or have an indirect interest in shares of our common stock, including one of the attorneys representing the underwriters and one of the selling stockholders in this offering.</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financial statements as of December 31, 2018 and 2017 and for each of the three years in the period ended December 31, 2018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document filed as an exhibit to the registration statement, each statement being qualified in all respects by such reference. The SEC maintains an Internet website that contains reports, proxy statements and other information about issuers, like us, that file electronically with the SEC. The address of that site is www.sec.gov.</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are subject to the informational requirements of the Exchange Act, and, in accordance with the Exchange Act, are required to file annual, quarterly and current reports, proxy and information statements and other information with the SEC. Such annual, quarterly and current reports, proxy and information statements and other information can be inspected and copied at the locations set forth above. Such information is also available on the investors section of our website, which is located at www.beyondmeat.com. </w:t>
      </w:r>
      <w:r>
        <w:rPr>
          <w:rFonts w:ascii="Arial" w:cs="Arial" w:eastAsia="Arial" w:hAnsi="Arial"/>
          <w:sz w:val="18"/>
          <w:szCs w:val="18"/>
          <w:b w:val="1"/>
          <w:bCs w:val="1"/>
          <w:color w:val="auto"/>
        </w:rPr>
        <w:t>However, the information contained on</w:t>
      </w:r>
      <w:r>
        <w:rPr>
          <w:rFonts w:ascii="Arial" w:cs="Arial" w:eastAsia="Arial" w:hAnsi="Arial"/>
          <w:sz w:val="18"/>
          <w:szCs w:val="18"/>
          <w:color w:val="auto"/>
        </w:rPr>
        <w:t xml:space="preserve"> </w:t>
      </w:r>
      <w:r>
        <w:rPr>
          <w:rFonts w:ascii="Arial" w:cs="Arial" w:eastAsia="Arial" w:hAnsi="Arial"/>
          <w:sz w:val="18"/>
          <w:szCs w:val="18"/>
          <w:b w:val="1"/>
          <w:bCs w:val="1"/>
          <w:color w:val="auto"/>
        </w:rPr>
        <w:t>or accessible through our website is not part of this prospectus or the registration statement of which this prospectus forms a part, and potential investors should not rely on such information in deciding to purchase our common stock in this offering.</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8" w:right="27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INDEX TO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BEYOND MEAT,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257"/>
        </w:trPr>
        <w:tc>
          <w:tcPr>
            <w:tcW w:w="10360" w:type="dxa"/>
            <w:vAlign w:val="bottom"/>
            <w:gridSpan w:val="14"/>
          </w:tcPr>
          <w:p>
            <w:pPr>
              <w:spacing w:after="0"/>
              <w:rPr>
                <w:sz w:val="20"/>
                <w:szCs w:val="20"/>
                <w:color w:val="auto"/>
              </w:rPr>
            </w:pPr>
            <w:r>
              <w:rPr>
                <w:rFonts w:ascii="Arial" w:cs="Arial" w:eastAsia="Arial" w:hAnsi="Arial"/>
                <w:sz w:val="18"/>
                <w:szCs w:val="18"/>
                <w:color w:val="auto"/>
              </w:rPr>
              <w:t>Three and Six Months Ended June 29, 2019</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0"/>
        </w:trPr>
        <w:tc>
          <w:tcPr>
            <w:tcW w:w="27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169">
              <w:r>
                <w:rPr>
                  <w:rFonts w:ascii="Arial" w:cs="Arial" w:eastAsia="Arial" w:hAnsi="Arial"/>
                  <w:sz w:val="18"/>
                  <w:szCs w:val="18"/>
                  <w:color w:val="0000EE"/>
                  <w:w w:val="99"/>
                </w:rPr>
                <w:t>Financial Statements (Unaudited):</w:t>
              </w:r>
            </w:hyperlink>
          </w:p>
        </w:tc>
        <w:tc>
          <w:tcPr>
            <w:tcW w:w="7640" w:type="dxa"/>
            <w:vAlign w:val="bottom"/>
            <w:gridSpan w:val="7"/>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7"/>
        </w:trPr>
        <w:tc>
          <w:tcPr>
            <w:tcW w:w="240" w:type="dxa"/>
            <w:vAlign w:val="bottom"/>
          </w:tcPr>
          <w:p>
            <w:pPr>
              <w:spacing w:after="0"/>
              <w:rPr>
                <w:sz w:val="20"/>
                <w:szCs w:val="20"/>
                <w:color w:val="auto"/>
              </w:rPr>
            </w:pPr>
          </w:p>
        </w:tc>
        <w:tc>
          <w:tcPr>
            <w:tcW w:w="10120" w:type="dxa"/>
            <w:vAlign w:val="bottom"/>
            <w:gridSpan w:val="13"/>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Condensed Balance Sheets</w:t>
              </w:r>
            </w:hyperlink>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69">
              <w:r>
                <w:rPr>
                  <w:rFonts w:ascii="Arial" w:cs="Arial" w:eastAsia="Arial" w:hAnsi="Arial"/>
                  <w:sz w:val="18"/>
                  <w:szCs w:val="18"/>
                  <w:color w:val="0000EE"/>
                  <w:w w:val="96"/>
                </w:rPr>
                <w:t>F-2</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2920" w:type="dxa"/>
            <w:vAlign w:val="bottom"/>
            <w:gridSpan w:val="7"/>
          </w:tcPr>
          <w:p>
            <w:pPr>
              <w:spacing w:after="0"/>
              <w:rPr>
                <w:rFonts w:ascii="Arial" w:cs="Arial" w:eastAsia="Arial" w:hAnsi="Arial"/>
                <w:sz w:val="18"/>
                <w:szCs w:val="18"/>
                <w:color w:val="0000EE"/>
                <w:w w:val="99"/>
              </w:rPr>
            </w:pPr>
            <w:hyperlink w:anchor="page171">
              <w:r>
                <w:rPr>
                  <w:rFonts w:ascii="Arial" w:cs="Arial" w:eastAsia="Arial" w:hAnsi="Arial"/>
                  <w:sz w:val="18"/>
                  <w:szCs w:val="18"/>
                  <w:color w:val="0000EE"/>
                  <w:w w:val="99"/>
                </w:rPr>
                <w:t>Condensed Statement of Operations</w:t>
              </w:r>
            </w:hyperlink>
          </w:p>
        </w:tc>
        <w:tc>
          <w:tcPr>
            <w:tcW w:w="7200" w:type="dxa"/>
            <w:vAlign w:val="bottom"/>
            <w:gridSpan w:val="6"/>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1">
              <w:r>
                <w:rPr>
                  <w:rFonts w:ascii="Arial" w:cs="Arial" w:eastAsia="Arial" w:hAnsi="Arial"/>
                  <w:sz w:val="18"/>
                  <w:szCs w:val="18"/>
                  <w:color w:val="0000EE"/>
                  <w:w w:val="96"/>
                </w:rPr>
                <w:t>F-4</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10120" w:type="dxa"/>
            <w:vAlign w:val="bottom"/>
            <w:gridSpan w:val="13"/>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Condensed Statements of Convertible Preferred Stock and Stockholders’ Equity (Deficit)</w:t>
              </w:r>
            </w:hyperlink>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2">
              <w:r>
                <w:rPr>
                  <w:rFonts w:ascii="Arial" w:cs="Arial" w:eastAsia="Arial" w:hAnsi="Arial"/>
                  <w:sz w:val="18"/>
                  <w:szCs w:val="18"/>
                  <w:color w:val="0000EE"/>
                  <w:w w:val="96"/>
                </w:rPr>
                <w:t>F-5</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7040" w:type="dxa"/>
            <w:vAlign w:val="bottom"/>
            <w:gridSpan w:val="12"/>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Condensed Statements of Cash Flows</w:t>
              </w:r>
            </w:hyperlink>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3">
              <w:r>
                <w:rPr>
                  <w:rFonts w:ascii="Arial" w:cs="Arial" w:eastAsia="Arial" w:hAnsi="Arial"/>
                  <w:sz w:val="18"/>
                  <w:szCs w:val="18"/>
                  <w:color w:val="0000EE"/>
                  <w:w w:val="96"/>
                </w:rPr>
                <w:t>F-6</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240" w:type="dxa"/>
            <w:vAlign w:val="bottom"/>
            <w:gridSpan w:val="10"/>
          </w:tcPr>
          <w:p>
            <w:pPr>
              <w:spacing w:after="0"/>
              <w:rPr>
                <w:rFonts w:ascii="Arial" w:cs="Arial" w:eastAsia="Arial" w:hAnsi="Arial"/>
                <w:sz w:val="18"/>
                <w:szCs w:val="18"/>
                <w:color w:val="0000EE"/>
                <w:w w:val="99"/>
              </w:rPr>
            </w:pPr>
            <w:hyperlink w:anchor="page175">
              <w:r>
                <w:rPr>
                  <w:rFonts w:ascii="Arial" w:cs="Arial" w:eastAsia="Arial" w:hAnsi="Arial"/>
                  <w:sz w:val="18"/>
                  <w:szCs w:val="18"/>
                  <w:color w:val="0000EE"/>
                  <w:w w:val="99"/>
                </w:rPr>
                <w:t>Notes to Unaudited Condensed Financial Statements</w:t>
              </w:r>
            </w:hyperlink>
          </w:p>
        </w:tc>
        <w:tc>
          <w:tcPr>
            <w:tcW w:w="6120" w:type="dxa"/>
            <w:vAlign w:val="bottom"/>
            <w:gridSpan w:val="4"/>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center"/>
              <w:ind w:right="380"/>
              <w:spacing w:after="0"/>
              <w:rPr>
                <w:rFonts w:ascii="Arial" w:cs="Arial" w:eastAsia="Arial" w:hAnsi="Arial"/>
                <w:sz w:val="18"/>
                <w:szCs w:val="18"/>
                <w:color w:val="0000EE"/>
                <w:w w:val="96"/>
              </w:rPr>
            </w:pPr>
            <w:hyperlink w:anchor="page175">
              <w:r>
                <w:rPr>
                  <w:rFonts w:ascii="Arial" w:cs="Arial" w:eastAsia="Arial" w:hAnsi="Arial"/>
                  <w:sz w:val="18"/>
                  <w:szCs w:val="18"/>
                  <w:color w:val="0000EE"/>
                  <w:w w:val="96"/>
                </w:rPr>
                <w:t>F-8</w:t>
              </w:r>
            </w:hyperlink>
          </w:p>
        </w:tc>
      </w:tr>
      <w:tr>
        <w:trPr>
          <w:trHeight w:val="291"/>
        </w:trPr>
        <w:tc>
          <w:tcPr>
            <w:tcW w:w="42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Year Ended December 31, 2016, 2017 and 2018</w:t>
            </w:r>
          </w:p>
        </w:tc>
        <w:tc>
          <w:tcPr>
            <w:tcW w:w="612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46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190">
              <w:r>
                <w:rPr>
                  <w:rFonts w:ascii="Arial" w:cs="Arial" w:eastAsia="Arial" w:hAnsi="Arial"/>
                  <w:sz w:val="18"/>
                  <w:szCs w:val="18"/>
                  <w:color w:val="0000EE"/>
                  <w:w w:val="99"/>
                </w:rPr>
                <w:t>Report of Independent Registered Public Accounting Firm</w:t>
              </w:r>
            </w:hyperlink>
          </w:p>
        </w:tc>
        <w:tc>
          <w:tcPr>
            <w:tcW w:w="576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0000EE"/>
            </w:tcBorders>
            <w:gridSpan w:val="3"/>
          </w:tcPr>
          <w:p>
            <w:pPr>
              <w:jc w:val="center"/>
              <w:spacing w:after="0"/>
              <w:rPr>
                <w:rFonts w:ascii="Arial" w:cs="Arial" w:eastAsia="Arial" w:hAnsi="Arial"/>
                <w:sz w:val="18"/>
                <w:szCs w:val="18"/>
                <w:color w:val="0000EE"/>
              </w:rPr>
            </w:pPr>
            <w:hyperlink w:anchor="page190">
              <w:r>
                <w:rPr>
                  <w:rFonts w:ascii="Arial" w:cs="Arial" w:eastAsia="Arial" w:hAnsi="Arial"/>
                  <w:sz w:val="18"/>
                  <w:szCs w:val="18"/>
                  <w:color w:val="0000EE"/>
                </w:rPr>
                <w:t>F-23</w:t>
              </w:r>
            </w:hyperlink>
          </w:p>
        </w:tc>
        <w:tc>
          <w:tcPr>
            <w:tcW w:w="320" w:type="dxa"/>
            <w:vAlign w:val="bottom"/>
          </w:tcPr>
          <w:p>
            <w:pPr>
              <w:spacing w:after="0"/>
              <w:rPr>
                <w:sz w:val="18"/>
                <w:szCs w:val="18"/>
                <w:color w:val="auto"/>
              </w:rPr>
            </w:pPr>
          </w:p>
        </w:tc>
      </w:tr>
      <w:tr>
        <w:trPr>
          <w:trHeight w:val="250"/>
        </w:trPr>
        <w:tc>
          <w:tcPr>
            <w:tcW w:w="10360" w:type="dxa"/>
            <w:vAlign w:val="bottom"/>
            <w:gridSpan w:val="14"/>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Financial Statements:</w:t>
              </w:r>
            </w:hyperlink>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12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192">
              <w:r>
                <w:rPr>
                  <w:rFonts w:ascii="Arial" w:cs="Arial" w:eastAsia="Arial" w:hAnsi="Arial"/>
                  <w:sz w:val="18"/>
                  <w:szCs w:val="18"/>
                  <w:color w:val="0000EE"/>
                  <w:w w:val="98"/>
                </w:rPr>
                <w:t>Balance Sheets</w:t>
              </w:r>
            </w:hyperlink>
          </w:p>
        </w:tc>
        <w:tc>
          <w:tcPr>
            <w:tcW w:w="220" w:type="dxa"/>
            <w:vAlign w:val="bottom"/>
            <w:tcBorders>
              <w:top w:val="single" w:sz="8" w:color="0000EE"/>
            </w:tcBorders>
          </w:tcPr>
          <w:p>
            <w:pPr>
              <w:spacing w:after="0"/>
              <w:rPr>
                <w:sz w:val="20"/>
                <w:szCs w:val="20"/>
                <w:color w:val="auto"/>
              </w:rPr>
            </w:pPr>
          </w:p>
        </w:tc>
        <w:tc>
          <w:tcPr>
            <w:tcW w:w="8640" w:type="dxa"/>
            <w:vAlign w:val="bottom"/>
            <w:gridSpan w:val="11"/>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0000EE"/>
            </w:tcBorders>
            <w:gridSpan w:val="3"/>
          </w:tcPr>
          <w:p>
            <w:pPr>
              <w:jc w:val="center"/>
              <w:spacing w:after="0"/>
              <w:rPr>
                <w:rFonts w:ascii="Arial" w:cs="Arial" w:eastAsia="Arial" w:hAnsi="Arial"/>
                <w:sz w:val="18"/>
                <w:szCs w:val="18"/>
                <w:color w:val="0000EE"/>
              </w:rPr>
            </w:pPr>
            <w:hyperlink w:anchor="page192">
              <w:r>
                <w:rPr>
                  <w:rFonts w:ascii="Arial" w:cs="Arial" w:eastAsia="Arial" w:hAnsi="Arial"/>
                  <w:sz w:val="18"/>
                  <w:szCs w:val="18"/>
                  <w:color w:val="0000EE"/>
                </w:rPr>
                <w:t>F-25</w:t>
              </w:r>
            </w:hyperlink>
          </w:p>
        </w:tc>
        <w:tc>
          <w:tcPr>
            <w:tcW w:w="32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20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94">
              <w:r>
                <w:rPr>
                  <w:rFonts w:ascii="Arial" w:cs="Arial" w:eastAsia="Arial" w:hAnsi="Arial"/>
                  <w:sz w:val="18"/>
                  <w:szCs w:val="18"/>
                  <w:color w:val="0000EE"/>
                  <w:w w:val="98"/>
                </w:rPr>
                <w:t>Statements of Operations</w:t>
              </w:r>
            </w:hyperlink>
          </w:p>
        </w:tc>
        <w:tc>
          <w:tcPr>
            <w:tcW w:w="8080" w:type="dxa"/>
            <w:vAlign w:val="bottom"/>
            <w:gridSpan w:val="10"/>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0000EE"/>
            </w:tcBorders>
            <w:gridSpan w:val="3"/>
          </w:tcPr>
          <w:p>
            <w:pPr>
              <w:jc w:val="center"/>
              <w:spacing w:after="0"/>
              <w:rPr>
                <w:rFonts w:ascii="Arial" w:cs="Arial" w:eastAsia="Arial" w:hAnsi="Arial"/>
                <w:sz w:val="18"/>
                <w:szCs w:val="18"/>
                <w:color w:val="0000EE"/>
              </w:rPr>
            </w:pPr>
            <w:hyperlink w:anchor="page194">
              <w:r>
                <w:rPr>
                  <w:rFonts w:ascii="Arial" w:cs="Arial" w:eastAsia="Arial" w:hAnsi="Arial"/>
                  <w:sz w:val="18"/>
                  <w:szCs w:val="18"/>
                  <w:color w:val="0000EE"/>
                </w:rPr>
                <w:t>F-27</w:t>
              </w:r>
            </w:hyperlink>
          </w:p>
        </w:tc>
        <w:tc>
          <w:tcPr>
            <w:tcW w:w="32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10120" w:type="dxa"/>
            <w:vAlign w:val="bottom"/>
            <w:gridSpan w:val="13"/>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Statements of Convertible Preferred Stock and Stockholders’ Deficit</w:t>
              </w:r>
            </w:hyperlink>
          </w:p>
        </w:tc>
        <w:tc>
          <w:tcPr>
            <w:tcW w:w="1020" w:type="dxa"/>
            <w:vAlign w:val="bottom"/>
            <w:gridSpan w:val="5"/>
          </w:tcPr>
          <w:p>
            <w:pPr>
              <w:jc w:val="center"/>
              <w:spacing w:after="0"/>
              <w:rPr>
                <w:rFonts w:ascii="Arial" w:cs="Arial" w:eastAsia="Arial" w:hAnsi="Arial"/>
                <w:sz w:val="18"/>
                <w:szCs w:val="18"/>
                <w:color w:val="0000EE"/>
              </w:rPr>
            </w:pPr>
            <w:hyperlink w:anchor="page195">
              <w:r>
                <w:rPr>
                  <w:rFonts w:ascii="Arial" w:cs="Arial" w:eastAsia="Arial" w:hAnsi="Arial"/>
                  <w:sz w:val="18"/>
                  <w:szCs w:val="18"/>
                  <w:color w:val="0000EE"/>
                </w:rPr>
                <w:t>F-28</w:t>
              </w:r>
            </w:hyperlink>
          </w:p>
        </w:tc>
      </w:tr>
      <w:tr>
        <w:trPr>
          <w:trHeight w:val="237"/>
        </w:trPr>
        <w:tc>
          <w:tcPr>
            <w:tcW w:w="240" w:type="dxa"/>
            <w:vAlign w:val="bottom"/>
          </w:tcPr>
          <w:p>
            <w:pPr>
              <w:spacing w:after="0"/>
              <w:rPr>
                <w:sz w:val="20"/>
                <w:szCs w:val="20"/>
                <w:color w:val="auto"/>
              </w:rPr>
            </w:pPr>
          </w:p>
        </w:tc>
        <w:tc>
          <w:tcPr>
            <w:tcW w:w="2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196">
              <w:r>
                <w:rPr>
                  <w:rFonts w:ascii="Arial" w:cs="Arial" w:eastAsia="Arial" w:hAnsi="Arial"/>
                  <w:sz w:val="18"/>
                  <w:szCs w:val="18"/>
                  <w:color w:val="0000EE"/>
                  <w:w w:val="98"/>
                </w:rPr>
                <w:t>Statements of Cash Flows</w:t>
              </w:r>
            </w:hyperlink>
          </w:p>
        </w:tc>
        <w:tc>
          <w:tcPr>
            <w:tcW w:w="3300" w:type="dxa"/>
            <w:vAlign w:val="bottom"/>
            <w:tcBorders>
              <w:top w:val="single" w:sz="8" w:color="0000EE"/>
            </w:tcBorders>
            <w:gridSpan w:val="7"/>
          </w:tcPr>
          <w:p>
            <w:pPr>
              <w:spacing w:after="0"/>
              <w:rPr>
                <w:sz w:val="20"/>
                <w:szCs w:val="20"/>
                <w:color w:val="auto"/>
              </w:rPr>
            </w:pPr>
          </w:p>
        </w:tc>
        <w:tc>
          <w:tcPr>
            <w:tcW w:w="47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rPr>
            </w:pPr>
            <w:hyperlink w:anchor="page196">
              <w:r>
                <w:rPr>
                  <w:rFonts w:ascii="Arial" w:cs="Arial" w:eastAsia="Arial" w:hAnsi="Arial"/>
                  <w:sz w:val="18"/>
                  <w:szCs w:val="18"/>
                  <w:color w:val="0000EE"/>
                </w:rPr>
                <w:t>F-29</w:t>
              </w:r>
            </w:hyperlink>
          </w:p>
        </w:tc>
        <w:tc>
          <w:tcPr>
            <w:tcW w:w="320" w:type="dxa"/>
            <w:vAlign w:val="bottom"/>
          </w:tcPr>
          <w:p>
            <w:pPr>
              <w:spacing w:after="0"/>
              <w:rPr>
                <w:sz w:val="20"/>
                <w:szCs w:val="20"/>
                <w:color w:val="auto"/>
              </w:rPr>
            </w:pPr>
          </w:p>
        </w:tc>
      </w:tr>
      <w:tr>
        <w:trPr>
          <w:trHeight w:val="237"/>
        </w:trPr>
        <w:tc>
          <w:tcPr>
            <w:tcW w:w="10360" w:type="dxa"/>
            <w:vAlign w:val="bottom"/>
            <w:gridSpan w:val="14"/>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Notes to Financial Statements</w:t>
              </w:r>
            </w:hyperlink>
          </w:p>
        </w:tc>
        <w:tc>
          <w:tcPr>
            <w:tcW w:w="1020" w:type="dxa"/>
            <w:vAlign w:val="bottom"/>
            <w:gridSpan w:val="5"/>
          </w:tcPr>
          <w:p>
            <w:pPr>
              <w:jc w:val="center"/>
              <w:spacing w:after="0"/>
              <w:rPr>
                <w:rFonts w:ascii="Arial" w:cs="Arial" w:eastAsia="Arial" w:hAnsi="Arial"/>
                <w:sz w:val="18"/>
                <w:szCs w:val="18"/>
                <w:color w:val="0000EE"/>
              </w:rPr>
            </w:pPr>
            <w:hyperlink w:anchor="page198">
              <w:r>
                <w:rPr>
                  <w:rFonts w:ascii="Arial" w:cs="Arial" w:eastAsia="Arial" w:hAnsi="Arial"/>
                  <w:sz w:val="18"/>
                  <w:szCs w:val="18"/>
                  <w:color w:val="0000EE"/>
                </w:rPr>
                <w:t>F-31</w:t>
              </w:r>
            </w:hyperlink>
          </w:p>
        </w:tc>
      </w:tr>
      <w:tr>
        <w:trPr>
          <w:trHeight w:val="655"/>
        </w:trPr>
        <w:tc>
          <w:tcPr>
            <w:tcW w:w="2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60" w:type="dxa"/>
            <w:vAlign w:val="bottom"/>
            <w:gridSpan w:val="3"/>
          </w:tcPr>
          <w:p>
            <w:pPr>
              <w:ind w:left="94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29,</w:t>
            </w:r>
          </w:p>
        </w:tc>
        <w:tc>
          <w:tcPr>
            <w:tcW w:w="2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34,388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12,626</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30,257</w:t>
            </w:r>
          </w:p>
        </w:tc>
      </w:tr>
      <w:tr>
        <w:trPr>
          <w:trHeight w:val="264"/>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5,672</w:t>
            </w:r>
          </w:p>
        </w:tc>
      </w:tr>
      <w:tr>
        <w:trPr>
          <w:trHeight w:val="250"/>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361,796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102,826</w:t>
            </w:r>
          </w:p>
        </w:tc>
      </w:tr>
      <w:tr>
        <w:trPr>
          <w:trHeight w:val="24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30,527</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net</w:t>
            </w:r>
          </w:p>
        </w:tc>
        <w:tc>
          <w:tcPr>
            <w:tcW w:w="3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80"/>
        </w:trPr>
        <w:tc>
          <w:tcPr>
            <w:tcW w:w="76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397,061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Convertible Preferred Stock and Stockholders’ Equity (Deficit):</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17,247</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Wages payable</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bonus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borrowings under revolving credit line</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Short-term capital lease liabilities</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73"/>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warrant liability</w:t>
            </w:r>
          </w:p>
        </w:tc>
        <w:tc>
          <w:tcPr>
            <w:tcW w:w="3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1,918</w:t>
            </w:r>
          </w:p>
        </w:tc>
      </w:tr>
      <w:tr>
        <w:trPr>
          <w:trHeight w:val="250"/>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40,403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25,167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Revolving credit line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280"/>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portion of bank term loan, net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19,388</w:t>
            </w:r>
          </w:p>
        </w:tc>
      </w:tr>
      <w:tr>
        <w:trPr>
          <w:trHeight w:val="260"/>
        </w:trPr>
        <w:tc>
          <w:tcPr>
            <w:tcW w:w="7660" w:type="dxa"/>
            <w:vAlign w:val="bottom"/>
          </w:tcPr>
          <w:p>
            <w:pPr>
              <w:ind w:left="200"/>
              <w:spacing w:after="0"/>
              <w:rPr>
                <w:sz w:val="20"/>
                <w:szCs w:val="20"/>
                <w:color w:val="auto"/>
              </w:rPr>
            </w:pPr>
            <w:r>
              <w:rPr>
                <w:rFonts w:ascii="Arial" w:cs="Arial" w:eastAsia="Arial" w:hAnsi="Arial"/>
                <w:sz w:val="16"/>
                <w:szCs w:val="16"/>
                <w:color w:val="auto"/>
              </w:rPr>
              <w:t>Equipment loan, net</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4,924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273"/>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lease obligations and other long-term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50"/>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24,873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30,792</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9)</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738"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29,</w:t>
            </w:r>
          </w:p>
        </w:tc>
        <w:tc>
          <w:tcPr>
            <w:tcW w:w="2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Convertible preferred stock:</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A convertible preferred stock, par value $0.0001 per share—no shares and 3,333,500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issued and outstanding as of June 29, 2019 and December 31, 2018</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B convertible preferred stock, par value $0.0001 per share—no shares and 4,802,260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4,680,565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C convertible preferred stock, par value $0.0001 per share—no shares and 8,076,643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8,076,636 shares issued and outstanding as of June 29, 2019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14,882</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D convertible preferred stock, par value $0.0001 per share—no shares and 8,713,207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8,713,201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24,948</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E convertible preferred stock, par value $0.0001 per share—no shares and 4,740,531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4,701,449 shares issued and outstanding as of June 29, 2019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17,214</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F convertible preferred stock, par value $0.0001 per share—no shares and 4,866,776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4,866,758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29,840</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G convertible preferred stock, par value $0.0001 per share—no shares and 5,140,257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and 5,114,786 shares issued and outstanding as of June 29, 2019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55,658</w:t>
            </w:r>
          </w:p>
        </w:tc>
      </w:tr>
      <w:tr>
        <w:trPr>
          <w:trHeight w:val="218"/>
        </w:trPr>
        <w:tc>
          <w:tcPr>
            <w:tcW w:w="7660" w:type="dxa"/>
            <w:vAlign w:val="bottom"/>
          </w:tcPr>
          <w:p>
            <w:pPr>
              <w:ind w:left="40"/>
              <w:spacing w:after="0"/>
              <w:rPr>
                <w:sz w:val="20"/>
                <w:szCs w:val="20"/>
                <w:color w:val="auto"/>
              </w:rPr>
            </w:pPr>
            <w:r>
              <w:rPr>
                <w:rFonts w:ascii="Arial" w:cs="Arial" w:eastAsia="Arial" w:hAnsi="Arial"/>
                <w:sz w:val="16"/>
                <w:szCs w:val="16"/>
                <w:color w:val="auto"/>
              </w:rPr>
              <w:t>Series H convertible preferred stock, par value $0.0001 per share—no shares and 4,209,693 shares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authorized; no shares and 2,075,216 shares issued and outstanding as of June 29, 2019 and</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December 31, 2018</w:t>
            </w:r>
          </w:p>
        </w:tc>
        <w:tc>
          <w:tcPr>
            <w:tcW w:w="3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49,999</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 (deficit):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Preferred stock, par value $0.0001 per share—500,000 shares authorized, none issued and outstanding</w:t>
            </w:r>
          </w:p>
        </w:tc>
        <w:tc>
          <w:tcPr>
            <w:tcW w:w="3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par value $0.0001 per share—500,000,000 shares and 58,669,600 shares authorized at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9"/>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June 29, 2019 and December 31, 2018, respectively; 60,167,521 and 6,951,350 shares issued and</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at June 29, 2019 and December 31, 2018, respectively</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477,541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7,921</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(145,762)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(129,672)</w:t>
            </w:r>
          </w:p>
        </w:tc>
      </w:tr>
      <w:tr>
        <w:trPr>
          <w:trHeight w:val="250"/>
        </w:trPr>
        <w:tc>
          <w:tcPr>
            <w:tcW w:w="7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stockholders’ equity (deficit)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331,785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(121,750)</w:t>
            </w:r>
          </w:p>
        </w:tc>
      </w:tr>
      <w:tr>
        <w:trPr>
          <w:trHeight w:val="240"/>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397,061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133,749</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27" w:right="239" w:bottom="1440"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w:t>
            </w: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w:t>
            </w:r>
          </w:p>
        </w:tc>
        <w:tc>
          <w:tcPr>
            <w:tcW w:w="280" w:type="dxa"/>
            <w:vAlign w:val="bottom"/>
          </w:tcPr>
          <w:p>
            <w:pPr>
              <w:spacing w:after="0"/>
              <w:rPr>
                <w:sz w:val="17"/>
                <w:szCs w:val="17"/>
                <w:color w:val="auto"/>
              </w:rPr>
            </w:pPr>
          </w:p>
        </w:tc>
        <w:tc>
          <w:tcPr>
            <w:tcW w:w="13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28"/>
        </w:trPr>
        <w:tc>
          <w:tcPr>
            <w:tcW w:w="4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67,251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107,457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30,143</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44,510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73,945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25,474</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22,741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33,512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15,515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7,043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20,574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9,888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36,643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17,524</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warrant liability</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324"/>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Weighted average common shares outstanding—basic</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39,081,359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6,072,319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23,206,203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5,933,806</w:t>
            </w:r>
          </w:p>
        </w:tc>
        <w:tc>
          <w:tcPr>
            <w:tcW w:w="0" w:type="dxa"/>
            <w:vAlign w:val="bottom"/>
          </w:tcPr>
          <w:p>
            <w:pPr>
              <w:spacing w:after="0"/>
              <w:rPr>
                <w:sz w:val="1"/>
                <w:szCs w:val="1"/>
                <w:color w:val="auto"/>
              </w:rPr>
            </w:pPr>
          </w:p>
        </w:tc>
      </w:tr>
      <w:tr>
        <w:trPr>
          <w:trHeight w:val="217"/>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80" w:top="360" w:right="25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20" w:type="dxa"/>
            <w:vAlign w:val="bottom"/>
          </w:tcPr>
          <w:p>
            <w:pPr>
              <w:spacing w:after="0"/>
              <w:rPr>
                <w:sz w:val="22"/>
                <w:szCs w:val="22"/>
                <w:color w:val="auto"/>
              </w:rPr>
            </w:pPr>
          </w:p>
        </w:tc>
        <w:tc>
          <w:tcPr>
            <w:tcW w:w="2220" w:type="dxa"/>
            <w:vAlign w:val="bottom"/>
            <w:tcBorders>
              <w:right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22"/>
                <w:szCs w:val="22"/>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2"/>
                <w:szCs w:val="2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22"/>
                <w:szCs w:val="2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34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1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199,540</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6,951,350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(129,672)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262"/>
        </w:trPr>
        <w:tc>
          <w:tcPr>
            <w:tcW w:w="34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(6,649)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(6,649)</w:t>
            </w:r>
          </w:p>
        </w:tc>
        <w:tc>
          <w:tcPr>
            <w:tcW w:w="0" w:type="dxa"/>
            <w:vAlign w:val="bottom"/>
          </w:tcPr>
          <w:p>
            <w:pPr>
              <w:spacing w:after="0"/>
              <w:rPr>
                <w:sz w:val="1"/>
                <w:szCs w:val="1"/>
                <w:color w:val="auto"/>
              </w:rPr>
            </w:pPr>
          </w:p>
        </w:tc>
      </w:tr>
      <w:tr>
        <w:trPr>
          <w:trHeight w:val="278"/>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through equity incentive plans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169,583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264"/>
        </w:trPr>
        <w:tc>
          <w:tcPr>
            <w:tcW w:w="342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257"/>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March 29, 2019</w:t>
            </w: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199,540</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7,120,933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9,142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(136,321)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(127,178)</w:t>
            </w:r>
          </w:p>
        </w:tc>
        <w:tc>
          <w:tcPr>
            <w:tcW w:w="0" w:type="dxa"/>
            <w:vAlign w:val="bottom"/>
          </w:tcPr>
          <w:p>
            <w:pPr>
              <w:spacing w:after="0"/>
              <w:rPr>
                <w:sz w:val="1"/>
                <w:szCs w:val="1"/>
                <w:color w:val="auto"/>
              </w:rPr>
            </w:pPr>
          </w:p>
        </w:tc>
      </w:tr>
      <w:tr>
        <w:trPr>
          <w:trHeight w:val="262"/>
        </w:trPr>
        <w:tc>
          <w:tcPr>
            <w:tcW w:w="34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(9,441)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(9,441)</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pursuant to the initial public</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offering, net of issuance costs of $4.9 million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11,068,750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252,452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252,453</w:t>
            </w:r>
          </w:p>
        </w:tc>
        <w:tc>
          <w:tcPr>
            <w:tcW w:w="0" w:type="dxa"/>
            <w:vAlign w:val="bottom"/>
          </w:tcPr>
          <w:p>
            <w:pPr>
              <w:spacing w:after="0"/>
              <w:rPr>
                <w:sz w:val="1"/>
                <w:szCs w:val="1"/>
                <w:color w:val="auto"/>
              </w:rPr>
            </w:pPr>
          </w:p>
        </w:tc>
      </w:tr>
      <w:tr>
        <w:trPr>
          <w:trHeight w:val="156"/>
        </w:trPr>
        <w:tc>
          <w:tcPr>
            <w:tcW w:w="3420" w:type="dxa"/>
            <w:vAlign w:val="bottom"/>
          </w:tcPr>
          <w:p>
            <w:pPr>
              <w:ind w:left="100"/>
              <w:spacing w:after="0"/>
              <w:rPr>
                <w:sz w:val="20"/>
                <w:szCs w:val="20"/>
                <w:color w:val="auto"/>
              </w:rPr>
            </w:pPr>
            <w:r>
              <w:rPr>
                <w:rFonts w:ascii="Arial" w:cs="Arial" w:eastAsia="Arial" w:hAnsi="Arial"/>
                <w:sz w:val="13"/>
                <w:szCs w:val="13"/>
                <w:color w:val="auto"/>
                <w:w w:val="98"/>
              </w:rPr>
              <w:t>Issuance of common stock upon conversion of convertible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tcPr>
          <w:p>
            <w:pPr>
              <w:ind w:left="180"/>
              <w:spacing w:after="0"/>
              <w:rPr>
                <w:sz w:val="20"/>
                <w:szCs w:val="20"/>
                <w:color w:val="auto"/>
              </w:rPr>
            </w:pPr>
            <w:r>
              <w:rPr>
                <w:rFonts w:ascii="Arial" w:cs="Arial" w:eastAsia="Arial" w:hAnsi="Arial"/>
                <w:sz w:val="13"/>
                <w:szCs w:val="13"/>
                <w:color w:val="auto"/>
              </w:rPr>
              <w:t>preferred stock</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(199,540)</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199,536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upon exercise of common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warrants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214,875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100"/>
              <w:spacing w:after="0"/>
              <w:rPr>
                <w:sz w:val="20"/>
                <w:szCs w:val="20"/>
                <w:color w:val="auto"/>
              </w:rPr>
            </w:pPr>
            <w:r>
              <w:rPr>
                <w:rFonts w:ascii="Arial" w:cs="Arial" w:eastAsia="Arial" w:hAnsi="Arial"/>
                <w:sz w:val="13"/>
                <w:szCs w:val="13"/>
                <w:color w:val="auto"/>
              </w:rPr>
              <w:t>Reclassification of warrant liability to additional paid-in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tcPr>
          <w:p>
            <w:pPr>
              <w:ind w:left="180"/>
              <w:spacing w:after="0"/>
              <w:rPr>
                <w:sz w:val="20"/>
                <w:szCs w:val="20"/>
                <w:color w:val="auto"/>
              </w:rPr>
            </w:pPr>
            <w:r>
              <w:rPr>
                <w:rFonts w:ascii="Arial" w:cs="Arial" w:eastAsia="Arial" w:hAnsi="Arial"/>
                <w:sz w:val="13"/>
                <w:szCs w:val="13"/>
                <w:color w:val="auto"/>
              </w:rPr>
              <w:t>capital in connection with the initial public offering</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14,421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14,421</w:t>
            </w:r>
          </w:p>
        </w:tc>
        <w:tc>
          <w:tcPr>
            <w:tcW w:w="0" w:type="dxa"/>
            <w:vAlign w:val="bottom"/>
          </w:tcPr>
          <w:p>
            <w:pPr>
              <w:spacing w:after="0"/>
              <w:rPr>
                <w:sz w:val="1"/>
                <w:szCs w:val="1"/>
                <w:color w:val="auto"/>
              </w:rPr>
            </w:pPr>
          </w:p>
        </w:tc>
      </w:tr>
      <w:tr>
        <w:trPr>
          <w:trHeight w:val="278"/>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through equity incentive plans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200,852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Share-based compensation</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r>
        <w:trPr>
          <w:trHeight w:val="242"/>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29, 2019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60,167,521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477,541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(145,762)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331,785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2240" w:type="dxa"/>
            <w:vAlign w:val="bottom"/>
            <w:tcBorders>
              <w:right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22"/>
                <w:szCs w:val="22"/>
                <w:color w:val="auto"/>
              </w:rPr>
            </w:pPr>
          </w:p>
        </w:tc>
        <w:tc>
          <w:tcPr>
            <w:tcW w:w="20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Additional Paid-</w:t>
            </w:r>
          </w:p>
        </w:tc>
        <w:tc>
          <w:tcPr>
            <w:tcW w:w="160" w:type="dxa"/>
            <w:vAlign w:val="bottom"/>
          </w:tcPr>
          <w:p>
            <w:pPr>
              <w:spacing w:after="0"/>
              <w:rPr>
                <w:sz w:val="22"/>
                <w:szCs w:val="2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Loans to</w:t>
            </w:r>
          </w:p>
        </w:tc>
        <w:tc>
          <w:tcPr>
            <w:tcW w:w="160" w:type="dxa"/>
            <w:vAlign w:val="bottom"/>
          </w:tcPr>
          <w:p>
            <w:pPr>
              <w:spacing w:after="0"/>
              <w:rPr>
                <w:sz w:val="22"/>
                <w:szCs w:val="2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128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in 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Related Parties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39,361,211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148,194</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5,724,506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4,823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(95,913)</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(5,696)</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stock through equity</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incentive plans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92,310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Series G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issuance costs of $7</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112,945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1,228</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March 31, 2018</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39,474,156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149,422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5,816,816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5,171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(105,482)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(101,261)</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Issuance of common stock through equity</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0"/>
              <w:spacing w:after="0"/>
              <w:rPr>
                <w:sz w:val="20"/>
                <w:szCs w:val="20"/>
                <w:color w:val="auto"/>
              </w:rPr>
            </w:pPr>
            <w:r>
              <w:rPr>
                <w:rFonts w:ascii="Arial" w:cs="Arial" w:eastAsia="Arial" w:hAnsi="Arial"/>
                <w:sz w:val="13"/>
                <w:szCs w:val="13"/>
                <w:color w:val="auto"/>
              </w:rPr>
              <w:t>incentive plans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624,411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0"/>
              <w:spacing w:after="0"/>
              <w:rPr>
                <w:sz w:val="20"/>
                <w:szCs w:val="20"/>
                <w:color w:val="auto"/>
              </w:rPr>
            </w:pPr>
            <w:r>
              <w:rPr>
                <w:rFonts w:ascii="Arial" w:cs="Arial" w:eastAsia="Arial" w:hAnsi="Arial"/>
                <w:sz w:val="13"/>
                <w:szCs w:val="13"/>
                <w:color w:val="auto"/>
              </w:rPr>
              <w:t>of issuance costs of $19</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12,739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121</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2018</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39,486,895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149,543</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6,441,227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(107,424)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0"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Six Months Ended</w:t>
            </w:r>
          </w:p>
        </w:tc>
      </w:tr>
      <w:tr>
        <w:trPr>
          <w:trHeight w:val="47"/>
        </w:trPr>
        <w:tc>
          <w:tcPr>
            <w:tcW w:w="76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91"/>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29,</w:t>
            </w:r>
          </w:p>
        </w:tc>
        <w:tc>
          <w:tcPr>
            <w:tcW w:w="360" w:type="dxa"/>
            <w:vAlign w:val="bottom"/>
          </w:tcPr>
          <w:p>
            <w:pPr>
              <w:spacing w:after="0"/>
              <w:rPr>
                <w:sz w:val="16"/>
                <w:szCs w:val="16"/>
                <w:color w:val="auto"/>
              </w:rPr>
            </w:pPr>
          </w:p>
        </w:tc>
        <w:tc>
          <w:tcPr>
            <w:tcW w:w="1480" w:type="dxa"/>
            <w:vAlign w:val="bottom"/>
          </w:tcPr>
          <w:p>
            <w:pPr>
              <w:jc w:val="right"/>
              <w:ind w:right="531"/>
              <w:spacing w:after="0"/>
              <w:rPr>
                <w:sz w:val="20"/>
                <w:szCs w:val="20"/>
                <w:color w:val="auto"/>
              </w:rPr>
            </w:pPr>
            <w:r>
              <w:rPr>
                <w:rFonts w:ascii="Arial" w:cs="Arial" w:eastAsia="Arial" w:hAnsi="Arial"/>
                <w:sz w:val="16"/>
                <w:szCs w:val="16"/>
                <w:b w:val="1"/>
                <w:bCs w:val="1"/>
                <w:color w:val="auto"/>
              </w:rPr>
              <w:t>June 30,</w:t>
            </w:r>
          </w:p>
        </w:tc>
      </w:tr>
      <w:tr>
        <w:trPr>
          <w:trHeight w:val="228"/>
        </w:trPr>
        <w:tc>
          <w:tcPr>
            <w:tcW w:w="7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(13,092)</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1,620</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preferred and common stock warrant liabilities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Net change in operating assets and liabilities:</w:t>
            </w: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(6,178)</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3"/>
        </w:trPr>
        <w:tc>
          <w:tcPr>
            <w:tcW w:w="7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6,623</w:t>
            </w:r>
          </w:p>
        </w:tc>
      </w:tr>
      <w:tr>
        <w:trPr>
          <w:trHeight w:val="27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64"/>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Long-term liabilities</w:t>
            </w: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257"/>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Cash flows used in investing activities: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0"/>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sale of fixed assets</w:t>
            </w:r>
          </w:p>
        </w:tc>
        <w:tc>
          <w:tcPr>
            <w:tcW w:w="34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 held for sale</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Payment of security deposits</w:t>
            </w: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9"/>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pursuant to the initial public offering, net of</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255,448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Series G preferred stock offering, net of offering costs</w:t>
            </w:r>
          </w:p>
        </w:tc>
        <w:tc>
          <w:tcPr>
            <w:tcW w:w="34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1,350</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bank term loan borrowing</w:t>
            </w:r>
          </w:p>
        </w:tc>
        <w:tc>
          <w:tcPr>
            <w:tcW w:w="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Repayments on revolving credit line</w:t>
            </w:r>
          </w:p>
        </w:tc>
        <w:tc>
          <w:tcPr>
            <w:tcW w:w="34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on term loan</w:t>
            </w:r>
          </w:p>
        </w:tc>
        <w:tc>
          <w:tcPr>
            <w:tcW w:w="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3"/>
        </w:trPr>
        <w:tc>
          <w:tcPr>
            <w:tcW w:w="7640" w:type="dxa"/>
            <w:vAlign w:val="bottom"/>
          </w:tcPr>
          <w:p>
            <w:pPr>
              <w:ind w:left="200"/>
              <w:spacing w:after="0"/>
              <w:rPr>
                <w:sz w:val="20"/>
                <w:szCs w:val="20"/>
                <w:color w:val="auto"/>
              </w:rPr>
            </w:pPr>
            <w:r>
              <w:rPr>
                <w:rFonts w:ascii="Arial" w:cs="Arial" w:eastAsia="Arial" w:hAnsi="Arial"/>
                <w:sz w:val="18"/>
                <w:szCs w:val="18"/>
                <w:color w:val="auto"/>
              </w:rPr>
              <w:t>Repayment of Missouri Note</w:t>
            </w:r>
          </w:p>
        </w:tc>
        <w:tc>
          <w:tcPr>
            <w:tcW w:w="34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7"/>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64"/>
        </w:trPr>
        <w:tc>
          <w:tcPr>
            <w:tcW w:w="7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871</w:t>
            </w:r>
          </w:p>
        </w:tc>
      </w:tr>
      <w:tr>
        <w:trPr>
          <w:trHeight w:val="250"/>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255,960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7,154</w:t>
            </w: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222,716</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(15,546)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54,271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39,035</w:t>
            </w:r>
          </w:p>
        </w:tc>
      </w:tr>
      <w:tr>
        <w:trPr>
          <w:trHeight w:val="29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276,987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23,489</w:t>
            </w:r>
          </w:p>
        </w:tc>
      </w:tr>
      <w:tr>
        <w:trPr>
          <w:trHeight w:val="210"/>
        </w:trPr>
        <w:tc>
          <w:tcPr>
            <w:tcW w:w="7640" w:type="dxa"/>
            <w:vAlign w:val="bottom"/>
            <w:shd w:val="clear" w:color="auto" w:fill="CCEEFF"/>
          </w:tcPr>
          <w:p>
            <w:pPr>
              <w:ind w:left="4720"/>
              <w:spacing w:after="0" w:line="196" w:lineRule="exact"/>
              <w:rPr>
                <w:sz w:val="20"/>
                <w:szCs w:val="20"/>
                <w:color w:val="auto"/>
              </w:rPr>
            </w:pPr>
            <w:r>
              <w:rPr>
                <w:rFonts w:ascii="Arial" w:cs="Arial" w:eastAsia="Arial" w:hAnsi="Arial"/>
                <w:sz w:val="18"/>
                <w:szCs w:val="18"/>
                <w:color w:val="auto"/>
              </w:rPr>
              <w:t>(continued on next page)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621"/>
        </w:trPr>
        <w:tc>
          <w:tcPr>
            <w:tcW w:w="7640" w:type="dxa"/>
            <w:vAlign w:val="bottom"/>
          </w:tcPr>
          <w:p>
            <w:pPr>
              <w:ind w:left="5580"/>
              <w:spacing w:after="0"/>
              <w:rPr>
                <w:sz w:val="20"/>
                <w:szCs w:val="20"/>
                <w:color w:val="auto"/>
              </w:rPr>
            </w:pPr>
            <w:r>
              <w:rPr>
                <w:rFonts w:ascii="Arial" w:cs="Arial" w:eastAsia="Arial" w:hAnsi="Arial"/>
                <w:sz w:val="18"/>
                <w:szCs w:val="18"/>
                <w:color w:val="auto"/>
              </w:rPr>
              <w:t>F-6</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gridSpan w:val="4"/>
          </w:tcPr>
          <w:p>
            <w:pPr>
              <w:jc w:val="right"/>
              <w:ind w:right="1252"/>
              <w:spacing w:after="0"/>
              <w:rPr>
                <w:sz w:val="20"/>
                <w:szCs w:val="20"/>
                <w:color w:val="auto"/>
              </w:rPr>
            </w:pPr>
            <w:r>
              <w:rPr>
                <w:rFonts w:ascii="Arial" w:cs="Arial" w:eastAsia="Arial" w:hAnsi="Arial"/>
                <w:sz w:val="16"/>
                <w:szCs w:val="16"/>
                <w:b w:val="1"/>
                <w:bCs w:val="1"/>
                <w:color w:val="auto"/>
              </w:rPr>
              <w:t>Six Months Ended</w:t>
            </w:r>
          </w:p>
        </w:tc>
      </w:tr>
      <w:tr>
        <w:trPr>
          <w:trHeight w:val="47"/>
        </w:trPr>
        <w:tc>
          <w:tcPr>
            <w:tcW w:w="73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191"/>
        </w:trPr>
        <w:tc>
          <w:tcPr>
            <w:tcW w:w="7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29,</w:t>
            </w:r>
          </w:p>
        </w:tc>
        <w:tc>
          <w:tcPr>
            <w:tcW w:w="400" w:type="dxa"/>
            <w:vAlign w:val="bottom"/>
          </w:tcPr>
          <w:p>
            <w:pPr>
              <w:spacing w:after="0"/>
              <w:rPr>
                <w:sz w:val="16"/>
                <w:szCs w:val="16"/>
                <w:color w:val="auto"/>
              </w:rPr>
            </w:pPr>
          </w:p>
        </w:tc>
        <w:tc>
          <w:tcPr>
            <w:tcW w:w="1600" w:type="dxa"/>
            <w:vAlign w:val="bottom"/>
          </w:tcPr>
          <w:p>
            <w:pPr>
              <w:jc w:val="right"/>
              <w:ind w:right="612"/>
              <w:spacing w:after="0"/>
              <w:rPr>
                <w:sz w:val="20"/>
                <w:szCs w:val="20"/>
                <w:color w:val="auto"/>
              </w:rPr>
            </w:pPr>
            <w:r>
              <w:rPr>
                <w:rFonts w:ascii="Arial" w:cs="Arial" w:eastAsia="Arial" w:hAnsi="Arial"/>
                <w:sz w:val="16"/>
                <w:szCs w:val="16"/>
                <w:b w:val="1"/>
                <w:bCs w:val="1"/>
                <w:color w:val="auto"/>
              </w:rPr>
              <w:t>June 30,</w:t>
            </w:r>
          </w:p>
        </w:tc>
      </w:tr>
      <w:tr>
        <w:trPr>
          <w:trHeight w:val="228"/>
        </w:trPr>
        <w:tc>
          <w:tcPr>
            <w:tcW w:w="7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2018</w:t>
            </w: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0"/>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3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3"/>
        </w:trPr>
        <w:tc>
          <w:tcPr>
            <w:tcW w:w="73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63</w:t>
            </w: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63"/>
        </w:trPr>
        <w:tc>
          <w:tcPr>
            <w:tcW w:w="7320" w:type="dxa"/>
            <w:vAlign w:val="bottom"/>
          </w:tcPr>
          <w:p>
            <w:pPr>
              <w:ind w:left="200"/>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 for the purchase of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63"/>
        </w:trPr>
        <w:tc>
          <w:tcPr>
            <w:tcW w:w="7320" w:type="dxa"/>
            <w:vAlign w:val="bottom"/>
          </w:tcPr>
          <w:p>
            <w:pPr>
              <w:ind w:left="360"/>
              <w:spacing w:after="0"/>
              <w:rPr>
                <w:sz w:val="20"/>
                <w:szCs w:val="20"/>
                <w:color w:val="auto"/>
              </w:rPr>
            </w:pPr>
            <w:r>
              <w:rPr>
                <w:rFonts w:ascii="Arial" w:cs="Arial" w:eastAsia="Arial" w:hAnsi="Arial"/>
                <w:sz w:val="18"/>
                <w:szCs w:val="18"/>
                <w:color w:val="auto"/>
              </w:rPr>
              <w:t>Issuance of convertible preferred stock warrants in connection with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additions to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1,656</w:t>
            </w:r>
          </w:p>
        </w:tc>
      </w:tr>
      <w:tr>
        <w:trPr>
          <w:trHeight w:val="263"/>
        </w:trPr>
        <w:tc>
          <w:tcPr>
            <w:tcW w:w="7320" w:type="dxa"/>
            <w:vAlign w:val="bottom"/>
          </w:tcPr>
          <w:p>
            <w:pPr>
              <w:ind w:left="360"/>
              <w:spacing w:after="0"/>
              <w:rPr>
                <w:sz w:val="20"/>
                <w:szCs w:val="20"/>
                <w:color w:val="auto"/>
              </w:rPr>
            </w:pPr>
            <w:r>
              <w:rPr>
                <w:rFonts w:ascii="Arial" w:cs="Arial" w:eastAsia="Arial" w:hAnsi="Arial"/>
                <w:sz w:val="18"/>
                <w:szCs w:val="18"/>
                <w:color w:val="auto"/>
              </w:rPr>
              <w:t>Deferred offering costs, accrued not yet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7"/>
        </w:trPr>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additions to property, plant and equipment held for sale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400"/>
              <w:spacing w:after="0"/>
              <w:rPr>
                <w:sz w:val="20"/>
                <w:szCs w:val="20"/>
                <w:color w:val="auto"/>
              </w:rPr>
            </w:pPr>
            <w:r>
              <w:rPr>
                <w:rFonts w:ascii="Arial" w:cs="Arial" w:eastAsia="Arial" w:hAnsi="Arial"/>
                <w:sz w:val="18"/>
                <w:szCs w:val="18"/>
                <w:color w:val="auto"/>
              </w:rPr>
              <w:t>Reclassification of warrant liability to additional paid-in capital in connection with the</w:t>
            </w: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4"/>
        </w:trPr>
        <w:tc>
          <w:tcPr>
            <w:tcW w:w="7320" w:type="dxa"/>
            <w:vAlign w:val="bottom"/>
          </w:tcPr>
          <w:p>
            <w:pPr>
              <w:ind w:left="520"/>
              <w:spacing w:after="0"/>
              <w:rPr>
                <w:sz w:val="20"/>
                <w:szCs w:val="20"/>
                <w:color w:val="auto"/>
              </w:rPr>
            </w:pPr>
            <w:r>
              <w:rPr>
                <w:rFonts w:ascii="Arial" w:cs="Arial" w:eastAsia="Arial" w:hAnsi="Arial"/>
                <w:sz w:val="18"/>
                <w:szCs w:val="18"/>
                <w:color w:val="auto"/>
              </w:rPr>
              <w:t>initial public offering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14,421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convertible preferred stock to common stock upon initial public offering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199,540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5240"/>
              <w:spacing w:after="0"/>
              <w:rPr>
                <w:sz w:val="20"/>
                <w:szCs w:val="20"/>
                <w:color w:val="auto"/>
              </w:rPr>
            </w:pPr>
            <w:r>
              <w:rPr>
                <w:rFonts w:ascii="Arial" w:cs="Arial" w:eastAsia="Arial" w:hAnsi="Arial"/>
                <w:sz w:val="18"/>
                <w:szCs w:val="18"/>
                <w:color w:val="auto"/>
              </w:rPr>
              <w:t>(concluded)</w:t>
            </w: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27"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by eating the Company’s plant-based meats, consumers can enjoy more, not less, of their favorite meals, and by doing so, help address concerns related to human health, climate change, resource conservation and animal welfare.</w:t>
      </w:r>
    </w:p>
    <w:p>
      <w:pPr>
        <w:spacing w:after="0" w:line="15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are located in El Segundo, California. In addition to its own production facilities, the Company uses co-manufacturers in various locations in the United States to manufacture its products. In May 2019, the Company partnered with one of its distributors to co-manufacture the Company’s products at a new manufacturing facility being constructed by this distributor in the Netherlands for estimated completion in 2020.</w:t>
      </w:r>
    </w:p>
    <w:p>
      <w:pPr>
        <w:spacing w:after="0" w:line="15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through brokers and distributors. All of the Company’s long-lived assets are located in the United States.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May 6, 2019, the Company completed its initial public offering (“IPO”) of common stock, in which it sold 11,068,750 shares, including 1,443,750 shares pursuant to the underwriters’ over-allotment option. The shares began trading on the Nasdaq Global Select Market on May 2, 2019. The shares were sold at an IPO price of $ 25.00 per share for net proceeds of approximately $252.4 million, after deducting underwriting discounts and commissions of $19.4 million and offering expenses of approximately $4.9 million payable by the Company. Upon the closing of the IPO, all outstanding shares of the Company’s convertible preferred stock automatically converted into 41,562,111 shares of common stock on a one-for-one basis, and warrants exercisable for convertible preferred stock were automatically converted into warrants exercisable for a total of 160,767 shares of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unaudited condensed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In the opinion of management, the condensed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2019 or for any other interim period or for any other future fiscal year. These condensed financial statements should be read in conjunction with the Company's audited financial statements and notes thereto included in the prospectus dated May 1, 2019 filed with the SEC on May 3, 2019 (the “Prospectus”). The condensed balance sheet as of December 31, 2018 has been derived from the audited financial statements at that date. There have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60"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been no material changes in the Company’s significant accounting policies from those that were disclosed in the Prospectus, except as noted below.</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right="180"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and the valuation of the fair value of common stock and preferred stock used to determine stock compensation expense and in the remeasurement of warrants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condensed financial statements.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condensed financial statements and related notes to the number of shares of common stock, convertible preferred stock, warrants and options to purchase common stock and per share data reflect the effect of the reverse stock split.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maintains cash balances at one financial institution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consist primarily of amounts invested in money market accounts.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Offering costs, consisting primarily of legal, accounting, printing and filing services, and other direct fees and costs related to the IPO, were capitalized and offset against proceeds upon the consummation of the IPO. Total IPO issuance costs were $4.9 million, of which $2.4 million was incurred and paid as of December 31, 2018 and an additional $ 1.9 million was incurred and paid as of June 29, 2019. Approximately $0.6 million of IPO issuance costs incurred in the six months ended June 29, 2019 remained unpaid in accounts payable as of June 29, 2019.</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Company accounts for freestanding warrants to purchase shares of its convertible preferred stock or common stock as a liability, as the underlying shares of convertible preferred stock and common stock are contingently redeemable and, therefore, may obligate the Company to transfer assets at some point in the future. The warrants were recorded at fair value upon issuance and are subject 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33"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remeasurement at each balance sheet date. Any change in fair value is recognized in the condensed statements of operations in Total other expense, net.</w:t>
      </w:r>
    </w:p>
    <w:p>
      <w:pPr>
        <w:spacing w:after="0" w:line="14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Prior to the IPO, the Company had outstanding warrants to purchase an aggregate of 60,002 shares of its common stock at an exercise price of $3.00 per share, 121,694 shares of its Series B convertible preferred stock at an exercise price of $1.07 per share and 39,073 shares of its Series E convertible preferred stock at an exercise price of $3.68 per share. On May 6, 2019, in connection with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53" w:lineRule="exact"/>
        <w:rPr>
          <w:sz w:val="20"/>
          <w:szCs w:val="20"/>
          <w:color w:val="auto"/>
        </w:rPr>
      </w:pPr>
    </w:p>
    <w:p>
      <w:pPr>
        <w:jc w:val="both"/>
        <w:ind w:left="660" w:right="120" w:hanging="328"/>
        <w:spacing w:after="0" w:line="266" w:lineRule="auto"/>
        <w:tabs>
          <w:tab w:leader="none" w:pos="660" w:val="left"/>
        </w:tabs>
        <w:numPr>
          <w:ilvl w:val="0"/>
          <w:numId w:val="115"/>
        </w:numPr>
        <w:rPr>
          <w:rFonts w:ascii="Arial" w:cs="Arial" w:eastAsia="Arial" w:hAnsi="Arial"/>
          <w:sz w:val="18"/>
          <w:szCs w:val="18"/>
          <w:i w:val="1"/>
          <w:iCs w:val="1"/>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22" w:lineRule="exact"/>
        <w:rPr>
          <w:rFonts w:ascii="Arial" w:cs="Arial" w:eastAsia="Arial" w:hAnsi="Arial"/>
          <w:sz w:val="18"/>
          <w:szCs w:val="18"/>
          <w:i w:val="1"/>
          <w:iCs w:val="1"/>
          <w:color w:val="auto"/>
        </w:rPr>
      </w:pPr>
    </w:p>
    <w:p>
      <w:pPr>
        <w:ind w:left="660" w:right="220" w:hanging="328"/>
        <w:spacing w:after="0" w:line="282" w:lineRule="auto"/>
        <w:tabs>
          <w:tab w:leader="none" w:pos="660" w:val="left"/>
        </w:tabs>
        <w:numPr>
          <w:ilvl w:val="0"/>
          <w:numId w:val="115"/>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107" w:lineRule="exact"/>
        <w:rPr>
          <w:rFonts w:ascii="Arial" w:cs="Arial" w:eastAsia="Arial" w:hAnsi="Arial"/>
          <w:sz w:val="18"/>
          <w:szCs w:val="18"/>
          <w:i w:val="1"/>
          <w:iCs w:val="1"/>
          <w:color w:val="auto"/>
        </w:rPr>
      </w:pPr>
    </w:p>
    <w:p>
      <w:pPr>
        <w:ind w:left="660" w:hanging="328"/>
        <w:spacing w:after="0"/>
        <w:tabs>
          <w:tab w:leader="none" w:pos="660" w:val="left"/>
        </w:tabs>
        <w:numPr>
          <w:ilvl w:val="0"/>
          <w:numId w:val="115"/>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8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Company’s financial instruments include cash equivalents, accounts receivable, accounts payable, and accrued expenses, for which the carrying amounts approximate fair value due to the short-term maturity of these financial instruments. Based on the borrowing rates currently available to the Company for debt with similar terms, the carrying value of the line of credit, term debt with its bank, and equipment loan approximate fair value as well.</w:t>
      </w:r>
    </w:p>
    <w:p>
      <w:pPr>
        <w:spacing w:after="0" w:line="15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Company had no financial instruments measured at fair value on a recurring basis as of June 29, 2019. Prior to the IPO, the stock warrant liability was measured at fair value using Level 3 inputs upon issuance and at each reporting date. Inputs used to determine the estimated fair value of the warrant liability as of the valuation date included expected term of the warrants, the risk-free interest rate, volatility, and the fair value of underlying shares.</w:t>
      </w:r>
    </w:p>
    <w:p>
      <w:pPr>
        <w:spacing w:after="0" w:line="15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based on the fair value hierarchy as of December 31, 2018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2018</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4660" w:type="dxa"/>
            <w:vAlign w:val="bottom"/>
          </w:tcPr>
          <w:p>
            <w:pPr>
              <w:spacing w:after="0"/>
              <w:rPr>
                <w:sz w:val="22"/>
                <w:szCs w:val="22"/>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8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Preferred stock warrant liability</w:t>
            </w:r>
          </w:p>
        </w:tc>
        <w:tc>
          <w:tcPr>
            <w:tcW w:w="1280" w:type="dxa"/>
            <w:vAlign w:val="bottom"/>
          </w:tcPr>
          <w:p>
            <w:pPr>
              <w:jc w:val="right"/>
              <w:ind w:right="105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1,441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warrant liability</w:t>
            </w:r>
          </w:p>
        </w:tc>
        <w:tc>
          <w:tcPr>
            <w:tcW w:w="12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ind w:right="105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1,918</w:t>
            </w:r>
          </w:p>
        </w:tc>
      </w:tr>
      <w:tr>
        <w:trPr>
          <w:trHeight w:val="20"/>
        </w:trPr>
        <w:tc>
          <w:tcPr>
            <w:tcW w:w="4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F-10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6"/>
                <w:szCs w:val="16"/>
                <w:b w:val="1"/>
                <w:bCs w:val="1"/>
                <w:color w:val="auto"/>
              </w:rPr>
              <w:t>For the Six Months Ended</w:t>
            </w:r>
          </w:p>
        </w:tc>
      </w:tr>
      <w:tr>
        <w:trPr>
          <w:trHeight w:val="216"/>
        </w:trPr>
        <w:tc>
          <w:tcPr>
            <w:tcW w:w="718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 2019</w:t>
            </w:r>
          </w:p>
        </w:tc>
        <w:tc>
          <w:tcPr>
            <w:tcW w:w="320" w:type="dxa"/>
            <w:vAlign w:val="bottom"/>
          </w:tcPr>
          <w:p>
            <w:pPr>
              <w:spacing w:after="0"/>
              <w:rPr>
                <w:sz w:val="18"/>
                <w:szCs w:val="18"/>
                <w:color w:val="auto"/>
              </w:rPr>
            </w:pPr>
          </w:p>
        </w:tc>
        <w:tc>
          <w:tcPr>
            <w:tcW w:w="174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7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r>
      <w:tr>
        <w:trPr>
          <w:trHeight w:val="263"/>
        </w:trPr>
        <w:tc>
          <w:tcPr>
            <w:tcW w:w="7180" w:type="dxa"/>
            <w:vAlign w:val="bottom"/>
            <w:gridSpan w:val="4"/>
          </w:tcPr>
          <w:p>
            <w:pPr>
              <w:ind w:left="40"/>
              <w:spacing w:after="0"/>
              <w:rPr>
                <w:sz w:val="20"/>
                <w:szCs w:val="20"/>
                <w:color w:val="auto"/>
              </w:rPr>
            </w:pPr>
            <w:r>
              <w:rPr>
                <w:rFonts w:ascii="Arial" w:cs="Arial" w:eastAsia="Arial" w:hAnsi="Arial"/>
                <w:sz w:val="18"/>
                <w:szCs w:val="18"/>
                <w:color w:val="auto"/>
              </w:rPr>
              <w:t>Fair value of warrants issued during the period</w:t>
            </w:r>
          </w:p>
        </w:tc>
        <w:tc>
          <w:tcPr>
            <w:tcW w:w="320" w:type="dxa"/>
            <w:vAlign w:val="bottom"/>
          </w:tcPr>
          <w:p>
            <w:pPr>
              <w:spacing w:after="0"/>
              <w:rPr>
                <w:sz w:val="22"/>
                <w:szCs w:val="22"/>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248</w:t>
            </w:r>
          </w:p>
        </w:tc>
      </w:tr>
      <w:tr>
        <w:trPr>
          <w:trHeight w:val="277"/>
        </w:trPr>
        <w:tc>
          <w:tcPr>
            <w:tcW w:w="7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29"/>
        </w:trPr>
        <w:tc>
          <w:tcPr>
            <w:tcW w:w="7180" w:type="dxa"/>
            <w:vAlign w:val="bottom"/>
            <w:gridSpan w:val="4"/>
          </w:tcPr>
          <w:p>
            <w:pPr>
              <w:ind w:left="40"/>
              <w:spacing w:after="0"/>
              <w:rPr>
                <w:sz w:val="20"/>
                <w:szCs w:val="20"/>
                <w:color w:val="auto"/>
              </w:rPr>
            </w:pPr>
            <w:r>
              <w:rPr>
                <w:rFonts w:ascii="Arial" w:cs="Arial" w:eastAsia="Arial" w:hAnsi="Arial"/>
                <w:sz w:val="18"/>
                <w:szCs w:val="18"/>
                <w:color w:val="auto"/>
              </w:rPr>
              <w:t>Reclassification of warrant liability to additional paid-in capital in connection with the</w:t>
            </w: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714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IPO</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Company remeasured and reclassified the common stock warrant liability to additional paid-in-capital in connection with the IPO. Subsequent to the closing of the IPO, all outstanding warrants to purchase shares of common stock were cashless exercised and no warrants were outstanding as of June 29, 2019.</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(“ASU 2014-09”), which, along with subsequent ASUs, amends the existing accounting standards for revenue recognition (“Topic 606”). This guidance is based on principles that govern the recognition of revenue at an amount an entity expects to be entitled to receive when products are transferred to customers. ASU 2014-09 was effective for the Company beginning January 1, 2019. The majority of the Company’s contracts with customers generally consist of a single performance obligation to transfer promised goods. Based on the Company’s evaluation process and review of its contracts with customers, the timing and amount of revenue recognized based on ASU 2014-09 is consistent with the Company’s revenue recognition policy under previous guidance. The Company has therefore concluded that the adoption of ASU 2014-09 did not have a material impact on its financial position, results of operations, or cash flows.</w:t>
      </w:r>
    </w:p>
    <w:p>
      <w:pPr>
        <w:spacing w:after="0" w:line="1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1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contracts as of June 29, 2019 contain a significant financing component.</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$1.1 million and $0.8 million as of June 29, 2019 and December 31, 2018, respectively. The offsetting charge is recorded as a reduction of revenues in the same period when the expense is incurred.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333"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revenues by platform and channel are included in the tables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6"/>
                <w:szCs w:val="16"/>
                <w:b w:val="1"/>
                <w:bCs w:val="1"/>
                <w:color w:val="auto"/>
              </w:rPr>
              <w:t>For the Six Months Ended</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29,</w:t>
            </w:r>
          </w:p>
        </w:tc>
        <w:tc>
          <w:tcPr>
            <w:tcW w:w="300" w:type="dxa"/>
            <w:vAlign w:val="bottom"/>
          </w:tcPr>
          <w:p>
            <w:pPr>
              <w:spacing w:after="0"/>
              <w:rPr>
                <w:sz w:val="17"/>
                <w:szCs w:val="17"/>
                <w:color w:val="auto"/>
              </w:rPr>
            </w:pPr>
          </w:p>
        </w:tc>
        <w:tc>
          <w:tcPr>
            <w:tcW w:w="1300" w:type="dxa"/>
            <w:vAlign w:val="bottom"/>
          </w:tcPr>
          <w:p>
            <w:pPr>
              <w:jc w:val="center"/>
              <w:ind w:right="213"/>
              <w:spacing w:after="0"/>
              <w:rPr>
                <w:sz w:val="20"/>
                <w:szCs w:val="20"/>
                <w:color w:val="auto"/>
              </w:rPr>
            </w:pPr>
            <w:r>
              <w:rPr>
                <w:rFonts w:ascii="Arial" w:cs="Arial" w:eastAsia="Arial" w:hAnsi="Arial"/>
                <w:sz w:val="16"/>
                <w:szCs w:val="16"/>
                <w:b w:val="1"/>
                <w:bCs w:val="1"/>
                <w:color w:val="auto"/>
                <w:w w:val="99"/>
              </w:rPr>
              <w:t>June 30,</w:t>
            </w:r>
          </w:p>
        </w:tc>
      </w:tr>
      <w:tr>
        <w:trPr>
          <w:trHeight w:val="180"/>
        </w:trPr>
        <w:tc>
          <w:tcPr>
            <w:tcW w:w="4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Gross Fresh Platform</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67,722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15,119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106,528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24,715</w:t>
            </w: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Frozen Platform</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9,254</w:t>
            </w:r>
          </w:p>
        </w:tc>
      </w:tr>
      <w:tr>
        <w:trPr>
          <w:trHeight w:val="264"/>
        </w:trPr>
        <w:tc>
          <w:tcPr>
            <w:tcW w:w="4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Discounts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67,251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107,457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30,143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6"/>
                <w:szCs w:val="16"/>
                <w:b w:val="1"/>
                <w:bCs w:val="1"/>
                <w:color w:val="auto"/>
              </w:rPr>
              <w:t>For the Six Months Ended</w:t>
            </w: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29,</w:t>
            </w:r>
          </w:p>
        </w:tc>
        <w:tc>
          <w:tcPr>
            <w:tcW w:w="300" w:type="dxa"/>
            <w:vAlign w:val="bottom"/>
          </w:tcPr>
          <w:p>
            <w:pPr>
              <w:spacing w:after="0"/>
              <w:rPr>
                <w:sz w:val="17"/>
                <w:szCs w:val="17"/>
                <w:color w:val="auto"/>
              </w:rPr>
            </w:pPr>
          </w:p>
        </w:tc>
        <w:tc>
          <w:tcPr>
            <w:tcW w:w="1300" w:type="dxa"/>
            <w:vAlign w:val="bottom"/>
          </w:tcPr>
          <w:p>
            <w:pPr>
              <w:jc w:val="center"/>
              <w:ind w:right="213"/>
              <w:spacing w:after="0"/>
              <w:rPr>
                <w:sz w:val="20"/>
                <w:szCs w:val="20"/>
                <w:color w:val="auto"/>
              </w:rPr>
            </w:pPr>
            <w:r>
              <w:rPr>
                <w:rFonts w:ascii="Arial" w:cs="Arial" w:eastAsia="Arial" w:hAnsi="Arial"/>
                <w:sz w:val="16"/>
                <w:szCs w:val="16"/>
                <w:b w:val="1"/>
                <w:bCs w:val="1"/>
                <w:color w:val="auto"/>
                <w:w w:val="99"/>
              </w:rPr>
              <w:t>June 30,</w:t>
            </w:r>
          </w:p>
        </w:tc>
      </w:tr>
      <w:tr>
        <w:trPr>
          <w:trHeight w:val="180"/>
        </w:trPr>
        <w:tc>
          <w:tcPr>
            <w:tcW w:w="4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4"/>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1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34,120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11,684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53,699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20,972</w:t>
            </w:r>
          </w:p>
        </w:tc>
      </w:tr>
      <w:tr>
        <w:trPr>
          <w:trHeight w:val="270"/>
        </w:trPr>
        <w:tc>
          <w:tcPr>
            <w:tcW w:w="40" w:type="dxa"/>
            <w:vAlign w:val="bottom"/>
            <w:shd w:val="clear" w:color="auto" w:fill="CCEEFF"/>
          </w:tcPr>
          <w:p>
            <w:pPr>
              <w:spacing w:after="0"/>
              <w:rPr>
                <w:sz w:val="23"/>
                <w:szCs w:val="23"/>
                <w:color w:val="auto"/>
              </w:rPr>
            </w:pP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Restaurant and Foodservice</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33,131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5,683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53,758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9,171</w:t>
            </w:r>
          </w:p>
        </w:tc>
      </w:tr>
      <w:tr>
        <w:trPr>
          <w:trHeight w:val="257"/>
        </w:trPr>
        <w:tc>
          <w:tcPr>
            <w:tcW w:w="40" w:type="dxa"/>
            <w:vAlign w:val="bottom"/>
          </w:tcPr>
          <w:p>
            <w:pPr>
              <w:spacing w:after="0"/>
              <w:rPr>
                <w:sz w:val="22"/>
                <w:szCs w:val="22"/>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67,251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17,367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107,457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30,143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Two distributors accounted for approximately 22% and 20%, respectively, of the Company’s gross revenues in the three months ended June 29, 2019; and three distributors accounted for approximately 39%, 15% and 15%, respectively, of the Company’s gross revenues in the three months ended June 30, 2018. Two distributors accounted for approximately 22% and 21%, respectively, of the Company’s gross revenues in the six months ended June 29, 2019; and three distributors accounted for approximately 37%, 15% and 13%, respectively, of the Company’s gross revenues in the six months ended June 30, 2018.</w:t>
      </w:r>
    </w:p>
    <w:p>
      <w:pPr>
        <w:spacing w:after="0" w:line="15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Approximately 12% of the Company’s net revenues in the three months ended June 29, 2019 was from international sales excluding sales in Canada as compared to approximately 3% in the three months ended June 30, 2018. Approximately 13% of the Company’s net revenues in the six months ended June 29, 2019 was from international sales excluding sales in Canada as compared to approximately 2% in the six months ended June 30, 2018. Net revenues from sales to the Canadian market are included with net revenues from sales to the United States market.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June 29, 2019 and June 30, 2018 were $2.6 million and $1.8 million, respectively, and in the six months ended June 29, 2019 and June 30, 2018 were $3.9 million and $2.8 million,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93"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Earnings (loss) per share (“EPS”) represents net income attributable to common stockholders divided by the weighted average number of common shares outstanding for the period. Diluted EPS represents net income attributable to common stockholders divided by the weighted-average number of common shares outstanding, inclusive of the dilutive impact of potential common shares outstanding during the period. Such potential common shares include options, restricted stock units (“RSUs”), warrants 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333"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convertible preferred stock. In periods when the Company records net loss, potential common shares are excluded in the computation of EPS because their inclusion would be anti-dilutive. See </w:t>
      </w:r>
      <w:r>
        <w:rPr>
          <w:rFonts w:ascii="Arial" w:cs="Arial" w:eastAsia="Arial" w:hAnsi="Arial"/>
          <w:sz w:val="18"/>
          <w:szCs w:val="18"/>
          <w:u w:val="single" w:color="auto"/>
          <w:color w:val="0000FF"/>
        </w:rPr>
        <w:t>Note 11</w:t>
      </w:r>
      <w:r>
        <w:rPr>
          <w:rFonts w:ascii="Arial" w:cs="Arial" w:eastAsia="Arial" w:hAnsi="Arial"/>
          <w:sz w:val="18"/>
          <w:szCs w:val="18"/>
          <w:color w:val="auto"/>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entered into a consulting agreement with Seth Goldman, the Company’s Executive Chair, on March 2, 2016, which was amended and restated on November 15, 2018 and further amended on April 8, 2019. Pursuant to the consulting agreement, the Company will pay Mr. Goldman $20,210.33 per month for services rendered under the consulting agreement and, on the date of each annual meeting of the Company’s stockholders after which Mr. Goldman’s non-employee service on the board of directors will continue, the Company has agreed to grant Mr. Goldman a restricted stock unit award under the 2018 Equity Incentive Plan (the “Plan”), having a grant date fair value of $105,000. Each restricted stock unit grant will vest based on continued service in equal monthly installments over the 12-month period following the grant date, provided it will vest in full immediately prior to, and contingent upon, a change in control of the company.</w:t>
      </w:r>
    </w:p>
    <w:p>
      <w:pPr>
        <w:spacing w:after="0" w:line="1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consulting agreement may be terminated by either party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provided the Company paid Food System Strategies, LLC for at least two days of services per month. In February 2016, the Company entered into a new advisor agreement with Food System Strategies, LLC, which superseded the original agreement and provided for a $25,000 monthly retainer and a non-qualified stock option covering 798,848 shares, which vested in equal monthly installments over three years in consideration of Dr. van Lengerich providing services as the Company’s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 The advisor agreement may be terminated at any time upon written notice to the other party.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the six months ended June 30, 2018, the Company incurred consulting costs payable to a company associated with Donald Thompson, a member of the Company’s Board of Directors, in the amount of $47,162. The Company did not incur any such consulting costs in the six months ended June 29, 2019.</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333" w:right="2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years beginning after December 15, 2020. Early adoption is permitted, but no earlier than the Company’s adoption date of Topic 606. The Company early adopted ASU 2018-07 beginning January 1, 2019 along with its adoption of ASU 2014-09. Pursuant to ASU 2018-07, the measurement of equity classified nonemployee awards will be fixed at the grant date, as compared to the previous requirement to remeasure the awards through the performance completion date.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5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(“ASU 2016-01”), which makes amendments to the guidance in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The Company expects to adopt and implement ASU 2016-01 for the year ending December 31, 2019 and for interim periods beginning January 1, 2020. The Company does not expect that adoption of ASU 2016-01 will have a material impact on the Company’s financial position, results of operations, or cash flows.</w:t>
      </w:r>
    </w:p>
    <w:p>
      <w:pPr>
        <w:spacing w:after="0" w:line="15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February 2016, the FASB issued ASU No. 2016-02, “Leases (Topic 842)”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the Company beginning January 1, 2020. Early application is permitted. The Company is currently evaluating the impact ASU 2016-02 will have on its financial statements and currently expects that most operating lease commitments will be subject to ASU 2016-02 and will be recognized as operating lease liabilities and right-of-use assets upon adoption. While the Company has not yet quantified the impact, adjustments resulting from the adoption of ASU 2016-02 will materially increase total assets and total liabilities relative to such amounts reported prior to adoption.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the three months ended June 29, 2019 and June 30, 2018, the Company recorded $0.8 million and $0.3 million, respectively, in restructuring expenses related to this dispute, which consisted primarily of legal and other expenses. In the six months ended June 29, 2019 and June 30, 2018, the Company recorded $1.2 million and $0.6 million, respectively, in restructuring expenses related to this dispute, which consisted primarily of legal and other expenses. See </w:t>
      </w:r>
      <w:r>
        <w:rPr>
          <w:rFonts w:ascii="Arial" w:cs="Arial" w:eastAsia="Arial" w:hAnsi="Arial"/>
          <w:sz w:val="18"/>
          <w:szCs w:val="18"/>
          <w:u w:val="single" w:color="auto"/>
          <w:color w:val="0000EE"/>
        </w:rPr>
        <w:t>Note 9</w:t>
      </w:r>
      <w:r>
        <w:rPr>
          <w:rFonts w:ascii="Arial" w:cs="Arial" w:eastAsia="Arial" w:hAnsi="Arial"/>
          <w:sz w:val="18"/>
          <w:szCs w:val="18"/>
          <w:color w:val="auto"/>
        </w:rPr>
        <w:t xml:space="preserve"> for further information. As of June 29, 2019 and December 31, 2018, there were no accrued unpaid liabilities associated with this contract termination.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333" w:right="27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inventory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w:t>
            </w:r>
          </w:p>
        </w:tc>
        <w:tc>
          <w:tcPr>
            <w:tcW w:w="180" w:type="dxa"/>
            <w:vAlign w:val="bottom"/>
          </w:tcPr>
          <w:p>
            <w:pPr>
              <w:spacing w:after="0"/>
              <w:rPr>
                <w:sz w:val="16"/>
                <w:szCs w:val="16"/>
                <w:color w:val="auto"/>
              </w:rPr>
            </w:pPr>
          </w:p>
        </w:tc>
        <w:tc>
          <w:tcPr>
            <w:tcW w:w="142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81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5"/>
                <w:szCs w:val="15"/>
                <w:color w:val="auto"/>
              </w:rPr>
            </w:pPr>
          </w:p>
        </w:tc>
        <w:tc>
          <w:tcPr>
            <w:tcW w:w="132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Raw materials and packaging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25,047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13,756</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2,517</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13,984</w:t>
            </w: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30,257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are stated at cost and capital lease assets are included. A summary of property, plant, and equipment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2019 and December 31, 2018,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29, 2019</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Manufacturing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29,783</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25,314</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equipment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7,337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7,080</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Vehicles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Assets not yet placed in service</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4,970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3,374</w:t>
            </w:r>
          </w:p>
        </w:tc>
      </w:tr>
      <w:tr>
        <w:trPr>
          <w:trHeight w:val="250"/>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51,103</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43,203</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16,630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12,676</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34,473</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30,527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Depreciation and amortization expense for the three months ended June 29, 2019 and June 30, 2018, was $2.1 million and $0.9 million, respectively. Of the total depreciation and amortization expense in the three months ended June 29, 2019 and June 30, 2018, $1.4 million and $0.7 million, respectively, were recorded in cost of goods sold and $0.6 million and $0.2 million, respectively, were recorded in research and development expenses, and $12,000 and $0, respectively, were recorded in SG&amp;A expenses, in the Company’s condensed statements of operations.</w:t>
      </w:r>
    </w:p>
    <w:p>
      <w:pPr>
        <w:spacing w:after="0" w:line="152"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Depreciation and amortization expense for the six months ended June 29, 2019 and June 30, 2018, was $4.0 million and $1.6 million, respectively. Of the total depreciation and amortization expense in the six months ended June 29, 2019 and June 30, 2018, $2.8 million and $1.3 million, respectively, were recorded in cost of goods sold and $1.1 million and $0.3 million, respectively, were recorded in research and development expenses, and $22,000 and $0, respectively, were recorded in SG&amp;A expenses, in the Company’s condensed statements of operations.</w:t>
      </w:r>
    </w:p>
    <w:p>
      <w:pPr>
        <w:spacing w:after="0" w:line="152"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The Company has $4.2 million and $1.0 million in property, plant and equipment concluded to meet the criteria for assets held for sale on the condensed balance sheets as of June 29, 2019 and December 31, 2018, respectively. The Company expects to sell such assets in 2019 for amounts that approximate book value.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333"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balances are detailed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29, 2019</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34"/>
        </w:trPr>
        <w:tc>
          <w:tcPr>
            <w:tcW w:w="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2018</w:t>
            </w: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7"/>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2018</w:t>
            </w:r>
          </w:p>
        </w:tc>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 (defined below)</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63"/>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Equipment financing loan</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0"/>
        </w:trPr>
        <w:tc>
          <w:tcPr>
            <w:tcW w:w="8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Total debt outstanding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30,467</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30,388</w:t>
            </w:r>
          </w:p>
        </w:tc>
      </w:tr>
      <w:tr>
        <w:trPr>
          <w:trHeight w:val="270"/>
        </w:trPr>
        <w:tc>
          <w:tcPr>
            <w:tcW w:w="8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24,467</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30,388</w:t>
            </w: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records debt issuance costs as a reduction of carrying value of the debt in the accompanying condensed balance sheets. Debt issuance costs, net of amortization, totaled $ 0.5 million and $ 0.6 million as of June 29, 2019 and December 31, 2018, respectively. Debt issuance costs are amortized as interest expense over the term of the loan for which amortization of $20,000 and $26,000 was recorded during the three months ended June 29, 2019 and June 30, 2018, respectively, and $78,000 and $35,000 was recorded during the six months ended June 29, 2019 and June 30, 2018,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In June 2018, the Company refinanced its then existing revolving credit facility and term loan facility under a loan and security agreement with Silicon Valley Bank (“SVB”) (the “Amended LSA”). The Amended LSA includes a $6.0 million revolving credit facility (the “2018 Revolving Credit Facility”) and a term loan facility (the “2018 Term Loan Facility”)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5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2018 Term Loan Facility and the 2018 Revolving Credit Facility (the “SVB Credit Facilities,”) contain customary negative covenants that limit the Company’s ability to, among other things, incur additional indebtedness, grant liens, make investments, repurchase stock, pay dividends, transfer assets and merge or consolidate. The SVB Credit Facilities are secured by a blanket lien on all of the Company’s personal property assets. The SVB Credit Facilities also contain customary affirmative covenants, including delivery of audited financial statements. The Company was in compliance with the covenants in the SVB Credit Facilities as of June 29, 2019.</w:t>
      </w:r>
    </w:p>
    <w:p>
      <w:pPr>
        <w:spacing w:after="0" w:line="15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As of June 29, 2019 and December 31, 2018, the Company had $6.0 million and $20.0 million in borrowings on the 2018 Revolving Credit Facility and 2018 Term Loan Facility, respectively, and had no availability to borrow under either of these loan facilities. In the three months ended June 29, 2019 and June 30, 2018, the Company incurred $0.5 million and $22,000, respectively, in interest expense related to the SVB credit facilities. In the six months ended June 29, 2019 and June 30, 2018, the Company incurred $ 1.1 million and $40,000, respectively, in interest expense related to the SVB credit facilities. The interest rates on the 2018 Revolving Credit Facility and the 2018 Term Loan Facility at June 29, 2019 were 6.25% and 9.50%,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333"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had $5.0 million in borrowings outstanding as of June 29, 2019 and December 31, 2018 under the equipment loan facility. The interest rate on the equipment loan facility at June 29, 2019 and December 31, 2018 was 11.75% and 11.5%, respectively. For the three months ended June 29, 2019 and June 30, 2018, the Company recorded $0.2 million and $0, respectively, in interest expense related to the equipment loan facility. For the six months ended June 29, 2019 and June 30, 2018, the Company recorded $0.3 million and $0, respectively, in interest expense related to the equipment loan facility. The Company was in compliance with the covenants contained in the equipment loan facility as of June 29, 2019.</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In connection with its financing arrangements, the Company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In connection with the Company’s refinancing of its credit facilities with SVB, the Company issued to SVB and its affiliates warrants to purchase an aggregate of 60,002 shares of its common stock at an exercise price of $3.00 per share. Upon the closing of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 and no warrants were outstanding as of June 29, 2019.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information on the warrant liabilities.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 (Deficit) and Convertible Preferred Stock</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Upon the closing of the IPO, all outstanding shares of the Company’s convertible preferred stock automatically converted into 41,562,111 shares of common stock on a one-for-one basis. On May 6, 2019, the Company filed an Amended and Restated Certificate of Incorporation authorizing the Company to issue 500,000,000 shares of common stock, $0.0001 par value per share, and 500,000 shares of undesignated preferred stock, $0.0001 par value per share, with rights and preferences determined by the Company’s Board of Directors at the time of issuance of such shares. As of June 29, 2019, the Company had 60,167,521 shares of common stock issued and outstanding.</w:t>
      </w:r>
    </w:p>
    <w:p>
      <w:pPr>
        <w:spacing w:after="0" w:line="152" w:lineRule="exact"/>
        <w:rPr>
          <w:sz w:val="20"/>
          <w:szCs w:val="20"/>
          <w:color w:val="auto"/>
        </w:rPr>
      </w:pPr>
    </w:p>
    <w:p>
      <w:pPr>
        <w:ind w:right="280" w:firstLine="324"/>
        <w:spacing w:after="0" w:line="252" w:lineRule="auto"/>
        <w:rPr>
          <w:sz w:val="20"/>
          <w:szCs w:val="20"/>
          <w:color w:val="auto"/>
        </w:rPr>
      </w:pPr>
      <w:r>
        <w:rPr>
          <w:rFonts w:ascii="Arial" w:cs="Arial" w:eastAsia="Arial" w:hAnsi="Arial"/>
          <w:sz w:val="18"/>
          <w:szCs w:val="18"/>
          <w:color w:val="auto"/>
        </w:rPr>
        <w:t>As of December 31, 2018, the Company’s shares consisted of 58,669,600 authorized shares of common stock, par value $0.0001 per share, of which 6,951,350 shares were issued and outstanding, and 43,882,867 authorized shares of preferred stock, par value $0.0001 per share, of which 3,333,500 shares of Series A Preferred Stock, 4,680,565 shares of Series B Preferred Stock, 8,076,636 shares of Series C Preferred Stock, 8,713,201 shares of Series D Preferred Stock, 4,701,449 shares of Series E Preferred Stock, 4,866,758 shares of Series F Preferred Stock, 5,114,786 shares of Series G Preferred Stock and 2,075,216 shares of Series H Preferred Stock were issued and outstanding.</w:t>
      </w:r>
    </w:p>
    <w:p>
      <w:pPr>
        <w:spacing w:after="0" w:line="15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93"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On April 11, 2011, the Company’s stockholders approved the 2011 Equity Incentive Plan (“2011 Plan”), and most recently amended the 2011 Plan on April 10, 2019. The 2011 Plan was amended, restated and re-named the 2018 Equity Incentive Plan (“2018 Plan”), which became effective as of April 30, 2019, the day prior to the effectiveness of the registration statement filed in connection with the IPO. The remaining shares available for issuance under the 2011 Plan were added to the shares reserved for issuance under the 2018 Plan.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333"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2018 Plan provides for the grant of stock options (including incentive stock options and non-qualified stock options), stock appreciation rights, restricted stock, RSUs, performance units, and performance shares to the Company’s employees, directors, and consultants. The maximum aggregate number of shares that may be issued under the 2018 Plan is 14,482,356 shares of the Company’s common stock. In addition, the number of shares reserved for issuance under the 2018 Plan will be increased automatically on the first day of each fiscal year beginning with the 2020 fiscal year, by a number equal to the least of: (i) 2,144,521 shares; (ii) 4.0% of the shares of common stock outstanding on the last day of the prior fiscal year; or (iii) such number of shares determined by the Company’s Board of Directors.</w:t>
      </w:r>
    </w:p>
    <w:p>
      <w:pPr>
        <w:spacing w:after="0" w:line="155"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2018 Plan may be amended, suspended or terminated by the Company’s Board of Directors at any time, provided such action does not impair the existing rights of any participant, subject to stockholder approval of any amendment to the 2018 Plan as required by applicable law or listing requirements. Unless sooner terminated by the Company’s Board of Directors, the 2018 Plan will automatically terminate on November 14, 2028.</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following grants were made pursuant to the 2018 Plan in the six months ended June 29, 2019: (i) options to purchase 264,033 shares of common stock were granted to certain employees on April 3, 2019, having an exercise price of $20.02 per share, (ii) options to purchase (A) 1,000,000 shares of common stock were granted to executive officers on April 18, 2019, (B) 48,999 shares of common stock were granted to certain employees on April 29, 2019, and (C) 50,000 shares of common stock were granted to certain executive officers on May 1, 2019, in each case to be effective upon and subject to the effectiveness of the registration statement relating to the Company’s IPO and having an exercise price equal to the IPO price of $25.00 per share, (iii) awards covering 99,433 shares of restricted stock were granted to nonemployees on April 18, 2019 at a purchase price of $0.01 per share to be issued upon payment of the purchase price, (iv) an option to purchase 125,000 shares of common stock was granted to an executive officer on June 10, 2019, having an exercise price of $168.10 per share, and (v) 70,360 RSUs with a grant date fair value of $168.10 were granted to certain employees on June 10, 2019.</w:t>
      </w:r>
    </w:p>
    <w:p>
      <w:pPr>
        <w:spacing w:after="0" w:line="159" w:lineRule="exact"/>
        <w:rPr>
          <w:sz w:val="20"/>
          <w:szCs w:val="20"/>
          <w:color w:val="auto"/>
        </w:rPr>
      </w:pPr>
    </w:p>
    <w:p>
      <w:pPr>
        <w:ind w:right="300" w:firstLine="324"/>
        <w:spacing w:after="0" w:line="278" w:lineRule="auto"/>
        <w:rPr>
          <w:sz w:val="20"/>
          <w:szCs w:val="20"/>
          <w:color w:val="auto"/>
        </w:rPr>
      </w:pPr>
      <w:r>
        <w:rPr>
          <w:rFonts w:ascii="Arial" w:cs="Arial" w:eastAsia="Arial" w:hAnsi="Arial"/>
          <w:sz w:val="17"/>
          <w:szCs w:val="17"/>
          <w:color w:val="auto"/>
        </w:rPr>
        <w:t>As of June 29, 2019 and December 31, 2018, there were 6,245,103 and 5,120,293 shares, respectively, issuable under stock options outstanding, 70,360 and 0 shares, respectively, issuable under RSUs outstanding, 4,705,766 and 4,335,331 shares, respectively, issued for stock option exercises and restricted stock grants, and 3,437,794 and 6,859 shares, respectively, available for grants under the 2018 Plan.</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Option grants in the six months ended June 29, 2019 vest 25% of the total award on the first anniversary of the vesting commencement date, and thereafter ratably vesting monthly over the remaining three-year period.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333" w:right="2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 option activity during the six months ended June 29,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6"/>
                <w:szCs w:val="16"/>
                <w:color w:val="auto"/>
              </w:rPr>
            </w:pPr>
          </w:p>
        </w:tc>
        <w:tc>
          <w:tcPr>
            <w:tcW w:w="1400" w:type="dxa"/>
            <w:vAlign w:val="bottom"/>
          </w:tcPr>
          <w:p>
            <w:pPr>
              <w:jc w:val="center"/>
              <w:ind w:right="133"/>
              <w:spacing w:after="0"/>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3"/>
              <w:spacing w:after="0" w:line="234" w:lineRule="exact"/>
              <w:rPr>
                <w:sz w:val="20"/>
                <w:szCs w:val="20"/>
                <w:color w:val="auto"/>
              </w:rPr>
            </w:pPr>
            <w:r>
              <w:rPr>
                <w:rFonts w:ascii="Arial" w:cs="Arial" w:eastAsia="Arial" w:hAnsi="Arial"/>
                <w:sz w:val="16"/>
                <w:szCs w:val="16"/>
                <w:b w:val="1"/>
                <w:bCs w:val="1"/>
                <w:color w:val="auto"/>
                <w:w w:val="96"/>
              </w:rPr>
              <w:t>thousands)</w:t>
            </w:r>
            <w:r>
              <w:rPr>
                <w:rFonts w:ascii="Arial" w:cs="Arial" w:eastAsia="Arial" w:hAnsi="Arial"/>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5,120,293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1,488,032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(68,887)</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29, 2019</w:t>
            </w:r>
          </w:p>
        </w:tc>
        <w:tc>
          <w:tcPr>
            <w:tcW w:w="15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6,245,103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935,616</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Vested and exercisable at June 29, 2019</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3,091,340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492,807</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Vested and expected to vest at June 29, 2019</w:t>
            </w:r>
          </w:p>
        </w:tc>
        <w:tc>
          <w:tcPr>
            <w:tcW w:w="15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4,419,185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686,118</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Arial" w:cs="Arial" w:eastAsia="Arial" w:hAnsi="Arial"/>
                <w:sz w:val="16"/>
                <w:szCs w:val="16"/>
                <w:color w:val="auto"/>
              </w:rPr>
              <w:t>___________________</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80" w:hanging="332"/>
        <w:spacing w:after="0" w:line="262"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Aggregate intrinsic value is calculated as the difference between the value of common stock on the transaction date and the exercise price multiplied by the number of shares issuable under the stock option.</w:t>
      </w:r>
    </w:p>
    <w:p>
      <w:pPr>
        <w:spacing w:after="0" w:line="14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During the three months ended June 29, 2019 and June 30, 2018, the Company recorded in aggregate $1.2 million and $0.5 million, respectively, of share-based compensation expense related to options issued to employees and nonemployees. During the six months ended June 29, 2019 and June 30, 2018, the Company recorded in aggregate $1.8 million and $0.7 million, respectively, of share-based compensation expense related to options issued to employees and nonemployees. The share-based compensation expense is included in cost of goods sold and SG&amp;A expenses in the Company’s condensed statements of operations.</w:t>
      </w:r>
    </w:p>
    <w:p>
      <w:pPr>
        <w:spacing w:after="0" w:line="152"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As of June 29, 2019 and December 31, 2018, there was $9.5 million and $2.4 million in unrecognized compensation expense related to nonvested stock option awards which is expected to be recognized over 3.5 years and 2.9 years, respectively.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RSU grants in the six months ended June 29, 2019 vest 25% of the total award on the first anniversary of the grant date, and thereafter ratably vesting quarterly over the remaining three years of the award.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RSU activity during the six months ended June 29,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55"/>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55"/>
              <w:spacing w:after="0"/>
              <w:rPr>
                <w:sz w:val="20"/>
                <w:szCs w:val="20"/>
                <w:color w:val="auto"/>
              </w:rPr>
            </w:pPr>
            <w:r>
              <w:rPr>
                <w:rFonts w:ascii="Arial" w:cs="Arial" w:eastAsia="Arial" w:hAnsi="Arial"/>
                <w:sz w:val="16"/>
                <w:szCs w:val="16"/>
                <w:b w:val="1"/>
                <w:bCs w:val="1"/>
                <w:color w:val="auto"/>
              </w:rPr>
              <w:t>Average</w:t>
            </w:r>
          </w:p>
        </w:tc>
      </w:tr>
      <w:tr>
        <w:trPr>
          <w:trHeight w:val="189"/>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75"/>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rPr>
              <w:t>Value Per Share</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January 1, 2019</w:t>
            </w: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Granted</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70,360</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168.10</w:t>
            </w: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June 29, 2019</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70,360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168.10</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During the three months ended June 29, 2019 and June 30, 2018, the Company recorded in aggregate $89,000 and $0, respectively, of share-based compensation expense related to RSUs granted to employees. During the six months ended June 29, 2019 and June 30, 2018, the Company recorded 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333"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aggregate $89,000 and $0, respectively, of share-based compensation expense related to RSUs granted to employees. The share-based compensation expense is included in cost of goods sold and SG&amp;A expenses in the Company’s condensed statements of operations.</w:t>
      </w:r>
    </w:p>
    <w:p>
      <w:pPr>
        <w:spacing w:after="0" w:line="12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As of June 29, 2019 and December 31, 2018, there was $2.9 million and $0 in unrecognized compensation expense related to nonvested RSUs which is expected to be recognized over 3.9 years.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April 2019, the Company’s Board of Directors approved the issuance of 99,433 shares of restricted stock with a fair value of $20.02 per share and a purchase price of $0.01 per share to nonemployees serving as the Company’s brand ambassadors. The Company has the right to repurchase the unvested shares upon a voluntary or involuntary termination of a brand ambassador’s service; however, as shares vest monthly over 24 months, they are being released from the repurchase option (and all such shares will be released from the repurchase option by May 18, 2021).</w:t>
      </w:r>
    </w:p>
    <w:p>
      <w:pPr>
        <w:spacing w:after="0" w:line="1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October 2018, the Company’s Board of Directors approved the issuance of 135,791 shares of restricted stock with a fair value of $17.03 per share and a purchase price of $0.02 per share to nonemployees serving as the Company’s brand ambassadors. The Company has the right to repurchase the unvested shares upon a voluntary or involuntary termination of a brand ambassador’s service; however, as shares vest monthly over 12 to 24 months, they are being released from the repurchase option (and all such shares will be released from the repurchase option by November 1, 2020).</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 during the six months ended June 29,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rPr>
              <w:t>Average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6"/>
                <w:szCs w:val="16"/>
                <w:color w:val="auto"/>
              </w:rPr>
            </w:pPr>
          </w:p>
        </w:tc>
        <w:tc>
          <w:tcPr>
            <w:tcW w:w="1340" w:type="dxa"/>
            <w:vAlign w:val="bottom"/>
          </w:tcPr>
          <w:p>
            <w:pPr>
              <w:jc w:val="center"/>
              <w:ind w:right="175"/>
              <w:spacing w:after="0"/>
              <w:rPr>
                <w:sz w:val="20"/>
                <w:szCs w:val="20"/>
                <w:color w:val="auto"/>
              </w:rPr>
            </w:pPr>
            <w:r>
              <w:rPr>
                <w:rFonts w:ascii="Arial" w:cs="Arial" w:eastAsia="Arial" w:hAnsi="Arial"/>
                <w:sz w:val="16"/>
                <w:szCs w:val="16"/>
                <w:b w:val="1"/>
                <w:bCs w:val="1"/>
                <w:color w:val="auto"/>
                <w:w w:val="99"/>
              </w:rPr>
              <w:t>Fair Value</w:t>
            </w:r>
          </w:p>
        </w:tc>
      </w:tr>
      <w:tr>
        <w:trPr>
          <w:trHeight w:val="228"/>
        </w:trPr>
        <w:tc>
          <w:tcPr>
            <w:tcW w:w="64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rPr>
              <w:t>Per Share</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December 31, 2018</w:t>
            </w: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100,127</w:t>
            </w:r>
          </w:p>
        </w:tc>
        <w:tc>
          <w:tcPr>
            <w:tcW w:w="1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17.03</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99,433</w:t>
            </w:r>
          </w:p>
        </w:tc>
        <w:tc>
          <w:tcPr>
            <w:tcW w:w="120" w:type="dxa"/>
            <w:vAlign w:val="bottom"/>
          </w:tcPr>
          <w:p>
            <w:pPr>
              <w:spacing w:after="0"/>
              <w:rPr>
                <w:sz w:val="22"/>
                <w:szCs w:val="22"/>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20.02</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Vested/Released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(35,667)</w:t>
            </w:r>
          </w:p>
        </w:tc>
        <w:tc>
          <w:tcPr>
            <w:tcW w:w="1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0"/>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Unvested at June 29, 2019</w:t>
            </w: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163,893</w:t>
            </w:r>
          </w:p>
        </w:tc>
        <w:tc>
          <w:tcPr>
            <w:tcW w:w="1700" w:type="dxa"/>
            <w:vAlign w:val="bottom"/>
            <w:gridSpan w:val="2"/>
          </w:tcPr>
          <w:p>
            <w:pPr>
              <w:jc w:val="center"/>
              <w:ind w:lef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19.46</w:t>
            </w:r>
          </w:p>
        </w:tc>
      </w:tr>
      <w:tr>
        <w:trPr>
          <w:trHeight w:val="20"/>
        </w:trPr>
        <w:tc>
          <w:tcPr>
            <w:tcW w:w="6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As of June 29, 2019, 140,560 shares of restricted stock had been purchased by nonemployee brand ambassadors which remained subject to vesting requirements and repurchase pursuant to restricted stock purchase agreements.</w:t>
      </w:r>
    </w:p>
    <w:p>
      <w:pPr>
        <w:spacing w:after="0" w:line="142"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During the three and six months ended June 29, 2019, the Company recorded in aggregate $0.5 million and $0.8 million, respectively, of share-based compensation expense related to restricted stock issued to nonemployee brand ambassadors, which is included in SG&amp;A expenses in the Company’s condensed statements of operations. During the three and six months ended June 30, 2018, the Company recorded no share-based compensation expense related to restricted stock issued to nonemployee brand ambassadors.</w:t>
      </w:r>
    </w:p>
    <w:p>
      <w:pPr>
        <w:spacing w:after="0" w:line="150"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As of June 29, 2019, there was $3.0 million in unrecognized compensation expense related to nonvested restricted stock, which is expected to be recognized over 1.8 years.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On November 15, 2018, the Company’s Board of Directors adopted its 2018 Employee Stock Purchase Plan (“2018 ESPP”), which was subsequently approved by the Company’s stockholders and became effective on April 30, 2019, the day immediately prior to the effectiveness of the registration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333"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 component for non-U.S. employees and certain non-U.S. service providers. The Company has reserved 804,195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 of the shares of common stock outstanding on the last day of the prior fiscal year; or (iii) such lesser number of shares determined by the Company’s Board of Directors.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Effective March 1, 2019, the Company entered into a lease for its principal executive offices in El Segundo, California, for an initial term of 5 years. The aggregate lease amount for the five-year term is $2.7 million. The future minimum lease payments required under noncancelable lease obligations related to this lease are $2.6 million due through 2023 (approximately $0.5 million annually) and $0.1 million thereafter.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2019, the Company had committed to purchase pea protein inventory totaling $28.4 million.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 xml:space="preserve">On May 25, 2017, a former co-manufacturer of the Company filed a complaint against the Company in the Superior Court of the State of California for the County of Los Angeles asserting claims for (1) breach of contract, (2) misappropriation of trade secrets, (3) unfair competition under California Business &amp; Professions Code Section 17200 Et. Seq., (4) money owed and due, (5) declaratory relief, and (6) injunctive relief, each arising out of the Company’s decision to terminate an exclusive agreement dated December 2, 2014 between the Company and the former co-manufacturer, pursuant to its terms (see </w:t>
      </w:r>
      <w:r>
        <w:rPr>
          <w:rFonts w:ascii="Arial" w:cs="Arial" w:eastAsia="Arial" w:hAnsi="Arial"/>
          <w:sz w:val="18"/>
          <w:szCs w:val="18"/>
          <w:u w:val="single" w:color="auto"/>
          <w:color w:val="0000EE"/>
        </w:rPr>
        <w:t>Note 3</w:t>
      </w:r>
      <w:r>
        <w:rPr>
          <w:rFonts w:ascii="Arial" w:cs="Arial" w:eastAsia="Arial" w:hAnsi="Arial"/>
          <w:sz w:val="18"/>
          <w:szCs w:val="18"/>
          <w:color w:val="auto"/>
        </w:rPr>
        <w:t>). The Company denies these claims, filed counter-claims on July 27, 2017, alleging</w:t>
      </w:r>
    </w:p>
    <w:p>
      <w:pPr>
        <w:spacing w:after="0" w:line="2" w:lineRule="exact"/>
        <w:rPr>
          <w:sz w:val="20"/>
          <w:szCs w:val="20"/>
          <w:color w:val="auto"/>
        </w:rPr>
      </w:pPr>
    </w:p>
    <w:p>
      <w:pPr>
        <w:ind w:right="60" w:firstLine="8"/>
        <w:spacing w:after="0" w:line="262" w:lineRule="auto"/>
        <w:tabs>
          <w:tab w:leader="none" w:pos="27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breach of contract, (2) unfair competition under California Business &amp; Professions Code Section 17200 Et. Seq., and (3) conversion, and is in the process of litigating this matter.</w:t>
      </w:r>
    </w:p>
    <w:p>
      <w:pPr>
        <w:spacing w:after="0" w:line="14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co-manufacturer filed an answer denying all of the former co-manufacturer’s claims, and a cross-complaint against Beyond Meat asserting claims of total and partial equitable indemnity, contribution, and repayment. On March 11, 2019, the former co-manufacturer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the former co-manufacturer’s claims. A trial date has been set for May 18, 2020. At this time the Company cannot reasonably estimate the potential liability associated with this litigation, but believes the final resolution of this litigation will not have a material adverse effect on its financial position, results of operations, or cash flows.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333" w:right="27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The Company is involved in various legal proceedings, claims, and litigation arising in the ordinary course of business. Based on the facts currently available, the Company does not believe that the disposition of matters that are pending or asserted will have a material effect on its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93" w:lineRule="exact"/>
        <w:rPr>
          <w:sz w:val="20"/>
          <w:szCs w:val="20"/>
          <w:color w:val="auto"/>
        </w:rPr>
      </w:pPr>
    </w:p>
    <w:p>
      <w:pPr>
        <w:ind w:right="820" w:firstLine="324"/>
        <w:spacing w:after="0" w:line="262" w:lineRule="auto"/>
        <w:rPr>
          <w:sz w:val="20"/>
          <w:szCs w:val="20"/>
          <w:color w:val="auto"/>
        </w:rPr>
      </w:pPr>
      <w:r>
        <w:rPr>
          <w:rFonts w:ascii="Arial" w:cs="Arial" w:eastAsia="Arial" w:hAnsi="Arial"/>
          <w:sz w:val="18"/>
          <w:szCs w:val="18"/>
          <w:color w:val="auto"/>
        </w:rPr>
        <w:t>For the six months ended June 29, 2019 and June 30, 2018, the Company recorded $21,000 and $0 in income tax expense in its condensed statements of operations.</w:t>
      </w:r>
    </w:p>
    <w:p>
      <w:pPr>
        <w:spacing w:after="0" w:line="14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52"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As of June 29, 2019, the Company does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Attributable to Common Stockholders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convertible preferred stock issued and outstanding prior to the IPO to be participating securities. Under the two-class method, the net loss attributable to common stockholders is not allocated to the convertible preferred stock as the holders of convertible preferred stock issued and outstanding prior to the IPO do not have a contractual obligation to share in losses.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diluted net loss per share attributable to common stockholders is computed by giving effect to all potential dilutive common stock equivalents outstanding for the period. For purposes of this calculation, options to purchase common stock, RSUs, common stock warrants and securities such as convertible preferred stock and convertible preferred stock warrants that were issued and outstanding before the Company’s IPO, are considered common stock equivalents but have been excluded from the calculation of diluted net loss per share attributable to common stockholders as their effect is antidilutive. Basic and diluted net loss per common share was the same for each period presented, as the inclusion of all potential common shares outstanding would have been antidilutive. At June 29, 2019 and June 30, 2018, 6,559,565 shares and 5,296,339 shares, respectively, were excluded from the dilution calculation because their inclusion would have been antidilutive.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333"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w:t>
            </w:r>
          </w:p>
        </w:tc>
        <w:tc>
          <w:tcPr>
            <w:tcW w:w="300" w:type="dxa"/>
            <w:vAlign w:val="bottom"/>
          </w:tcPr>
          <w:p>
            <w:pPr>
              <w:spacing w:after="0"/>
              <w:rPr>
                <w:sz w:val="17"/>
                <w:szCs w:val="17"/>
                <w:color w:val="auto"/>
              </w:rPr>
            </w:pPr>
          </w:p>
        </w:tc>
        <w:tc>
          <w:tcPr>
            <w:tcW w:w="130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w:t>
            </w:r>
          </w:p>
        </w:tc>
      </w:tr>
      <w:tr>
        <w:trPr>
          <w:trHeight w:val="180"/>
        </w:trPr>
        <w:tc>
          <w:tcPr>
            <w:tcW w:w="466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(in thousands, except share and per share amounts)</w:t>
            </w:r>
          </w:p>
        </w:tc>
        <w:tc>
          <w:tcPr>
            <w:tcW w:w="32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33"/>
              <w:spacing w:after="0" w:line="181" w:lineRule="exact"/>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020" w:type="dxa"/>
            <w:vAlign w:val="bottom"/>
            <w:tcBorders>
              <w:top w:val="single" w:sz="8" w:color="auto"/>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97"/>
        </w:trPr>
        <w:tc>
          <w:tcPr>
            <w:tcW w:w="46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(13,092)</w:t>
            </w:r>
          </w:p>
        </w:tc>
      </w:tr>
      <w:tr>
        <w:trPr>
          <w:trHeight w:val="251"/>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63"/>
        </w:trPr>
        <w:tc>
          <w:tcPr>
            <w:tcW w:w="46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2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39,081,359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6,072,319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23,206,203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5,933,806</w:t>
            </w:r>
          </w:p>
        </w:tc>
      </w:tr>
      <w:tr>
        <w:trPr>
          <w:trHeight w:val="235"/>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Dilutive effect of stock equivalents resulting from stock</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3"/>
        </w:trPr>
        <w:tc>
          <w:tcPr>
            <w:tcW w:w="4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RSUs, common stock warrants, preferred</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warrants and convertible preferred stock (as</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4"/>
        </w:trPr>
        <w:tc>
          <w:tcPr>
            <w:tcW w:w="4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converted)</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46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39,081,359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6,072,319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23,206,203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5,933,806</w:t>
            </w:r>
          </w:p>
        </w:tc>
      </w:tr>
      <w:tr>
        <w:trPr>
          <w:trHeight w:val="237"/>
        </w:trPr>
        <w:tc>
          <w:tcPr>
            <w:tcW w:w="4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660" w:firstLine="2661"/>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Beyond Meat, Inc.: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audited the accompanying balance sheets of Beyond Meat, Inc. (the "Company") as of December 31, 2018 and 2017, the related statements of operations, convertible preferred stock and stockholders’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333" w:right="239" w:bottom="1440" w:gutter="0" w:footer="0" w:header="0"/>
        </w:sectPr>
      </w:pPr>
    </w:p>
    <w:bookmarkStart w:id="190" w:name="page191"/>
    <w:bookmarkEnd w:id="190"/>
    <w:p>
      <w:pPr>
        <w:jc w:val="both"/>
        <w:spacing w:after="0" w:line="256" w:lineRule="auto"/>
        <w:rPr>
          <w:sz w:val="20"/>
          <w:szCs w:val="20"/>
          <w:color w:val="auto"/>
        </w:rPr>
      </w:pPr>
      <w:r>
        <w:rPr>
          <w:rFonts w:ascii="Arial" w:cs="Arial" w:eastAsia="Arial" w:hAnsi="Arial"/>
          <w:sz w:val="18"/>
          <w:szCs w:val="18"/>
          <w:color w:val="auto"/>
        </w:rPr>
        <w:t>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60"/>
          </w:cols>
          <w:pgMar w:left="240" w:top="382" w:right="39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97"/>
        </w:trPr>
        <w:tc>
          <w:tcPr>
            <w:tcW w:w="8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39,035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12,626</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8,144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30,257</w:t>
            </w:r>
          </w:p>
        </w:tc>
      </w:tr>
      <w:tr>
        <w:trPr>
          <w:trHeight w:val="264"/>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5,672</w:t>
            </w:r>
          </w:p>
        </w:tc>
      </w:tr>
      <w:tr>
        <w:trPr>
          <w:trHeight w:val="25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51,969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102,826</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980" w:type="dxa"/>
            <w:vAlign w:val="bottom"/>
          </w:tcPr>
          <w:p>
            <w:pPr>
              <w:spacing w:after="0"/>
              <w:rPr>
                <w:sz w:val="21"/>
                <w:szCs w:val="21"/>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14,118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30,527</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net</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80"/>
        </w:trPr>
        <w:tc>
          <w:tcPr>
            <w:tcW w:w="81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66,463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Convertible Preferred Stock and Stockholders’ Deficit:</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17,247</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Wages payable</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bonus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borrowings under revolving credit line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Current portion of bank term loan and other short-term debt</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capital lease liabilities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4"/>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Stock warrant liability</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1,918</w:t>
            </w:r>
          </w:p>
        </w:tc>
      </w:tr>
      <w:tr>
        <w:trPr>
          <w:trHeight w:val="257"/>
        </w:trPr>
        <w:tc>
          <w:tcPr>
            <w:tcW w:w="8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12,150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25,167</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Promissory note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Revolving credit line</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28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portion of bank term loan</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19,388</w:t>
            </w:r>
          </w:p>
        </w:tc>
      </w:tr>
      <w:tr>
        <w:trPr>
          <w:trHeight w:val="260"/>
        </w:trPr>
        <w:tc>
          <w:tcPr>
            <w:tcW w:w="8120" w:type="dxa"/>
            <w:vAlign w:val="bottom"/>
          </w:tcPr>
          <w:p>
            <w:pPr>
              <w:ind w:left="200"/>
              <w:spacing w:after="0"/>
              <w:rPr>
                <w:sz w:val="20"/>
                <w:szCs w:val="20"/>
                <w:color w:val="auto"/>
              </w:rPr>
            </w:pPr>
            <w:r>
              <w:rPr>
                <w:rFonts w:ascii="Arial" w:cs="Arial" w:eastAsia="Arial" w:hAnsi="Arial"/>
                <w:sz w:val="16"/>
                <w:szCs w:val="16"/>
                <w:color w:val="auto"/>
              </w:rPr>
              <w:t>Equipment loan</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273"/>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lease obligations and other long-term liabilities</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50"/>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long-term liabilities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9)</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360" w:right="2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97"/>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A convertible preferred stock, par value $0.0001 per share—3,333,500 shares authorized; 3,333,500</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B convertible preferred stock, par value $0.0001 per share—4,802,260 shares authorized; 4,680,565</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w:t>
            </w: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C convertible preferred stock, par value $0.0001 per share—8,076,643 shares authorized; 8,076,636</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14,882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14,882</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D convertible preferred stock, par value $0.0001 per share—8,713,207 shares authorized; 8,713,201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24,948</w:t>
            </w: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E convertible preferred stock, par value $0.0001 per share—4,740,531 shares authorized; 4,701,449</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2017 and 2018; proforma: no shares issued and</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outstanding as of December 31, 2018 (unaudited)</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17,214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17,214</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F convertible preferred stock, par value $0.0001 per share—4,866,776 shares authorized;4,866,758</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and outstanding as of December 31, 2017 and 2018, respectively; proforma: no shares issued</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outstanding 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29,840</w:t>
            </w:r>
          </w:p>
        </w:tc>
      </w:tr>
      <w:tr>
        <w:trPr>
          <w:trHeight w:val="218"/>
        </w:trPr>
        <w:tc>
          <w:tcPr>
            <w:tcW w:w="8120" w:type="dxa"/>
            <w:vAlign w:val="bottom"/>
          </w:tcPr>
          <w:p>
            <w:pPr>
              <w:ind w:left="40"/>
              <w:spacing w:after="0"/>
              <w:rPr>
                <w:sz w:val="20"/>
                <w:szCs w:val="20"/>
                <w:color w:val="auto"/>
              </w:rPr>
            </w:pPr>
            <w:r>
              <w:rPr>
                <w:rFonts w:ascii="Arial" w:cs="Arial" w:eastAsia="Arial" w:hAnsi="Arial"/>
                <w:sz w:val="16"/>
                <w:szCs w:val="16"/>
                <w:color w:val="auto"/>
              </w:rPr>
              <w:t>Series G convertible preferred stock, par value $0.0001 per share—5,140,257 shares authorized; 4,989,102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8120" w:type="dxa"/>
            <w:vAlign w:val="bottom"/>
          </w:tcPr>
          <w:p>
            <w:pPr>
              <w:ind w:left="200"/>
              <w:spacing w:after="0"/>
              <w:rPr>
                <w:sz w:val="20"/>
                <w:szCs w:val="20"/>
                <w:color w:val="auto"/>
              </w:rPr>
            </w:pPr>
            <w:r>
              <w:rPr>
                <w:rFonts w:ascii="Arial" w:cs="Arial" w:eastAsia="Arial" w:hAnsi="Arial"/>
                <w:sz w:val="16"/>
                <w:szCs w:val="16"/>
                <w:color w:val="auto"/>
              </w:rPr>
              <w:t>5,114,786 shares issued and outstanding as of December 31, 2017 and 2018, respectively; proforma: no</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4"/>
        </w:trPr>
        <w:tc>
          <w:tcPr>
            <w:tcW w:w="8120" w:type="dxa"/>
            <w:vAlign w:val="bottom"/>
          </w:tcPr>
          <w:p>
            <w:pPr>
              <w:ind w:left="200"/>
              <w:spacing w:after="0"/>
              <w:rPr>
                <w:sz w:val="20"/>
                <w:szCs w:val="20"/>
                <w:color w:val="auto"/>
              </w:rPr>
            </w:pPr>
            <w:r>
              <w:rPr>
                <w:rFonts w:ascii="Arial" w:cs="Arial" w:eastAsia="Arial" w:hAnsi="Arial"/>
                <w:sz w:val="16"/>
                <w:szCs w:val="16"/>
                <w:color w:val="auto"/>
              </w:rPr>
              <w:t>shares issued and outstanding as of December 31, 2018 (unaudited)</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54,311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55,658</w:t>
            </w: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H convertible preferred stock, par value $0.0001 per share—4,209,693 shares authorized; no shares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issued and outstanding, 2,075,216 shares issued and outstanding as of December 31, 2017 and 2018,</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respectively; proforma: no shares issued and outstanding as of December 31, 2018 (unaudited)</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par value $0.0001 per share—52,002,600 and 58,669,600 shares authorized at December 31,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2017 and 2018, respectively; 5,724,506 and 6,951,350 shares issued and outstanding at December 31, 2017</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2018, respectively; pro forma: 500,000,000 shares authorized; 48,635,155 shares issued and outstanding</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 of December 31, 2018 (unaudited)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7,921</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Loans to related parties for purchase of stock</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(99,786)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(129,672)</w:t>
            </w:r>
          </w:p>
        </w:tc>
      </w:tr>
      <w:tr>
        <w:trPr>
          <w:trHeight w:val="250"/>
        </w:trPr>
        <w:tc>
          <w:tcPr>
            <w:tcW w:w="8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stockholders’ (deficit)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(95,913)</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(121,750)</w:t>
            </w:r>
          </w:p>
        </w:tc>
      </w:tr>
      <w:tr>
        <w:trPr>
          <w:trHeight w:val="240"/>
        </w:trPr>
        <w:tc>
          <w:tcPr>
            <w:tcW w:w="8120" w:type="dxa"/>
            <w:vAlign w:val="bottom"/>
          </w:tcPr>
          <w:p>
            <w:pPr>
              <w:ind w:left="6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66,463</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554" w:right="239" w:bottom="1440" w:gutter="0" w:footer="0" w:header="0"/>
        </w:sectPr>
      </w:pPr>
    </w:p>
    <w:bookmarkStart w:id="193" w:name="page194"/>
    <w:bookmarkEnd w:id="193"/>
    <w:p>
      <w:pPr>
        <w:ind w:left="484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32,581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87,934</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22,494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70,360</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17,574</w:t>
            </w:r>
          </w:p>
        </w:tc>
      </w:tr>
      <w:tr>
        <w:trPr>
          <w:trHeight w:val="324"/>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9,587</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34,461</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r>
      <w:tr>
        <w:trPr>
          <w:trHeight w:val="250"/>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26,374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45,563</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r>
      <w:tr>
        <w:trPr>
          <w:trHeight w:val="324"/>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50"/>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r>
      <w:tr>
        <w:trPr>
          <w:trHeight w:val="324"/>
        </w:trPr>
        <w:tc>
          <w:tcPr>
            <w:tcW w:w="6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Loss before taxes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(29,885)</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r>
      <w:tr>
        <w:trPr>
          <w:trHeight w:val="23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4,566,757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6,287,172</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360" w:right="239" w:bottom="1440" w:gutter="0" w:footer="0" w:header="0"/>
        </w:sectPr>
      </w:pPr>
    </w:p>
    <w:bookmarkStart w:id="194" w:name="page195"/>
    <w:bookmarkEnd w:id="194"/>
    <w:p>
      <w:pPr>
        <w:ind w:left="484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thousands, except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2240" w:type="dxa"/>
            <w:vAlign w:val="bottom"/>
            <w:tcBorders>
              <w:right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22"/>
                <w:szCs w:val="22"/>
                <w:color w:val="auto"/>
              </w:rPr>
            </w:pPr>
          </w:p>
        </w:tc>
        <w:tc>
          <w:tcPr>
            <w:tcW w:w="20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60" w:type="dxa"/>
            <w:vAlign w:val="bottom"/>
          </w:tcPr>
          <w:p>
            <w:pPr>
              <w:spacing w:after="0"/>
              <w:rPr>
                <w:sz w:val="22"/>
                <w:szCs w:val="2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Loans to</w:t>
            </w:r>
          </w:p>
        </w:tc>
        <w:tc>
          <w:tcPr>
            <w:tcW w:w="160" w:type="dxa"/>
            <w:vAlign w:val="bottom"/>
          </w:tcPr>
          <w:p>
            <w:pPr>
              <w:spacing w:after="0"/>
              <w:rPr>
                <w:sz w:val="22"/>
                <w:szCs w:val="2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128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Related Parties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29,423,830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63,746</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4,484,451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(42,843)</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(25,149)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(25,149)</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793,854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Conversion of convertible notes upon</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issuance of Series F preferred stock</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(inclusive of $211 adjustment upon</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conversion)</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681,164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4,211</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w w:val="98"/>
              </w:rPr>
              <w:t>Issuance of Series E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340"/>
              <w:spacing w:after="0"/>
              <w:rPr>
                <w:sz w:val="20"/>
                <w:szCs w:val="20"/>
                <w:color w:val="auto"/>
              </w:rPr>
            </w:pPr>
            <w:r>
              <w:rPr>
                <w:rFonts w:ascii="Arial" w:cs="Arial" w:eastAsia="Arial" w:hAnsi="Arial"/>
                <w:sz w:val="13"/>
                <w:szCs w:val="13"/>
                <w:color w:val="auto"/>
              </w:rPr>
              <w:t>of issuance costs of $3</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81,521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Issuance of Series F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of issuance costs of $241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4,169,426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25,550</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34,355,941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93,804</w:t>
            </w:r>
          </w:p>
        </w:tc>
        <w:tc>
          <w:tcPr>
            <w:tcW w:w="14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5,278,305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3,779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(69,402)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(66,573)</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(30,384)</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446,201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rPr>
              <w:t>Conversion of convertible notes upon</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340"/>
              <w:spacing w:after="0" w:line="135" w:lineRule="exact"/>
              <w:rPr>
                <w:sz w:val="20"/>
                <w:szCs w:val="20"/>
                <w:color w:val="auto"/>
              </w:rPr>
            </w:pPr>
            <w:r>
              <w:rPr>
                <w:rFonts w:ascii="Arial" w:cs="Arial" w:eastAsia="Arial" w:hAnsi="Arial"/>
                <w:sz w:val="13"/>
                <w:szCs w:val="13"/>
                <w:color w:val="auto"/>
              </w:rPr>
              <w:t>issuance of Series G preferred stock</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340"/>
              <w:spacing w:after="0" w:line="135" w:lineRule="exact"/>
              <w:rPr>
                <w:sz w:val="20"/>
                <w:szCs w:val="20"/>
                <w:color w:val="auto"/>
              </w:rPr>
            </w:pPr>
            <w:r>
              <w:rPr>
                <w:rFonts w:ascii="Arial" w:cs="Arial" w:eastAsia="Arial" w:hAnsi="Arial"/>
                <w:sz w:val="13"/>
                <w:szCs w:val="13"/>
                <w:color w:val="auto"/>
              </w:rPr>
              <w:t>(inclusive of $1,123 adjustment upon</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340"/>
              <w:spacing w:after="0"/>
              <w:rPr>
                <w:sz w:val="20"/>
                <w:szCs w:val="20"/>
                <w:color w:val="auto"/>
              </w:rPr>
            </w:pPr>
            <w:r>
              <w:rPr>
                <w:rFonts w:ascii="Arial" w:cs="Arial" w:eastAsia="Arial" w:hAnsi="Arial"/>
                <w:sz w:val="13"/>
                <w:szCs w:val="13"/>
                <w:color w:val="auto"/>
              </w:rPr>
              <w:t>conversion)</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1,026,367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11,123</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Issuance of Series F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of issuance costs of $21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w w:val="98"/>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340"/>
              <w:spacing w:after="0"/>
              <w:rPr>
                <w:sz w:val="20"/>
                <w:szCs w:val="20"/>
                <w:color w:val="auto"/>
              </w:rPr>
            </w:pPr>
            <w:r>
              <w:rPr>
                <w:rFonts w:ascii="Arial" w:cs="Arial" w:eastAsia="Arial" w:hAnsi="Arial"/>
                <w:sz w:val="13"/>
                <w:szCs w:val="13"/>
                <w:color w:val="auto"/>
              </w:rPr>
              <w:t>of issuance costs of $267</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3,962,735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43,188</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39,361,211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148,194</w:t>
            </w:r>
          </w:p>
        </w:tc>
        <w:tc>
          <w:tcPr>
            <w:tcW w:w="140" w:type="dxa"/>
            <w:vAlign w:val="bottom"/>
            <w:tcBorders>
              <w:top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5,724,506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4,823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(95,913)</w:t>
            </w:r>
          </w:p>
        </w:tc>
        <w:tc>
          <w:tcPr>
            <w:tcW w:w="0" w:type="dxa"/>
            <w:vAlign w:val="bottom"/>
          </w:tcPr>
          <w:p>
            <w:pPr>
              <w:spacing w:after="0"/>
              <w:rPr>
                <w:sz w:val="1"/>
                <w:szCs w:val="1"/>
                <w:color w:val="auto"/>
              </w:rPr>
            </w:pPr>
          </w:p>
        </w:tc>
      </w:tr>
      <w:tr>
        <w:trPr>
          <w:trHeight w:val="249"/>
        </w:trPr>
        <w:tc>
          <w:tcPr>
            <w:tcW w:w="25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(29,886)</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1,139,962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2,241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2,241</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(48,909)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Grant of restricted stock</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135,791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Payoff of promissory note receivable for</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restricted stock purchase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rPr>
                <w:sz w:val="20"/>
                <w:szCs w:val="20"/>
                <w:color w:val="auto"/>
              </w:rPr>
            </w:pPr>
            <w:r>
              <w:rPr>
                <w:rFonts w:ascii="Arial" w:cs="Arial" w:eastAsia="Arial" w:hAnsi="Arial"/>
                <w:sz w:val="13"/>
                <w:szCs w:val="13"/>
                <w:color w:val="auto"/>
                <w:w w:val="98"/>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340"/>
              <w:spacing w:after="0"/>
              <w:rPr>
                <w:sz w:val="20"/>
                <w:szCs w:val="20"/>
                <w:color w:val="auto"/>
              </w:rPr>
            </w:pPr>
            <w:r>
              <w:rPr>
                <w:rFonts w:ascii="Arial" w:cs="Arial" w:eastAsia="Arial" w:hAnsi="Arial"/>
                <w:sz w:val="13"/>
                <w:szCs w:val="13"/>
                <w:color w:val="auto"/>
              </w:rPr>
              <w:t>of issuance costs of $27</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125,684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1,347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Issuance of Series H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 issuance costs of $284</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2,075,216</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49,999</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5"/>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199,540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6,951,350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7,921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(129,672)</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360"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7"/>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(25,149)</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(30,384)</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(29,886)</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4,921</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expenses related to convertible note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2,241</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fixed assets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preferred and common stock warrant liabilities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Restructuring loss on write-off of fixed assets</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Net change in operating assets and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Accounts receivables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(9,045)</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(22,113)</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10,455</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3,798</w:t>
            </w:r>
          </w:p>
        </w:tc>
      </w:tr>
      <w:tr>
        <w:trPr>
          <w:trHeight w:val="273"/>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50"/>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(37,721)</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used in investing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(7,908)</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(22,228)</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fixed assets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 held for sale</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(1,022)</w:t>
            </w:r>
          </w:p>
        </w:tc>
      </w:tr>
      <w:tr>
        <w:trPr>
          <w:trHeight w:val="273"/>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of security deposits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50"/>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(23,242)</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Proceeds from Series H preferred stock offering, net of offering costs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49,999</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Series G preferred stock offering, net of offering costs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r>
      <w:tr>
        <w:trPr>
          <w:trHeight w:val="251"/>
        </w:trPr>
        <w:tc>
          <w:tcPr>
            <w:tcW w:w="6400" w:type="dxa"/>
            <w:vAlign w:val="bottom"/>
          </w:tcPr>
          <w:p>
            <w:pPr>
              <w:ind w:left="200"/>
              <w:spacing w:after="0"/>
              <w:rPr>
                <w:sz w:val="20"/>
                <w:szCs w:val="20"/>
                <w:color w:val="auto"/>
              </w:rPr>
            </w:pPr>
            <w:r>
              <w:rPr>
                <w:rFonts w:ascii="Arial" w:cs="Arial" w:eastAsia="Arial" w:hAnsi="Arial"/>
                <w:sz w:val="16"/>
                <w:szCs w:val="16"/>
                <w:color w:val="auto"/>
              </w:rPr>
              <w:t>Proceeds from Series F preferred stock offering, net of offering costs</w:t>
            </w:r>
          </w:p>
        </w:tc>
        <w:tc>
          <w:tcPr>
            <w:tcW w:w="3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360"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6"/>
                <w:szCs w:val="16"/>
                <w:b w:val="1"/>
                <w:bCs w:val="1"/>
                <w:color w:val="auto"/>
                <w:w w:val="99"/>
              </w:rPr>
              <w:t>Year Ended December 31,</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Series E preferred stock offering, net of offering costs</w:t>
            </w: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convertible note issuance</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payoff of notes receivable for restricted stock purchase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revolving credit line</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bank term loan borrowing</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equipment loan borrowing</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on revolving credit line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Repayment on term loan</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 of Missouri Note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Payments of capital lease obligations</w:t>
            </w:r>
          </w:p>
        </w:tc>
        <w:tc>
          <w:tcPr>
            <w:tcW w:w="1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restricted stock</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deferred offering costs</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Debt issuance costs</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73"/>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for repurchase of common stock</w:t>
            </w:r>
          </w:p>
        </w:tc>
        <w:tc>
          <w:tcPr>
            <w:tcW w:w="1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financing activities</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31,914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55,425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76,199</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3,381</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22,037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15,236</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at the beginning of the period</w:t>
            </w: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16,998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39,035</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the end of the period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16,998</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during the period for:</w:t>
            </w: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Interest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Non-cash investing and financing activities:</w:t>
            </w: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lease obligations for the purchase of property, plant and equipment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Issuance of convertible preferred stock warrants in connection with debt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common stock warrants in connection with debt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Non-cash additions to property, plant and equipment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offering costs, accrued not yet paid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527"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benefits of eating the Company’s plant-based meat products. The Company’s brand commitment, “Eat What You Love,” represents a strong belief that by eating the Company’s plant-based meats, consumers can enjoy more, not less, of their favorite meals, and by doing so, help address concerns related to human health, climate change, resource conservation and animal welfare.</w:t>
      </w:r>
    </w:p>
    <w:p>
      <w:pPr>
        <w:spacing w:after="0" w:line="155"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located in El Segundo, California. In addition to its own production facilities, the Company uses co-manufacturers in various locations in the United States to manufacture its products.</w:t>
      </w:r>
    </w:p>
    <w:p>
      <w:pPr>
        <w:spacing w:after="0" w:line="14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through brokers and distributors. All of the Company’s long-lived assets are located in the United States.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7, 2018, the Company changed its name from Savage River, Inc. to Beyond Meat,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financial statements have been prepared by the Company in accordance with accounting principles generally accepted in the United States of America or US GAAP.</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Company has one operating segment and one reportable segment, as the Company’s chief operating decision maker, who is the Company’s Chief Executive Officer, reviews financial information on an aggregate basis for purposes of allocating resources and evaluating financial performance.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Actual results could differ from those estimates and such differences may be material to the financial statements. Significant accounting estimates made by the Company include trade promotion accruals; useful lives of property, plant and equipment; valuation of deferred taxes; valuation of inventory; and the valuation of the fair value of common stock and preferred stock used to determine stock compensation expense and in the remeasurement of warrants and liabilities.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360"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financial statements and related notes to the number of shares of common stock, convertible preferred stock, warrants and options to purchase common stock and per share data have been revised on a retroactive basis for all periods presented to reflect the effect of the reverse stock split.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maintains cash balances at one financial institution in the United States. The cash balances may, at times, exceed federally insured limits. Accounts are guaranteed by the Federal Deposit Insurance Corporation or FDIC up to $ 250,000. The Company considers all highly liquid investments with original maturity dates of 90 days or less to be cash equivalents. Prior to 2018, the Company did not hold any cash equivalents.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records accounts receivable at net realizable value. This value includes an appropriate allowance for estimated uncollectible accounts to reflect any anticipated losses on the accounts receivable balances and recorded in allowance for doubtful accounts. Allowance for doubtful accounts is calculated based on the Company’s history of write-offs, level of past due accounts, and relationships with and economic status of the Company’s distributors or customers. The Company had no allowance for doubtful accounts as of December 31, 2017 or 2018.</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demand, and the age of the inventory, among other factors.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Property, plant and equipment are carried at cost less accumulated depreciation and are depreciated using the straight-line method over the following estimated useful lives: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Shorter of lease term or estimated useful life</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7100" w:type="dxa"/>
            <w:vAlign w:val="bottom"/>
          </w:tcPr>
          <w:p>
            <w:pPr>
              <w:ind w:left="1200"/>
              <w:spacing w:after="0"/>
              <w:rPr>
                <w:sz w:val="20"/>
                <w:szCs w:val="20"/>
                <w:color w:val="auto"/>
              </w:rPr>
            </w:pPr>
            <w:r>
              <w:rPr>
                <w:rFonts w:ascii="Arial" w:cs="Arial" w:eastAsia="Arial" w:hAnsi="Arial"/>
                <w:sz w:val="18"/>
                <w:szCs w:val="18"/>
                <w:color w:val="auto"/>
              </w:rPr>
              <w:t>3 years</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5 to 10 years</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Research and development equipment</w:t>
            </w:r>
          </w:p>
        </w:tc>
        <w:tc>
          <w:tcPr>
            <w:tcW w:w="7100" w:type="dxa"/>
            <w:vAlign w:val="bottom"/>
          </w:tcPr>
          <w:p>
            <w:pPr>
              <w:ind w:left="1200"/>
              <w:spacing w:after="0"/>
              <w:rPr>
                <w:sz w:val="20"/>
                <w:szCs w:val="20"/>
                <w:color w:val="auto"/>
              </w:rPr>
            </w:pPr>
            <w:r>
              <w:rPr>
                <w:rFonts w:ascii="Arial" w:cs="Arial" w:eastAsia="Arial" w:hAnsi="Arial"/>
                <w:sz w:val="18"/>
                <w:szCs w:val="18"/>
                <w:color w:val="auto"/>
              </w:rPr>
              <w:t>5 to 10 years</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3 years</w:t>
            </w: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Vehicles</w:t>
            </w:r>
          </w:p>
        </w:tc>
        <w:tc>
          <w:tcPr>
            <w:tcW w:w="7100" w:type="dxa"/>
            <w:vAlign w:val="bottom"/>
          </w:tcPr>
          <w:p>
            <w:pPr>
              <w:ind w:left="1200"/>
              <w:spacing w:after="0"/>
              <w:rPr>
                <w:sz w:val="20"/>
                <w:szCs w:val="20"/>
                <w:color w:val="auto"/>
              </w:rPr>
            </w:pPr>
            <w:r>
              <w:rPr>
                <w:rFonts w:ascii="Arial" w:cs="Arial" w:eastAsia="Arial" w:hAnsi="Arial"/>
                <w:sz w:val="18"/>
                <w:szCs w:val="18"/>
                <w:color w:val="auto"/>
              </w:rPr>
              <w:t>5 years</w:t>
            </w:r>
          </w:p>
        </w:tc>
      </w:tr>
    </w:tbl>
    <w:p>
      <w:pPr>
        <w:spacing w:after="0" w:line="175"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Leasehold improvements are depreciated on a straight-line basis over the lesser of the estimated useful life of the asset or the remaining lease term. When assets are sold or retired, the asset and related accumulated depreciation are removed from the respective account balances and any gain or loss 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333"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80"/>
        <w:spacing w:after="0" w:line="262" w:lineRule="auto"/>
        <w:rPr>
          <w:rFonts w:ascii="Arial" w:cs="Arial" w:eastAsia="Arial" w:hAnsi="Arial"/>
          <w:sz w:val="18"/>
          <w:szCs w:val="18"/>
          <w:color w:val="0000EE"/>
        </w:rPr>
      </w:pPr>
      <w:r>
        <w:rPr>
          <w:rFonts w:ascii="Arial" w:cs="Arial" w:eastAsia="Arial" w:hAnsi="Arial"/>
          <w:sz w:val="18"/>
          <w:szCs w:val="18"/>
          <w:color w:val="auto"/>
        </w:rPr>
        <w:t xml:space="preserve">disposal is included in loss from operations. Expenditures for repairs and maintenance are charged directly to expense when incurred. See </w:t>
      </w:r>
      <w:hyperlink w:anchor="page209">
        <w:r>
          <w:rPr>
            <w:rFonts w:ascii="Arial" w:cs="Arial" w:eastAsia="Arial" w:hAnsi="Arial"/>
            <w:sz w:val="18"/>
            <w:szCs w:val="18"/>
            <w:u w:val="single" w:color="auto"/>
            <w:color w:val="0000EE"/>
          </w:rPr>
          <w:t>Note 5</w:t>
        </w:r>
      </w:hyperlink>
      <w:r>
        <w:rPr>
          <w:rFonts w:ascii="Arial" w:cs="Arial" w:eastAsia="Arial" w:hAnsi="Arial"/>
          <w:sz w:val="18"/>
          <w:szCs w:val="18"/>
          <w:color w:val="000000"/>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right="20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Long-lived assets, including property and equipment, are reviewed by management for impairment whenever events or changes in circumstances indicate that the carrying amount of the asset may not be fully recoverable. When events or circumstances indicate that impairment may be present, management evaluates the probability that future undiscounted net cash flows received will be less than the carrying amount of the asset. If projected future undiscounted cash flows are less than the carrying value of an asset, then such assets are written down to their fair values. Other than the write off of certain property, plant and equipment in connection with the restructuring efforts disclosed in </w:t>
      </w:r>
      <w:hyperlink w:anchor="page207">
        <w:r>
          <w:rPr>
            <w:rFonts w:ascii="Arial" w:cs="Arial" w:eastAsia="Arial" w:hAnsi="Arial"/>
            <w:sz w:val="18"/>
            <w:szCs w:val="18"/>
            <w:u w:val="single" w:color="auto"/>
            <w:color w:val="0000EE"/>
          </w:rPr>
          <w:t>Note 3</w:t>
        </w:r>
      </w:hyperlink>
      <w:r>
        <w:rPr>
          <w:rFonts w:ascii="Arial" w:cs="Arial" w:eastAsia="Arial" w:hAnsi="Arial"/>
          <w:sz w:val="18"/>
          <w:szCs w:val="18"/>
          <w:color w:val="auto"/>
        </w:rPr>
        <w:t>, the Company concluded that no long-lived assets were impaired during the fiscal years ended December 31, 2016, 2017 and 2018.</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Deferred offering costs, consisting primarily of legal, accounting, printing and filing services, and other direct fees and costs related to the proposed initial public offering, are capitalized. The deferred offering costs will be offset against proceeds from the planned initial public offering upon the closing of the offering. In the event the planned offering is terminated, all deferred offering costs will be expensed. As of December 31, 2018, $3.2 million of deferred offering costs have been recorded in prepaid expenses and other current assets. There were no deferred offering costs prior to 2018.</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accounts for freestanding warrants to purchase shares of its convertible preferred stock or common stock as a liability, as the underlying shares of convertible preferred stock and common stock are contingently redeemable and, therefore, may obligate the Company to transfer assets at some point in the future. The warrants were recorded at fair value upon issuance and are subject to remeasurement at each balance sheet date. Any change in fair value is recognized in the statements of operations in other expense. The Company will continue to adjust the warrant liability for changes in fair value until the earlier of the exercise of the warrants, the completion of a deemed liquidation event, or the conversion of convertible preferred stock into common stock.</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is subject to federal and state income taxes. The Company uses the asset and liability method of accounting for income taxes as set forth in the authoritative guidance for accounting for income taxes. Under this method, the Company recognizes deferred tax assets and liabilities for the expected future tax consequences of temporary differences between the respective carrying amounts and tax basis of assets and liabilities. A valuation allowance is established against the portion of deferred tax assets that the Company believes will not be realized on a more likely than not basis.</w:t>
      </w:r>
    </w:p>
    <w:p>
      <w:pPr>
        <w:spacing w:after="0" w:line="152" w:lineRule="exact"/>
        <w:rPr>
          <w:sz w:val="20"/>
          <w:szCs w:val="20"/>
          <w:color w:val="auto"/>
        </w:rPr>
      </w:pPr>
    </w:p>
    <w:p>
      <w:pPr>
        <w:ind w:right="4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With respect to uncertain tax positions, the Company recognizes in its financial statements those tax positions determined to be more likely than not of being sustained upon examination, based on the technical merits of the positions. The Company’s policy is to recognize, when applicable, interest and penalties on uncertain tax positions as part of income tax expense. See </w:t>
      </w:r>
      <w:hyperlink w:anchor="page221">
        <w:r>
          <w:rPr>
            <w:rFonts w:ascii="Arial" w:cs="Arial" w:eastAsia="Arial" w:hAnsi="Arial"/>
            <w:sz w:val="18"/>
            <w:szCs w:val="18"/>
            <w:u w:val="single" w:color="auto"/>
            <w:color w:val="0000EE"/>
          </w:rPr>
          <w:t>Note 10</w:t>
        </w:r>
      </w:hyperlink>
      <w:r>
        <w:rPr>
          <w:rFonts w:ascii="Arial" w:cs="Arial" w:eastAsia="Arial" w:hAnsi="Arial"/>
          <w:sz w:val="18"/>
          <w:szCs w:val="18"/>
          <w:color w:val="auto"/>
        </w:rPr>
        <w: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333"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53" w:lineRule="exact"/>
        <w:rPr>
          <w:sz w:val="20"/>
          <w:szCs w:val="20"/>
          <w:color w:val="auto"/>
        </w:rPr>
      </w:pPr>
    </w:p>
    <w:p>
      <w:pPr>
        <w:jc w:val="both"/>
        <w:ind w:left="660" w:right="120" w:hanging="328"/>
        <w:spacing w:after="0" w:line="266" w:lineRule="auto"/>
        <w:tabs>
          <w:tab w:leader="none" w:pos="66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22" w:lineRule="exact"/>
        <w:rPr>
          <w:rFonts w:ascii="Arial" w:cs="Arial" w:eastAsia="Arial" w:hAnsi="Arial"/>
          <w:sz w:val="18"/>
          <w:szCs w:val="18"/>
          <w:i w:val="1"/>
          <w:iCs w:val="1"/>
          <w:color w:val="auto"/>
        </w:rPr>
      </w:pPr>
    </w:p>
    <w:p>
      <w:pPr>
        <w:ind w:left="660" w:right="220" w:hanging="328"/>
        <w:spacing w:after="0" w:line="282" w:lineRule="auto"/>
        <w:tabs>
          <w:tab w:leader="none" w:pos="66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107" w:lineRule="exact"/>
        <w:rPr>
          <w:rFonts w:ascii="Arial" w:cs="Arial" w:eastAsia="Arial" w:hAnsi="Arial"/>
          <w:sz w:val="18"/>
          <w:szCs w:val="18"/>
          <w:i w:val="1"/>
          <w:iCs w:val="1"/>
          <w:color w:val="auto"/>
        </w:rPr>
      </w:pPr>
    </w:p>
    <w:p>
      <w:pPr>
        <w:ind w:left="660" w:hanging="328"/>
        <w:spacing w:after="0"/>
        <w:tabs>
          <w:tab w:leader="none" w:pos="66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Company’s financial instruments include cash equivalents, accounts receivable, accounts payable, accrued expenses, and short-term debt for which the carrying amounts approximate fair value due to the short-term maturity of these financial instruments. Based on the borrowing rates currently available to the Company for debt with similar terms, the carrying value of the line of credit and term debt with its bank approximate fair value as well. The fair value of long-term promissory note debt at December 31, 2017 was $1.48 million, as determined using the estimated net present value of expected future cash flows reflecting the Company’s own assumptions (Level 3). The long-term promissory note debt was paid off as of December 31, 2018.</w:t>
      </w:r>
    </w:p>
    <w:p>
      <w:pPr>
        <w:spacing w:after="0" w:line="155"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The following table sets forth our financial instruments that were measured at fair value on a recurring basis based on the fair value hierarchy:</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46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Preferred stock warrant liability</w:t>
            </w:r>
          </w:p>
        </w:tc>
        <w:tc>
          <w:tcPr>
            <w:tcW w:w="120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r>
      <w:tr>
        <w:trPr>
          <w:trHeight w:val="20"/>
        </w:trPr>
        <w:tc>
          <w:tcPr>
            <w:tcW w:w="4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46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Preferred stock warrant liability</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1,441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warrant liability</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1,918</w:t>
            </w:r>
          </w:p>
        </w:tc>
      </w:tr>
      <w:tr>
        <w:trPr>
          <w:trHeight w:val="20"/>
        </w:trPr>
        <w:tc>
          <w:tcPr>
            <w:tcW w:w="4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40" w:firstLine="324"/>
        <w:spacing w:after="0" w:line="262" w:lineRule="auto"/>
        <w:rPr>
          <w:sz w:val="20"/>
          <w:szCs w:val="20"/>
          <w:color w:val="auto"/>
        </w:rPr>
      </w:pPr>
      <w:r>
        <w:rPr>
          <w:rFonts w:ascii="Arial" w:cs="Arial" w:eastAsia="Arial" w:hAnsi="Arial"/>
          <w:sz w:val="18"/>
          <w:szCs w:val="18"/>
          <w:color w:val="auto"/>
        </w:rPr>
        <w:t>There were no transfers of financial assets or liabilities into or out of Level 1, Level 2 or Level 3 for 2017 and 2018. The key assumptions used in the Black-Scholes option-pricing model for the valuation of the preferred stock warrant liability upon remeasurement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rPr>
              <w:t>For the Year Ended December 31,</w:t>
            </w:r>
          </w:p>
        </w:tc>
        <w:tc>
          <w:tcPr>
            <w:tcW w:w="1160" w:type="dxa"/>
            <w:vAlign w:val="bottom"/>
            <w:tcBorders>
              <w:bottom w:val="single" w:sz="8" w:color="auto"/>
            </w:tcBorders>
          </w:tcPr>
          <w:p>
            <w:pPr>
              <w:spacing w:after="0"/>
              <w:rPr>
                <w:sz w:val="19"/>
                <w:szCs w:val="19"/>
                <w:color w:val="auto"/>
              </w:rPr>
            </w:pPr>
          </w:p>
        </w:tc>
      </w:tr>
      <w:tr>
        <w:trPr>
          <w:trHeight w:val="264"/>
        </w:trPr>
        <w:tc>
          <w:tcPr>
            <w:tcW w:w="4020" w:type="dxa"/>
            <w:vAlign w:val="bottom"/>
          </w:tcPr>
          <w:p>
            <w:pPr>
              <w:spacing w:after="0"/>
              <w:rPr>
                <w:sz w:val="22"/>
                <w:szCs w:val="22"/>
                <w:color w:val="auto"/>
              </w:rPr>
            </w:pPr>
          </w:p>
        </w:tc>
        <w:tc>
          <w:tcPr>
            <w:tcW w:w="3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257"/>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2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Fair value of underlying shares</w:t>
            </w:r>
          </w:p>
        </w:tc>
        <w:tc>
          <w:tcPr>
            <w:tcW w:w="32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19.02</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2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621"/>
        </w:trPr>
        <w:tc>
          <w:tcPr>
            <w:tcW w:w="4020" w:type="dxa"/>
            <w:vAlign w:val="bottom"/>
          </w:tcPr>
          <w:p>
            <w:pPr>
              <w:spacing w:after="0"/>
              <w:rPr>
                <w:sz w:val="24"/>
                <w:szCs w:val="24"/>
                <w:color w:val="auto"/>
              </w:rPr>
            </w:pPr>
          </w:p>
        </w:tc>
        <w:tc>
          <w:tcPr>
            <w:tcW w:w="3260" w:type="dxa"/>
            <w:vAlign w:val="bottom"/>
            <w:gridSpan w:val="2"/>
          </w:tcPr>
          <w:p>
            <w:pPr>
              <w:jc w:val="right"/>
              <w:ind w:right="1380"/>
              <w:spacing w:after="0"/>
              <w:rPr>
                <w:sz w:val="20"/>
                <w:szCs w:val="20"/>
                <w:color w:val="auto"/>
              </w:rPr>
            </w:pPr>
            <w:r>
              <w:rPr>
                <w:rFonts w:ascii="Arial" w:cs="Arial" w:eastAsia="Arial" w:hAnsi="Arial"/>
                <w:sz w:val="18"/>
                <w:szCs w:val="18"/>
                <w:color w:val="auto"/>
              </w:rPr>
              <w:t>F-34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Generally, increases or decreases in the fair value of the underlying convertible preferred stock would result in a directionally similar impact in the fair value measurement of the associated warrant liability.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Fair value of warrants issued during the period</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100" w:firstLine="324"/>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 leases certain equipment used in the research and development and operations under both capital and operating lease agreements. An asset and a corresponding liability for the capital lease obligations are established for the cost of a capital lease. Capital lease assets are included in property, plant and equipment—net in the Company’s balance sheets. Operating lease costs are recognized as rent expense on a straight-line basis over the applicable lease terms. See </w:t>
      </w:r>
      <w:hyperlink w:anchor="page220">
        <w:r>
          <w:rPr>
            <w:rFonts w:ascii="Arial" w:cs="Arial" w:eastAsia="Arial" w:hAnsi="Arial"/>
            <w:sz w:val="18"/>
            <w:szCs w:val="18"/>
            <w:u w:val="single" w:color="auto"/>
            <w:color w:val="0000EE"/>
          </w:rPr>
          <w:t>Note 9</w:t>
        </w:r>
      </w:hyperlink>
      <w:r>
        <w:rPr>
          <w:rFonts w:ascii="Arial" w:cs="Arial" w:eastAsia="Arial" w:hAnsi="Arial"/>
          <w:sz w:val="18"/>
          <w:szCs w:val="18"/>
          <w:color w:val="auto"/>
        </w:rPr>
        <w:t>.</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4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subject to a range of claims, lawsuits, and administrative proceedings that arise in the ordinary course of business. The Company accrues a liability (which amount includes litigation costs expected to be incurred) and charges operations for such matters when it is probable that a liability has been incurred and the amount can be reasonably estimated, in accordance with the recognition criteria of the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Estimating liabilities and costs associated with these matters require significant judgment based upon the professional knowledge and experience of management and its legal counsel. See </w:t>
      </w:r>
      <w:hyperlink w:anchor="page220">
        <w:r>
          <w:rPr>
            <w:rFonts w:ascii="Arial" w:cs="Arial" w:eastAsia="Arial" w:hAnsi="Arial"/>
            <w:sz w:val="18"/>
            <w:szCs w:val="18"/>
            <w:u w:val="single" w:color="auto"/>
            <w:color w:val="0000EE"/>
          </w:rPr>
          <w:t>Note 9</w:t>
        </w:r>
      </w:hyperlink>
      <w:r>
        <w:rPr>
          <w:rFonts w:ascii="Arial" w:cs="Arial" w:eastAsia="Arial" w:hAnsi="Arial"/>
          <w:sz w:val="18"/>
          <w:szCs w:val="18"/>
          <w:color w:val="auto"/>
        </w:rPr>
        <w: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recognizes revenues when realized or realizable and earned. Revenue transactions represent sales of inventory. Revenue is recognized upon the transfer of the title to the product, ownership, and risk of loss to the customer, which typically occurs on the date of receipt of the product by the customer. 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The offsetting charge is recorded as a reduction of revenues in the same period when the expense is incurred.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333"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revenues by platform and channel are included in the tables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ind w:right="2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Fresh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18,109</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81,686</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Frozen</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19,588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15,896</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Discounts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32,581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87,934</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24"/>
                <w:szCs w:val="24"/>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ind w:right="2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12,342</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25,490</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50,779</w:t>
            </w: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Restaurant and Foodservice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7,091</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37,155</w:t>
            </w:r>
          </w:p>
        </w:tc>
      </w:tr>
      <w:tr>
        <w:trPr>
          <w:trHeight w:val="257"/>
        </w:trPr>
        <w:tc>
          <w:tcPr>
            <w:tcW w:w="40" w:type="dxa"/>
            <w:vAlign w:val="bottom"/>
          </w:tcPr>
          <w:p>
            <w:pPr>
              <w:spacing w:after="0"/>
              <w:rPr>
                <w:sz w:val="22"/>
                <w:szCs w:val="22"/>
                <w:color w:val="auto"/>
              </w:rPr>
            </w:pPr>
          </w:p>
        </w:tc>
        <w:tc>
          <w:tcPr>
            <w:tcW w:w="6340" w:type="dxa"/>
            <w:vAlign w:val="bottom"/>
            <w:gridSpan w:val="2"/>
          </w:tcPr>
          <w:p>
            <w:pPr>
              <w:ind w:left="4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87,934</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Three distributors accounted for approximately 31%, 16% and 12%, respectively, of our revenues in 2016; 38%, 10% and 10%, respectively, of our revenues in 2017; and 32%, 21% and 13%, respectively, of our revenues in 2018, which were primarily related to sales in the United States and Canada. In 2017, one customer accounted for 10% of our revenues. No other customer accounted for more than 10% of our revenues in 2016 or 2018. Approximately 7% of our net revenues in 2018 was from international sales. International sales in prior years were immaterial.</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93" w:lineRule="exact"/>
        <w:rPr>
          <w:sz w:val="20"/>
          <w:szCs w:val="20"/>
          <w:color w:val="auto"/>
        </w:rPr>
      </w:pPr>
    </w:p>
    <w:p>
      <w:pPr>
        <w:jc w:val="both"/>
        <w:ind w:right="160" w:firstLine="324"/>
        <w:spacing w:after="0" w:line="250" w:lineRule="auto"/>
        <w:rPr>
          <w:sz w:val="20"/>
          <w:szCs w:val="20"/>
          <w:color w:val="auto"/>
        </w:rPr>
      </w:pPr>
      <w:r>
        <w:rPr>
          <w:rFonts w:ascii="Arial" w:cs="Arial" w:eastAsia="Arial" w:hAnsi="Arial"/>
          <w:sz w:val="18"/>
          <w:szCs w:val="18"/>
          <w:color w:val="auto"/>
        </w:rPr>
        <w:t>Earnings (loss) per share (“EPS”) represents net income attributable to common stockholders divided by the weighted average number of common shares outstanding for the period. Diluted EPS represents net income attributable to common stockholders divided by the weighted-average number of common shares outstanding, inclusive of the dilutive impact of potential common shares outstanding during the period.</w:t>
      </w:r>
    </w:p>
    <w:p>
      <w:pPr>
        <w:spacing w:after="0" w:line="1" w:lineRule="exact"/>
        <w:rPr>
          <w:sz w:val="20"/>
          <w:szCs w:val="20"/>
          <w:color w:val="auto"/>
        </w:rPr>
      </w:pPr>
    </w:p>
    <w:p>
      <w:pPr>
        <w:ind w:right="5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Such potential common shares include options, warrants and convertible preferred stock. In periods when the Company records net loss, potential common shares are excluded in the computation of EPS because their inclusion would be anti-dilutive. See </w:t>
      </w:r>
      <w:hyperlink w:anchor="page224">
        <w:r>
          <w:rPr>
            <w:rFonts w:ascii="Arial" w:cs="Arial" w:eastAsia="Arial" w:hAnsi="Arial"/>
            <w:sz w:val="18"/>
            <w:szCs w:val="18"/>
            <w:u w:val="single" w:color="auto"/>
            <w:color w:val="0000EE"/>
          </w:rPr>
          <w:t>Note 11</w:t>
        </w:r>
      </w:hyperlink>
      <w:r>
        <w:rPr>
          <w:rFonts w:ascii="Arial" w:cs="Arial" w:eastAsia="Arial" w:hAnsi="Arial"/>
          <w:sz w:val="18"/>
          <w:szCs w:val="18"/>
          <w:color w:val="auto"/>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primarily include prepaid rent and insurance, which are expensed in the period to which they relate.</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Selling, general and administrative or SG&amp;A expenses are primarily comprised of marketing expenses, selling expenses, administrative expenses, depreciation and amortization expense on non-manufacturing assets, and other miscellaneous operating items. Included in SG&amp;A expenses are advertising costs, and out-bound shipping and handling costs which are charged to expense as incurred. Advertising costs in the years ended December 31, 2016, 2017 and 2018 were $15,000, $0.3 million and $62,000, respectively. Non-advertising related components of the Company’s total marketing expenditures include costs associated with consumer promotions, product sampling, and sales aids, which are also included in SG&amp;A. SG&amp;A expenses in the year ended December 31, 2016 include $2.9 million in costs to transition certain manufacturing and packaging operations from the Company’s existing manufacturing facility in Columbia, Missouri to a co-packer.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333"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does not bill its distributors or customers shipping and handling fees. The Company’s products are predominantly shipped to its distributors or customers as “FOB Destination,” with control of the products transferred to the customer at the destination. In-bound shipping and handling costs incurred in manufacturing a product are included in inventory and reflected in cost of goods sold when the sale of that product is recognized. Outbound shipping and handling costs are considered as fulfillment costs and are recorded in SG&amp;A expenses. Outbound shipping and handling costs in the years ended December 31, 2016, 2017 and 2018 were $1.4 million, $3.4 million and $6.1 million, respectively. Outbound shipping and handling costs in the year ended December 31, 2017 included $0.8 million related to the termination of the exclusive supply agreement with a co-manufacturer.</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Research and development costs, which includes research for the Beyond Burger, our flagship product that we launched in May 2016, enhancements to existing products and new product development, are expensed in the period incurred. Research and development expenses in the years ended December 31, 2016, 2017 and 2018, were $5.8 million, $5.7 million and $9.6 million, respectively.</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measures all share-based compensation cost at the grant date, based on the fair values of the awards that are ultimately expected to vest, and recognizes that cost as an expense on a straight line-basis in its statements of operations over the requisite service period. The Company estimates the fair value of option awards using the Black-Scholes option valuation model, which requires management to make certain assumptions for estimating the fair value of stock options at the date of grant including the fair value and projected volatility of the underlying common stock and the expected term of the award. The Black-Scholes option valuation model was developed for use in estimating the fair value of traded options that have no vesting restrictions and are fully transferable. Because the Company’s stock options have characteristics significantly different from those of traded options, and because changes in the subjective input assumptions can materially affect the fair value estimates, in management’s opinion, the existing models may not necessarily provide a reliable single measure of the fair value of the Company’s stock options. Although the fair value of stock options is determined using an option valuation model, that value may not be indicative of the fair value observed in a willing buyer/willing seller market transaction.</w:t>
      </w:r>
    </w:p>
    <w:p>
      <w:pPr>
        <w:spacing w:after="0" w:line="158" w:lineRule="exact"/>
        <w:rPr>
          <w:sz w:val="20"/>
          <w:szCs w:val="20"/>
          <w:color w:val="auto"/>
        </w:rPr>
      </w:pPr>
    </w:p>
    <w:p>
      <w:pPr>
        <w:ind w:right="2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addition, the Company estimates the expected impact of forfeited awards and recognizes share-based compensation cost only for those awards ultimately expected to vest. If actual forfeiture rates differ materially from the Company’s estimates, share-based compensation expense could differ significantly from the amounts the Company has recorded in the current period. The Company periodically reviews actual forfeiture experience and will revise its estimates, as necessary. The Company will recognize as compensation cost the cumulative effect of the change in estimated forfeiture rates on current and prior periods in earnings of the period of revision. As a result, if the Company revises its assumptions and estimates, the Company’s share-based compensation expense could change materially in the future. See </w:t>
      </w:r>
      <w:hyperlink w:anchor="page216">
        <w:r>
          <w:rPr>
            <w:rFonts w:ascii="Arial" w:cs="Arial" w:eastAsia="Arial" w:hAnsi="Arial"/>
            <w:sz w:val="18"/>
            <w:szCs w:val="18"/>
            <w:u w:val="single" w:color="auto"/>
            <w:color w:val="0000EE"/>
          </w:rPr>
          <w:t>Note 8</w:t>
        </w:r>
      </w:hyperlink>
      <w:r>
        <w:rPr>
          <w:rFonts w:ascii="Arial" w:cs="Arial" w:eastAsia="Arial" w:hAnsi="Arial"/>
          <w:sz w:val="18"/>
          <w:szCs w:val="18"/>
          <w:color w:val="auto"/>
        </w:rPr>
        <w: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On January 1, 2017 the Company initiated a 401(k) retirement saving plan for the benefit of eligible employees. Under terms of this plan, eligible employees are able to make contributions of their wages on a tax-deferred basis. The Company is authorized to, but has not made matching contributions.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75"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color w:val="auto"/>
        </w:rPr>
        <w:t xml:space="preserve">The Company accounts for exit or disposal of activities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The Company defines a business restructuring as an exit or disposal activity that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333" w:right="2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includes but is not limited to a program which is planned and controlled by management and materially changes either the scope of a business or the manner in which that business is conducted. Business restructuring charges may include (i) contract termination costs and (ii) other related costs associated with exit or disposal activities.</w:t>
      </w:r>
    </w:p>
    <w:p>
      <w:pPr>
        <w:spacing w:after="0" w:line="148" w:lineRule="exact"/>
        <w:rPr>
          <w:sz w:val="20"/>
          <w:szCs w:val="20"/>
          <w:color w:val="auto"/>
        </w:rPr>
      </w:pPr>
    </w:p>
    <w:p>
      <w:pPr>
        <w:jc w:val="both"/>
        <w:ind w:right="14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Contract termination costs include costs to terminate a contract or costs that will continue to be incurred under the contract without benefit to the Company. A liability is recognized and measured at its fair value when the Company either terminates the contract or ceases using the rights conveyed by the contract. See </w:t>
      </w:r>
      <w:hyperlink w:anchor="page207">
        <w:r>
          <w:rPr>
            <w:rFonts w:ascii="Arial" w:cs="Arial" w:eastAsia="Arial" w:hAnsi="Arial"/>
            <w:sz w:val="18"/>
            <w:szCs w:val="18"/>
            <w:u w:val="single" w:color="auto"/>
            <w:color w:val="0000EE"/>
          </w:rPr>
          <w:t>Note 3</w:t>
        </w:r>
      </w:hyperlink>
      <w:r>
        <w:rPr>
          <w:rFonts w:ascii="Arial" w:cs="Arial" w:eastAsia="Arial" w:hAnsi="Arial"/>
          <w:sz w:val="18"/>
          <w:szCs w:val="18"/>
          <w:color w:val="auto"/>
        </w:rPr>
        <w: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entered into a consulting agreement with Seth Goldman, the Company’s Executive Chair, on March 2, 2016. Pursuant to the consulting agreement, the Company will pay Mr. Goldman $14,585.33 per month for services rendered under the consulting agreement. The consulting agreement may be terminated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provided the Company paid Food System Strategies, LLC for at least two days of services per month. In February 2016, the Company entered into a new advisor agreement with Food System Strategies, LLC, which superseded the original agreement and provided for a $25,000 monthly retainer and a non-qualified stock option covering 798,848 shares, which vested in equal monthly installments over three years in consideration of Dr. van Lengerich providing services as our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 The advisor agreement may be terminated at any time upon written notice to the other party.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93"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In 2018 the Company incurred consulting costs payable to a company associated with Donald Thompson, a member of the Company’s Board of Directors, in the amount of $121,546.</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to Related Parties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In connection with the issuance of restricted stock and for value received, in December 2015, the nonemployee members of our Board of Directors entered into a promissory note to pay the Company the principal sum of $951,245 with interest at a fixed rate of 1.68% per annum, compounded annually, on the unpaid balance of such principal sum. The promissory notes are secured by a pledge of the common stock issued to the nonemployee board members. The loans are classified as a reduction to stockholders’ deficit in the accompanying balance sheets. In determining the accounting for the promissory notes, management evaluated the legal provisions of the promissory notes as well as the Company’s intent to fully collect on the outstanding note amounts. The Company collected on the promissory notes in their entirety in 2018. See </w:t>
      </w:r>
      <w:r>
        <w:rPr>
          <w:rFonts w:ascii="Arial" w:cs="Arial" w:eastAsia="Arial" w:hAnsi="Arial"/>
          <w:sz w:val="18"/>
          <w:szCs w:val="18"/>
          <w:u w:val="single" w:color="auto"/>
          <w:color w:val="0000EE"/>
        </w:rPr>
        <w:t>Note 12</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333"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March 2016, the FASB issued ASU No. 2016-09, “Compensation—Stock Compensation (Topic 718): Improvements to Employee Share-Based Payment Accounting” or ASU 2016-09. ASU 2016-09 simplifies certain aspects of accounting for share-based payment transactions, including the income tax consequences, classification of awards as either equity or liabilities, and an option to recognize gross stock compensation expense with actual forfeitures recognized as they occur, as well as certain classifications in the statements of cash flows. ASU 2016-09 is effective for all entities other than public business entities for fiscal years beginning after December 15, 2017, and therefore, effective for the Company for the fiscal year ending December 31, 2018. Early adoption is permitted. The Company adopted ASU 2016-09 beginning January 1, 2018. Adoption of ASU 2016-09 did not have a material impact on the Company’s financial position, results of operations, or cash flows.</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or ASU 2017-09. ASU 2017-09 amends the scope of modification accounting for share-based payment arrangements and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ASU 2017-09 is effective for all entities for annual periods, and interim periods within those annual periods, beginning after December 15, 2017 with early adoption permitted. The Company adopted ASU 2017-09 beginning January 1, 2018. Adoption of ASU 2017-09 did not have a material impact on the Company’s financial position, results of operations, or cash flows.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or ASU 2014-09, which, along with subsequent ASUs, amends the existing accounting standards for revenue recognition. This guidance is based on principles that govern the recognition of revenue at an amount an entity expects to be entitled to receive when products are transferred to customers. ASU 2014-09 is effective for annual reporting periods beginning after December 15, 2017, including interim periods within that reporting period for public business entities, and for annual reporting periods beginning after December 15, 2018 for business entities that are not public. ASU 2014-09 is effective for the Company beginning January 1, 2019. ASU 2014-09 may be applied retrospectively to each prior period presented or retrospectively with the cumulative effect recognized as of the date of adoption. Additionally, ASU 2014-09 requires enhanced disclosures, including revenue recognition policies to identify performance obligations to customers and significant judgments in measurement and recognition. The Company is currently in the process of assessing its adoption methodology for ASU 2014-09 and expects to use the modified retrospective method. The majority of the Company’s contracts with customers generally consist of a single performance obligation to transfer promised goods. Based on the Company’s evaluation process and review of its contracts with customers, the timing and amount of revenue recognized based on ASU 2014-09 is consistent with the Company’s revenue recognition policy under previous guidance. The Company has therefore currently determined that the adoption of ASU 2014-09 will not have a material impact on our financial position, results of operations, or cash flows. The Company will adopt and implement ASU 2014-09 effective January 1, 2019.</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333" w:right="2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or ASU 2016-01, which makes amendments to the guidance in U.S.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The Company expects to adopt and implement ASU 2016-01 for the year ending December 31, 2019 and for interim periods beginning January 1, 2020. The Company does not expect that adoption of ASU 2016-01 will have a material impact on the Company’s financial position, results of operations, or cash flows.</w:t>
      </w:r>
    </w:p>
    <w:p>
      <w:pPr>
        <w:spacing w:after="0" w:line="15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February 2016, the FASB issued ASU No. 2016-02, “Leases (Topic 842)”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the Company beginning January 1, 2020. Early application is permitted. The Company is currently evaluating the impact ASU 2016-02 will have on its financial statements and currently expects that most operating lease commitments will be subject to ASU 2016-02 and will be recognized as operating lease liabilities and right-of-use assets upon adoption. While the Company has not yet quantified the impact, adjustments resulting from the adoption of ASU 2016-02 will materially increase total assets and total liabilities relative to such amounts reported prior to adoption.</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August 2016, the FASB issued ASU No. 2016-15, “Statements of Cash Flows (Topic 230) Classification of Certain Cash Receipts and Cash Payments” or ASU 2016-15, which addresses eight specific cash flow issues with the objective of reducing the existing diversity in practice in how certain cash receipts and cash payments are presented and classified in the statements of cash flows. ASU 2016-15 is effective for annual periods (including interim periods) beginning after December 15, 2018 for business entities that are not public, should be applied retrospectively, and early adoption is permitted. The Company is currently evaluating the impact that will result from adopting ASU 2016-15 on its cash flows.</w:t>
      </w:r>
    </w:p>
    <w:p>
      <w:pPr>
        <w:spacing w:after="0" w:line="155"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 years beginning after December 15, 2020. ASU 2018-07 is effective for the Company beginning January 1, 2020. Early adoption is permitted, but no earlier than the Company’s adoption date of Topic 606.</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3"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Subsequent events have been evaluated through March 27, 2019, which is the date the annual financial statements were available to be issued.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May 2017, management approved a plan to terminate its exclusive supply agreement or Agreement with one of its co-manufacturers, due to non-performance under the Agreement and on May 23, 2017, the Company notified the co-manufacturer of its decision to terminate the Agreement. In accordance with the Company’s policy of reviewing long-lived assets for impairment whenever events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333"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changes in circumstances indicate that the carrying amount of such assets may not be recoverable, the Company determined that as of</w:t>
      </w:r>
    </w:p>
    <w:p>
      <w:pPr>
        <w:spacing w:after="0" w:line="9" w:lineRule="exact"/>
        <w:rPr>
          <w:sz w:val="20"/>
          <w:szCs w:val="20"/>
          <w:color w:val="auto"/>
        </w:rPr>
      </w:pPr>
    </w:p>
    <w:p>
      <w:pPr>
        <w:ind w:right="6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May 23, 2017, the date the Company notified the co-manufacturer of its decision to terminate the Agreement, the assets held in possession of the co-manufacturer were no longer recoverable. The Company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$ 1.2 million was primarily related to legal and other expenses associated with the dispute with the co-manufacturer (see </w:t>
      </w:r>
      <w:hyperlink w:anchor="page220">
        <w:r>
          <w:rPr>
            <w:rFonts w:ascii="Arial" w:cs="Arial" w:eastAsia="Arial" w:hAnsi="Arial"/>
            <w:sz w:val="18"/>
            <w:szCs w:val="18"/>
            <w:u w:val="single" w:color="auto"/>
            <w:color w:val="0000EE"/>
          </w:rPr>
          <w:t>Note 9</w:t>
        </w:r>
      </w:hyperlink>
      <w:r>
        <w:rPr>
          <w:rFonts w:ascii="Arial" w:cs="Arial" w:eastAsia="Arial" w:hAnsi="Arial"/>
          <w:sz w:val="18"/>
          <w:szCs w:val="18"/>
          <w:color w:val="auto"/>
        </w:rPr>
        <w:t xml:space="preserve">). In addition, the Company recorded $2.4 million in write-off of unrecoverable inventory held at the co-manufacturer’s site which is included in cost of goods sold (see </w:t>
      </w:r>
      <w:hyperlink w:anchor="page208">
        <w:r>
          <w:rPr>
            <w:rFonts w:ascii="Arial" w:cs="Arial" w:eastAsia="Arial" w:hAnsi="Arial"/>
            <w:sz w:val="18"/>
            <w:szCs w:val="18"/>
            <w:u w:val="single" w:color="auto"/>
            <w:color w:val="0000EE"/>
          </w:rPr>
          <w:t>Note 4</w:t>
        </w:r>
      </w:hyperlink>
      <w:r>
        <w:rPr>
          <w:rFonts w:ascii="Arial" w:cs="Arial" w:eastAsia="Arial" w:hAnsi="Arial"/>
          <w:sz w:val="18"/>
          <w:szCs w:val="18"/>
          <w:color w:val="auto"/>
        </w:rPr>
        <w:t>) and $1.2 million in expenses related to the dispute in SG&amp;A expenses in the Company’s statement of operations in the year ended December 31, 2017. In 2018, the Company recorded $1.5 million in restructuring expenses related to this dispute, which consisted primarily of legal and other expenses. As of December 31, 2017 and 2018, there were no accrued unpaid liabilities associated with this contract termination.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classes of inventory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Raw materials and packaging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13,756</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2,517</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13,984</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8,144</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30,257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wrote off approximately $1.2 million in discontinued product inventories and recognized that expense in cost of goods sold in its statement of operations for the year ended December 31, 2016. The Company wrote off $2.4 million in unrecoverable inventory related to the termination of an exclusive supply agreement with one of the Company’s co-manufacturers which was recorded in cost of goods sold in its statement of operations for the year ended December 31, 2017. The Company wrote off $0 and $0.8 million in excess and obsolete inventories and recognized that expense in cost of goods sold in its statements of operations for the years ended December 31, 2017 and 2018, respectively. There was no write down of inventory to lower of cost or net realizable value at December 31, 2017 or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333"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are stated at cost and capital lease assets are included. A summary of property, plant, and equipment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2018,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13,037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25,314</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equipment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6,088</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7,080</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882</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Assets not yet placed in service</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5,021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3,374</w:t>
            </w: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21,896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43,203</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7,778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12,676</w:t>
            </w: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14,118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30,527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Depreciation and amortization expense for the years ended December 31, 2016, 2017 and 2018, was $2.1 million, $3.2 million and $4.9 million, respectively. Of the total depreciation and amortization expense in the years ended December 31, 2016, 2017 and 2018, $1.9 million, $2.9 million and $3.7 million, respectively, were recorded in cost of goods sold and $0.2 million, $0.3 million and $1.2 million, respectively, were recorded in research and development expenses in the Company’s statements of operations.</w:t>
      </w:r>
    </w:p>
    <w:p>
      <w:pPr>
        <w:spacing w:after="0" w:line="15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2018, the Company purchased $1.0 million in property, plant and equipment and shortly thereafter elected to sell such property, plant and equipment to a third-party. These assets have been concluded to meet the criteria for assets held for sales and are included in Prepaid expenses and other current assets on the balance sheet as of December 31, 2018. The Company expects to sell such assets in the upcoming year for amounts that approximate book value.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balances are detailed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462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3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2016</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3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2016</w:t>
            </w: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Term Loan Facility (defined below)</w:t>
            </w:r>
          </w:p>
        </w:tc>
        <w:tc>
          <w:tcPr>
            <w:tcW w:w="3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Missouri Note (defined below)</w:t>
            </w:r>
          </w:p>
        </w:tc>
        <w:tc>
          <w:tcPr>
            <w:tcW w:w="34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2018</w:t>
            </w: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3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6,000</w:t>
            </w:r>
          </w:p>
        </w:tc>
      </w:tr>
      <w:tr>
        <w:trPr>
          <w:trHeight w:val="277"/>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2018</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 (defined below)</w:t>
            </w:r>
          </w:p>
        </w:tc>
        <w:tc>
          <w:tcPr>
            <w:tcW w:w="34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r>
      <w:tr>
        <w:trPr>
          <w:trHeight w:val="263"/>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Equipment financing loan</w:t>
            </w:r>
          </w:p>
        </w:tc>
        <w:tc>
          <w:tcPr>
            <w:tcW w:w="3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0"/>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4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Total debt outstanding</w:t>
            </w:r>
          </w:p>
        </w:tc>
        <w:tc>
          <w:tcPr>
            <w:tcW w:w="3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30,388</w:t>
            </w:r>
          </w:p>
        </w:tc>
      </w:tr>
      <w:tr>
        <w:trPr>
          <w:trHeight w:val="270"/>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34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3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30,388</w:t>
            </w: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60" w:type="dxa"/>
            <w:vAlign w:val="bottom"/>
            <w:gridSpan w:val="2"/>
          </w:tcPr>
          <w:p>
            <w:pPr>
              <w:jc w:val="right"/>
              <w:ind w:right="2580"/>
              <w:spacing w:after="0"/>
              <w:rPr>
                <w:sz w:val="20"/>
                <w:szCs w:val="20"/>
                <w:color w:val="auto"/>
              </w:rPr>
            </w:pPr>
            <w:r>
              <w:rPr>
                <w:rFonts w:ascii="Arial" w:cs="Arial" w:eastAsia="Arial" w:hAnsi="Arial"/>
                <w:sz w:val="18"/>
                <w:szCs w:val="18"/>
                <w:color w:val="auto"/>
              </w:rPr>
              <w:t>F-42</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records debt issuance costs as a reduction of carrying value of the debt in the accompanying balance sheets. Debt issuance costs, net of amortization, totaled $35,000 and $0.6 million as of December 31, 2017 and 2018, respectively. Debt issuance costs are amortized as interest expense over the term of the loan for which amortization of $21,000, $37,000 and $93,000 was recorded during the years ended December 31, 2016, 2017 and 2018,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June 2016, the Company entered into a Loan and Security Agreement, referred to as the Original LSA, with Silicon Valley Bank, or SVB, which comprised a $2.5 million revolving line of credit, or the 2016 Revolving Credit Facility, maturing in June 2018, and a $1.5 million growth capital term loan advance, or the 2016 Term Loan Facility, maturing in December 2019. Principal payments on the 2016 Term Loan Facility were due in 36 equal monthly installments beginning January 31, 2017.</w:t>
      </w:r>
    </w:p>
    <w:p>
      <w:pPr>
        <w:spacing w:after="0" w:line="150"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 2016 Revolving Credit Facility and the 2016 Term Loan Facility were secured by an interest in manufacturing equipment, inventory, contract rights or rights to payment of money, leases, license agreements, general intangibles, and cash. The Company paid a facility fee of $30,000 to secure the Original LSA. Both the 2016 Term Loan Facility and borrowings on the 2016 Revolving Credit Facility accrue interest at the annual rate of 1.0% above prime rate, payable monthly. In the event of occurrence and during the time of continuation of default, loan obligations will bear a default interest rate of additional 5% above the rate that is otherwise applicable. The interest rate on the obligations at December 31, 2016 and 2017 were 4.75% and 5.5%, respectively.</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December 31, 2017, the outstanding principal balance under the 2016 Revolving Credit Facility was $2.5 million and the outstanding balance in the 2016 Term Loan Facility was $1.0 million, of which $0.5 million was included in short-term debt and the remainder was included in long-term debt on the Company’s balance sheet. The Company recognized interest expense of $0 and $0.1 million in 2016 and 2017, respectively, on the 2016 Revolving Credit Facility and $34,000 and $63,000 in 2016 and 2017, respectively, on the 2016 Term Loan Facility. As of December 31, 2017, there was no availability to borrow under the 2016 Revolving Credit Facility. The interest rate on the obligations at December 31, 2017 was 5.5%.</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Amended and Restated Loan and Security Agreement</w:t>
      </w:r>
    </w:p>
    <w:p>
      <w:pPr>
        <w:spacing w:after="0" w:line="18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June 2018, the Company refinanced the 2016 Revolving Credit Facility and the 2016 Term Loan Facility under the Original LSA with SVB, or the Amended LSA, such that the 2016 Revolving Credit Facility was expanded from $2.5 million to $ 6.0 million, and all loans under the 2016 Term Loan Facility were paid in full without a prepayment penalty and the 2016 Term Loan Facility was discontinued. The Amended LSA includes the expanded revolving credit facility or the 2018 Revolving Credit Facility and the 2018 Term Loan Facility. The 2018 Term Loan Facility is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 above the prime rate, with interest payable monthly and principal amortizing commencing on January 1, 2020, and will mature in June 2022. Borrowings under the 2018 Revolving Credit Facility carry a variable annual interest rate of prime rate + 0.75% to 1.25% with an additional 5% on the outstanding balances in the event of a default. The 2018 Revolving Credit Facility matures in June 2020.</w:t>
      </w:r>
    </w:p>
    <w:p>
      <w:pPr>
        <w:spacing w:after="0" w:line="1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2018 Revolving Term Loan Facility and the 2018 Revolving Credit Facility, or together the SVB Credit Facilities, contain customary negative covenants that limit the Company’s ability to, among other things, incur additional indebtedness, grant liens, make investments, repurchase stock, pay dividends, transfer assets and merge or consolidate. The SVB Credit Facilities are secured by a blanket lien on all of the Company’s personal property assets. The SVB Credit Facilities also contain customary affirmative covenants, including delivery of audited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333"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The SVB Credit Facilities are secured by an interest in the Company’s assets including manufacturing equipment, inventory, contract rights or rights to payment of money, leases, license agreements, general intangibles, and cash.</w:t>
      </w:r>
    </w:p>
    <w:p>
      <w:pPr>
        <w:spacing w:after="0" w:line="142"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In conjunction with the execution of the Amended LSA, the Company issued two common stock warrants one each to SVB and its affiliate to provide the ability to purchase an aggregate of 60,002 shares of the Company’s common stock at an exercise price of $2.99 per share. The common stock warrants were fully exercisable on the date of the grant and have a term of 10 years. The Company also paid a commitment fee of $30,000 to SVB in connection with the execution of the Amended LSA.</w:t>
      </w:r>
    </w:p>
    <w:p>
      <w:pPr>
        <w:spacing w:after="0" w:line="150"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As of December 31, 2018, the Company had $6.0 million and $20.0 million in borrowings on the 2018 Revolving Credit Facility and 2018 Term Loan Facility, respectively, and had no availability to borrow under either of these loan facilities. In 2018, the Company incurred $0.9 million in interest expense related to the term loans and revolving credit facilities. The interest rates on the 2018 Revolving Credit Facility and the term loans at December 31, 2018 were 6.25% and 9.50%,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September 2018, the Company entered into an agreement with Structural Capital Investments II, LP, or Structural Capital, wherein Structural Capital agreed to provide an equipment loan facility to the Company in the amount of $ 5.0 million for the purpose of purchasing equipment. Subject to Structural Capital’s approval, the Company may request that they advance an additional $5.0 million or an aggregate of $10.0 million. The equipment loan facility matures on May 1, 2022, carries an interest rate of 6.25% plus the greater of 4.75% or the prime rate and is secured by the financed equipment. Principal repayments begin six months or 18 months after loan draw depending on the Company achieving certain financial milestones, and therefore, are paid over a period of 37 months or 25 months, respectively. The Company is also required to offer Structural Capital the right to purchase up to an aggregate of $1.0 million of the Company’s capital stock or any other equity interest in any transaction where the Company receive gross proceeds of at least $10.0 million. The equipment loan facility has a prepayment penalty of 2% during the first two years of the term and 1% thereafter. The Company must also pay a final payment fee of 13% of the facility commitment amount on the maturity date and such other date as the advances become due and such fee will increase by 1% if certain milestones are achieved.</w:t>
      </w:r>
    </w:p>
    <w:p>
      <w:pPr>
        <w:spacing w:after="0" w:line="15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Company had $5.0 million in borrowings outstanding as of December 31, 2018 under the equipment loan facility. The interest rate on the equipment loan facility at December 31, 2018 was 11.50%.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Promissory Note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entered into a note with the Missouri Department of Economic Development in the amount of $ 1.45 million on December 20, 2013 or the Missouri Note. The principal was due and payable on December 20, 2021. The Missouri Note carried a fixed interest rate of 2% per year, payable quarterly, commencing on December 31, 2016. The Company recognized interest expense of $26,000 and $29,000, in 2016 and 2017, respectively. As of December 31, 2017, the Company was in compliance with the promissory note covenant to maintain at least 20 full-time employees in Missouri throughout the life of the note. On June 28, 2018, the Missouri Note was paid in full.</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September 2016, the Company issued $4.0 million in Convertible Promissory Notes (“2016 Convertible Notes”) to several purchasers of the Series F Preferred Stock, one of whom was a non-employee Board Member. The 2016 Convertible Notes were due six months after the issuance date. The 2016 Convertible Notes had a fixed interest rate of 1% per year during their term and permitted the holders to convert the notes to Series F Preferred Stock at 95% of the cash price per share.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333" w:right="2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outstanding principal and all accrued but unpaid interest under the 2016 Convertible Notes were converted into Series F Preferred Stock in October 2016. The Company issued 681,164 shares of Series F Preferred Stock upon conversion of the 2016 Convertible Notes. The number of shares issued was calculated based on the quotient obtained by dividing the outstanding principal and all accrued interest by 95% of the cash price per share of the Series F Preferred Stock issuance. In connection with the accounting for the 2016 Convertible Notes, a debt discount of $0.2 million was recognized at issuance, and subsequently, as a component of interest expense through the date of conversion.</w:t>
      </w:r>
    </w:p>
    <w:p>
      <w:pPr>
        <w:spacing w:after="0" w:line="1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August 2017 through November 2017, the Company issued $10.0 million in Convertible Promissory Notes (“2017 Convertible Notes”) to several purchasers of the Series G Preferred Stock, two of whom were 5% stockholders and two were non-employee members of our Board of Directors. The 2017 Convertible Notes were due six months after the issuance date. The 2017 Convertible Notes had a fixed interest rate of 5% per year during their term and permitted the holders to convert the notes to Series G Preferred Stock at 90% of the cash price per share.</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outstanding principal and all accrued but unpaid interest under the 2017 Convertible Notes were converted into 1,026,367 shares of Series G Preferred Stock beginning in November 2017. The number of shares issued was calculated based on the quotient obtained by dividing the outstanding principal and all accrued interest by 90% of the cash price per share of the Series G Preferred Stock issuance. In connection with the accounting for the 2017 Convertible Notes, a debt discount of $1.1 million was recognized at issuance, of which $0.7 million was recognized as a component of interest expense through the date of conversion. The remaining unamortized discount of $0.4 million was recorded in other expense at the date of conversion.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93" w:lineRule="exact"/>
        <w:rPr>
          <w:sz w:val="20"/>
          <w:szCs w:val="20"/>
          <w:color w:val="auto"/>
        </w:rPr>
      </w:pPr>
    </w:p>
    <w:p>
      <w:pPr>
        <w:ind w:right="6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connection with its financing arrangements, the Company has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The Series B and Series E warrants are exercisable and expire seven and ten years from the date of issuance, respectively. In connection with the Company’s refinancing of its credit facilities with SVB, the Company issued to SVB and its affiliates warrants to purchase an aggregate 60,002 shares of its common stock at an exercise price of $2.99 per share. The warrants remained outstanding as of December 31, 2017 and 2018. See </w:t>
      </w:r>
      <w:hyperlink w:anchor="page198">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on the warrant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 and Convertible Preferred Stock</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of December 31, 2017, the Company’s shares consisted of 52,002,600 authorized shares of Common Stock, of which 5,724,506 shares were issued and outstanding, and 39,673,174 authorized shares of Preferred Stock, of which 3,333,500 shares of Series A Preferred Stock, 4,680,565 shares of Series B Preferred Stock, 8,076,636 shares of Series C Preferred Stock, 8,713,201 shares of Series D Preferred Stock, 4,701,449 shares of Series E Preferred Stock, and 4,866,758 shares of Series F Preferred Stock, and 4,989,102 shares of Series G Preferred Stock were issued and outstanding.</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of December 31, 2018, the Company’s shares consisted of 58,669,600 authorized shares of Common Stock, of which 6,951,350 shares were issued and outstanding, and 43,882,867 authorized shares of Preferred Stock, of which 3,333,500 shares of Series A Preferred Stock, 4,680,565 shares of Series B Preferred Stock, 8,076,636 shares of Series C Preferred Stock, 8,713,201 shares of Series D Preferred Stock, 4,701,449 shares of Series E Preferred Stock, and 4,866,758 shares of Series F Preferred Stock, 5,114,786 shares of Series G Preferred Stock and 2,075,216 shares of Series H Preferred Stock were issued and outstanding.</w:t>
      </w:r>
    </w:p>
    <w:p>
      <w:pPr>
        <w:spacing w:after="0" w:line="15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333" w:right="2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H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H Preferred Stock then outstanding shall be entitled to be paid, on a pari passu basis, out of the assets of the Company available for distribution to its stockholders before any payment shall be made to the holders of Series A Preferred Stock, Series B Preferred Stock, Series C Preferred Stock, Series D Preferred Stock, Series E Preferred Stock, Series F Preferred Stock, Series G Preferred Stock or Common Stock by reason of their ownership thereof, an amount per share equal to the greater of (i) the Series H Original Issue Price of $24.23 for each outstanding share of Series H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Company available for distribution to its stockholders shall be insufficient to pay the holders of shares of Series H Preferred Stock the full amount to which they shall be entitled, the holders of shares of Series H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H Original Issue Price of $ 24.23 per share is subject to appropriate adjustment in the event of any stock dividend, stock split, combination, or other similar recapitalization with respect to the Series H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G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G Preferred Stock then outstanding shall be entitled to be paid, on a pari passu basis, out of the assets of the Corporation available for distribution to its stockholders before any payment shall be made to the holders of Series A Preferred Stock, Series B Preferred Stock, Series C Preferred Stock, Series D Preferred Stock, Series E Preferred Stock, Series F Preferred Stock, or Common Stock by reason of their ownership thereof, an amount per share equal to the greater of (i) the Series G Original Issue Price for each outstanding share of Series G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Corporation, the assets of the Corporation available for distribution to its stockholders shall be insufficient to pay the holders of shares of Series G Preferred Stock the full amount to which they shall be entitled, the holders of shares of Series G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G Original Issue Price shall mean $10.94 per share, subject to appropriate adjustment in the event of any stock dividend, stock split, combination, or other similar recapitalization with respect to the Series G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F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Corporation, the holders of shares of Series F Preferred Stock then outstanding shall be entitled to be paid, on a pari passu basis, out of the assets of the Corporation available for distribution to its stockholders before any payment shall be made to the holders of Series A Preferred Stock, Series B Preferred Stock, Series C Preferred Stock, Series D Preferred Stock, Series E Preferred Stock, or Common Stock by reason of their ownership thereof, an amount per share equal to the greater of (i) the Series F Original Issue Price for each outstanding share of Series F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Corporation, the assets of the Corporation available for distribution to its stockholders shall be insufficient to pay the holders of shares of Series 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333"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Preferred Stock the full amount to which they shall be entitled, the holders of shares of Series 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F Original Issue Price shall mean $6.19 per share, subject to appropriate adjustment in the event of any stock dividend, stock split, combination, or other similar recapitalization with respect to the Series F Preferred Stock.</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E Preferred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then outstanding shall be entitled to be paid, on a pari passu basis, out of the assets of the Company available for distribution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its stockholders before any payment shall be made to the holders of Series A Preferred Stock, Series B Preferred Stock, Series C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Series D Preferred Stock, or Common Stock by reason of their ownership thereof, an amount per share equal to the greater of (i)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E Original Issue Price for each outstanding share of Series E Preferred Stock then held by them, plus any dividends declared but unpaid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thereon, or (ii) such amount per share as would have been payable had all shares of such series been converted into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liquidation, dissolution, or winding up. If upon any such liquidation, dissolution, or winding up of the Company,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of the Company available for distribution to its stockholders shall be insufficient to pay the holders of shares of Series E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full amount to which they shall be entitled, the holders of shares of Series E Preferred Stock shall share ratably in any distribution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available for distribution in proportion to the respective amounts, which would otherwise be payable in respect of the shares held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upon such distribution if all amounts payable on or with respect to such shares were paid in full. The Series E Original Issue Price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$3.68 per share, subject to appropriate adjustment in the event of any stock dividend, stock split, combination, or other similar recapitalization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Series E Preferred Stock.</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D Preferred Stock</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the holders of shares of Series D Preferred Stock then outstanding shall be entitled to be paid, on a pari passu basis, out of the assets of the Company available for distribution to its stockholders before any payment shall be made to the holders of Series A Preferred Stock, Series B Preferred Stock, Series C Preferred Stock, or Common Stock by reason of their ownership thereof, an amount per share equal to the greater of (i) the Series D Original Issue Price for each outstanding share of Series D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Company available for distribution to its stockholders shall be insufficient to pay the holders of shares of Series D Preferred Stock the full amount to which they shall be entitled under this,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D Original Issue Price shall mean $2.87 per share, subject to appropriate adjustment in the event of any stock dividend, stock split, combination, or other similar recapitalization with respect to the Series D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C Preferred Stock</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and to the holders of shares of Series D Preferred Stock, the holders of shares of Series C Preferred Stock then outstanding shall be entitled to be paid, on a pari passu basis, out of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333" w:right="2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assets of the Company available for distribution to its stockholders before any payment shall be made to the holders of Series A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Series B Preferred Stock, or Common Stock by reason of their ownership thereof, an amount per share equal to the greater of (i)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C Original Issue Price for each outstanding share of Series C Preferred Stock then held by them, plus any dividends declared but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unpaid thereon, or (ii) such amount per share as would have been payable had all shares of such series been converted into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liquidation, dissolution, or winding up. If upon any such liquidation, dissolution, or winding up of the Company,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of the Company available for distribution to its stockholders shall be insufficient to pay the holders of shares of Series C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full amount to which they shall be entitled, the holders of shares of Series C Preferred Stock shall share ratably in any distribution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available for distribution in proportion to the respective amounts, which would otherwise be payable in respect of the shares held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upon such distribution if all amounts payable on or with respect to such shares were paid in full. The Series C Original Issue Price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 per share, subject to appropriate adjustment in the event of any stock dividend, stock split, combination, or other similar recapitalization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Series C Preferred Stock.</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A Preferred Stock and Series B Preferred Stock</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to the holders of shares of Series D Preferred Stock and to the holders of shares of Series C Preferred Stock, the holders of shares of Series A Preferred Stock then outstanding and Series B Preferred Stock then outstanding shall be entitled to be paid, on a pari passu basis, out of the assets of the Company available for distribution to its stockholders before any payment shall be made to the holders of Common Stock by reason of their ownership thereof, an amount per share equal to the greater of (i) the Series A Original Issue Price for each outstanding share of Series A Preferred Stock then held by them and the Series B Original Issue Price for each outstanding share of Series B Preferred Stock then held by them, in each case,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Corporation available for distribution to its stockholders shall be insufficient to pay the holders of shares of Series A Preferred Stock and Series B Preferred Stock the full amount to which they shall be entitled, the holders of shares of Series A Preferred Stock and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A Original Issue Price is $0.60 per share, subject to appropriate adjustment in the event of any stock dividend, stock split, combination, or other similar recapitalization with respect to the Series A Preferred Stock. The Series B Original Issue Price is $ 1.07 per share, subject to appropriate adjustment in the event of any stock dividend, stock split, combination, or other similar recapitalization with respect to the Series B Preferred Stock.</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Preferred Stock Significant Provisions</w:t>
      </w:r>
    </w:p>
    <w:p>
      <w:pPr>
        <w:spacing w:after="0" w:line="175" w:lineRule="exact"/>
        <w:rPr>
          <w:sz w:val="20"/>
          <w:szCs w:val="20"/>
          <w:color w:val="auto"/>
        </w:rPr>
      </w:pPr>
    </w:p>
    <w:p>
      <w:pPr>
        <w:ind w:left="660" w:hanging="328"/>
        <w:spacing w:after="0" w:line="255"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Each share of our preferred stock, at the option of the holder, is convertible into shares of common stock on a one-for-one basis, subject to adjustment. Conversion will occur upon the closing of an underwritten initial public offering of our common stock to the public at a price per share implying a valuation equal to at least $350,000,000 (calculated on a fully-diluted basis) and resulting in at least $50,000,000 of gross proceeds to us. Conversion of the Series A convertible preferred stock and Series B convertible preferred stock may also occur upon the vote of 55% of the outstanding Series A convertible preferred stock and Series B convertible preferred stock voting together as a single class on an as-converted basis. Conversion of the Series C convertible preferred stock may also occur upon the vote of at least 75% of the outstanding Series C convertible preferred stock. Conversion of the Series D convertible preferred stock and Series E convertible preferred stock may also occur upon the vote of at least 60% of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333"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line="300" w:lineRule="auto"/>
        <w:rPr>
          <w:sz w:val="20"/>
          <w:szCs w:val="20"/>
          <w:color w:val="auto"/>
        </w:rPr>
      </w:pPr>
      <w:r>
        <w:rPr>
          <w:rFonts w:ascii="Arial" w:cs="Arial" w:eastAsia="Arial" w:hAnsi="Arial"/>
          <w:sz w:val="18"/>
          <w:szCs w:val="18"/>
          <w:color w:val="auto"/>
        </w:rPr>
        <w:t>outstanding Series D convertible preferred stock and 60% of the outstanding Series E convertible preferred stock respectively, each voting as a separate class. Conversion of the Series F convertible preferred stock, Series G convertible preferred stock, and Series H convertible preferred stock may also occur upon the vote of at least a majority of the outstanding Series F convertible preferred stock, a majority of the outstanding Series G convertible preferred stock, and a majority of the outstanding Series H convertible preferred stock respectively, each voting as a separate class.</w:t>
      </w:r>
    </w:p>
    <w:p>
      <w:pPr>
        <w:spacing w:after="0" w:line="106" w:lineRule="exact"/>
        <w:rPr>
          <w:sz w:val="20"/>
          <w:szCs w:val="20"/>
          <w:color w:val="auto"/>
        </w:rPr>
      </w:pPr>
    </w:p>
    <w:p>
      <w:pPr>
        <w:ind w:left="660" w:right="20" w:hanging="328"/>
        <w:spacing w:after="0" w:line="25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Holders of preferred stock shall be entitled to receive noncumulative dividends on a pari passu basis and prior and in</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to any declaration or payment of any dividends to holders of common stock at a rate of 8% per annum. After the payment of such dividends to the holders of the Preferred Stock, any additional dividends or distributions shall be distributed among the holders of common stock and the preferred stock in proportion to the number of shares of common stock that would be held by each such holder if all shares of the preferred stock were converted to common stock.</w:t>
      </w:r>
    </w:p>
    <w:p>
      <w:pPr>
        <w:spacing w:after="0" w:line="129"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On any matter presented to the stockholders of the Company for their action or consideration at any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the Company (or by written consent of the stockholders in lieu of meeting), each holder of outstanding shares of the preferred stock shall be entitled to cast the number of votes equal to the number of whole shares of common stock into which the preferred stock held by such holder are convertible as of the record date for determining stockholders entitled to vote on such matter. Except as provided by law or by other provisions of our Certificate of Incorporation, holders of preferred stock shall vote together with the holders of common stock as a single class.</w:t>
      </w:r>
    </w:p>
    <w:p>
      <w:pPr>
        <w:spacing w:after="0" w:line="128"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Liquidation Preferences—</w:t>
      </w:r>
      <w:r>
        <w:rPr>
          <w:rFonts w:ascii="Arial" w:cs="Arial" w:eastAsia="Arial" w:hAnsi="Arial"/>
          <w:sz w:val="18"/>
          <w:szCs w:val="18"/>
          <w:color w:val="auto"/>
        </w:rPr>
        <w:t>In the event of any voluntary or involuntary liquidation, dissolution or winding up or deemed liquidation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 after the payment of all preferential amounts required to be paid to the holders of shares of preferred stock in accordance with the terms of our Certificate of Incorporation, our remaining assets available for distribution to the stockholders of the Company shall be distributed among the holders of shares of common stock, pro rata based on the number of shares of common stock held by each such holder.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Activity</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In October 2018, the Company issued 2,075,216 Series H Preferred Stock for $50.0 million, net of issuance costs of $0.3 million. In 2018, the Company also issued 125,684 shares of Series G Preferred Stock for $1.3 million, net of issuance costs of $27,000.</w:t>
      </w:r>
    </w:p>
    <w:p>
      <w:pPr>
        <w:spacing w:after="0" w:line="142"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In November 2017, the Company issued 4,989,102 Series G Preferred Stock for $43.2 million, net of issuance costs of $ 0.3 million. In 2017, the Company also issued 16,168 shares of Series F Preferred Stock for proceeds of $79,000, net of issuance costs of $21,000.</w:t>
      </w:r>
    </w:p>
    <w:p>
      <w:pPr>
        <w:spacing w:after="0" w:line="14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In October 2016, the Company issued 4,850,590 Series F Preferred Stock for $29.8 million, net of issuance costs of $ 0.2 million. In 2016, the Company also issued 81,521 shares of Series E Preferred Stock for proceeds of $0.3 million, net of issuance costs of $3,000.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April 11, 2011, the Company’s stockholders approved the 2011 Equity Incentive Plan, or the 2011 Plan, and most recently amended the 2011 Plan on March 8, 2018. The Plan provides for the grant of stock options (including incentive stock options and non-qualified stock options), stock appreciation rights, restricted stock and restricted stock unit awards to eligible participants. Eligible participants are employees, directors and consultants. As of December 31, 2018, the Plan authorized the issuance of 9,462,455 shares of common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333"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Plan is administered by the Board or another Board committee or subcommittee, as may be determined by the Board from time to time (subject to limitations that may be imposed under Section 409A of the Code). The administrator of the Plan or the Administrator or its delegatee will have the authority to determine which eligible persons receive awards and to set the terms and conditions applicable to awards within the confines of the Plan’s terms. The Administrator will have the authority to make all determinations and interpretations under, and adopt rules and guidelines for the administration of, the Plan.</w:t>
      </w:r>
    </w:p>
    <w:p>
      <w:pPr>
        <w:spacing w:after="0" w:line="1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Plan contains provisions with respect to payment of exercise or purchase prices, vesting and expiration of awards, adjustments and treatment of awards upon certain corporate transactions, including stock splits, recapitalizations and mergers, transferability of awards and tax withholding requirements.</w:t>
      </w:r>
    </w:p>
    <w:p>
      <w:pPr>
        <w:spacing w:after="0" w:line="14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Plan may be amended or terminated by the Board at any time, subject to certain limitations requiring stockholder consent or the consent of the applicable participant. In addition, the Administrator may not, without the approval of the Company’s stockholders, authorize certain re-pricing of any outstanding stock options or stock appreciation rights granted under the Plan. The board of directors may suspend or terminate the Plan at any time. Unless sooner terminated by the board of directors, the Plan shall automatically terminate on April 7, 2021.</w:t>
      </w:r>
    </w:p>
    <w:p>
      <w:pPr>
        <w:spacing w:after="0" w:line="15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of December 31, 2017 and 2018, there were 4,207,029 and 5,120,293 shares, respectively, issuable under stock options outstanding, 3,059,578 and 4,335,331 shares, respectively, issued for stock options exercises and restricted stock grants, and 1,279,929 and 6,859 shares, respectively, available for grant.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right="800" w:firstLine="324"/>
        <w:spacing w:after="0" w:line="262" w:lineRule="auto"/>
        <w:rPr>
          <w:sz w:val="20"/>
          <w:szCs w:val="20"/>
          <w:color w:val="auto"/>
        </w:rPr>
      </w:pPr>
      <w:r>
        <w:rPr>
          <w:rFonts w:ascii="Arial" w:cs="Arial" w:eastAsia="Arial" w:hAnsi="Arial"/>
          <w:sz w:val="18"/>
          <w:szCs w:val="18"/>
          <w:color w:val="auto"/>
        </w:rPr>
        <w:t>For the periods presented, the fair value of options was estimated using the Black-Scholes option-pricing model with the following assumptions:</w:t>
      </w:r>
    </w:p>
    <w:p>
      <w:pPr>
        <w:spacing w:after="0" w:line="314"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31750</wp:posOffset>
            </wp:positionV>
            <wp:extent cx="32759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Average expected term (years)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5.8</w:t>
            </w:r>
          </w:p>
        </w:tc>
      </w:tr>
      <w:tr>
        <w:trPr>
          <w:trHeight w:val="27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5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gridSpan w:val="3"/>
          </w:tcPr>
          <w:p>
            <w:pPr>
              <w:jc w:val="right"/>
              <w:ind w:right="127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ind w:left="660" w:right="100" w:hanging="328"/>
        <w:spacing w:after="0" w:line="282" w:lineRule="auto"/>
        <w:tabs>
          <w:tab w:leader="none" w:pos="66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yield on actively traded non-inflation indexed US Treasury notes with the same maturity as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underlying options was used as the average risk-free interest rate.</w:t>
      </w:r>
    </w:p>
    <w:p>
      <w:pPr>
        <w:spacing w:after="0" w:line="107" w:lineRule="exact"/>
        <w:rPr>
          <w:rFonts w:ascii="Arial" w:cs="Arial" w:eastAsia="Arial" w:hAnsi="Arial"/>
          <w:sz w:val="18"/>
          <w:szCs w:val="18"/>
          <w:i w:val="1"/>
          <w:iCs w:val="1"/>
          <w:color w:val="auto"/>
        </w:rPr>
      </w:pPr>
    </w:p>
    <w:p>
      <w:pPr>
        <w:ind w:left="660" w:right="20" w:hanging="328"/>
        <w:spacing w:after="0" w:line="266" w:lineRule="auto"/>
        <w:tabs>
          <w:tab w:leader="none" w:pos="66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options granted to employees during the years ended December 31, 2016, 2017 and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management’s expectations of the options granted, which are expected to remain outstanding. The expected term for options granted to nonemployees is equal to the remaining contractual life of the options.</w:t>
      </w:r>
    </w:p>
    <w:p>
      <w:pPr>
        <w:spacing w:after="0" w:line="122" w:lineRule="exact"/>
        <w:rPr>
          <w:rFonts w:ascii="Arial" w:cs="Arial" w:eastAsia="Arial" w:hAnsi="Arial"/>
          <w:sz w:val="18"/>
          <w:szCs w:val="18"/>
          <w:i w:val="1"/>
          <w:iCs w:val="1"/>
          <w:color w:val="auto"/>
        </w:rPr>
      </w:pPr>
    </w:p>
    <w:p>
      <w:pPr>
        <w:ind w:left="660" w:hanging="328"/>
        <w:spacing w:after="0" w:line="266"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 Company is a private entity, there is not a substantive share price history to calculate volatility and,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elected to use an approximation based on the volatility of other comparable public companies, which compete directly with the Company, over the expected term of the options.</w:t>
      </w:r>
    </w:p>
    <w:p>
      <w:pPr>
        <w:spacing w:after="0" w:line="122"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not issued regular dividends on common shares in the past nor does the Company expect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future.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333"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i w:val="1"/>
          <w:iCs w:val="1"/>
          <w:color w:val="auto"/>
        </w:rPr>
        <w:t>Forfeiture Rate</w:t>
      </w:r>
      <w:r>
        <w:rPr>
          <w:rFonts w:ascii="Arial" w:cs="Arial" w:eastAsia="Arial" w:hAnsi="Arial"/>
          <w:sz w:val="18"/>
          <w:szCs w:val="18"/>
          <w:color w:val="auto"/>
        </w:rPr>
        <w:t>—The Company estimates the forfeiture rate at the time of grant based on past awards canceled, the number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and vesting terms and adjusted, if necessary, in subsequent periods if actual forfeitures differ from those estimates. The cumulative effect on current and prior periods of a change in the estimated number of awards likely to vest is recognized in compensation cost in the period of the change.</w:t>
      </w:r>
    </w:p>
    <w:p>
      <w:pPr>
        <w:spacing w:after="0" w:line="14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Plan generally provides that the Board of Directors may set the vesting schedule applicable to grants approved under the 2011 Plan. Option grants approved under the 2011 Plan typically vest 25% of the total award on the first anniversary of the grant date, and thereafter ratably monthly vesting over the remaining three years of the award. The Company has not granted equity awards with performance-based vesting conditions.</w:t>
      </w:r>
    </w:p>
    <w:p>
      <w:pPr>
        <w:spacing w:after="0" w:line="1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Options granted in the year ended December 31, 2018 and prior have a variety of different vesting schedules and have a contractual life of 10 years.</w:t>
      </w:r>
    </w:p>
    <w:p>
      <w:pPr>
        <w:spacing w:after="0" w:line="142"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The following table summarizes the Company’s stock option activity during the period from December 31, 2015 through December 31,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Value (in</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2015</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5,114,597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1,674,141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(1,115,034)</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4,879,850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382,476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(609,096)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4,207,029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2,136,012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(1,139,962)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5,120,293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Vested and exercisable at December 31, 2018</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2,860,767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51,453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Vested and expected to vest at December 31, 2018</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3,976,569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67,624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fiscal years 2016, 2017 and 2018, the Company recorded in aggregate $0.7 million, $0.5 million and $1.5 million, respectively, of share-based compensation expense related to options issued to employees and nonemployees. The share-based compensation is included in cost of goods sold and SG&amp;A expenses in the Company’s statements of operations.</w:t>
      </w:r>
    </w:p>
    <w:p>
      <w:pPr>
        <w:spacing w:after="0" w:line="148"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As of December 31, 2017 and 2018, there was $0.5 million and $2.4 million in unrecognized compensation expense related to nonvested share-based compensation arrangements, which is expected to be recognized over 1.7 years and 2.9 years,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333"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October 2018, the Company’s Board of Directors approved the issuance of 135,791 shares of restricted stock with a fair value of $17.03 per share and a purchase price of $0.02 per share to nonemployees serving as the Company’s brand ambassadors. The Company has the right to repurchase the unvested shares upon a voluntary or involuntary termination of a brand ambassador’s service; however, as shares vest monthly over 12 to 24 months, they are being released from the repurchase option (and all such shares will be released from the repurchase option by November 1, 2020). The Company determined the fair value of the restricted stock award on the date of grant and remeasured the fair value as of December 31, 2018.</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Fair Value</w:t>
            </w:r>
          </w:p>
        </w:tc>
      </w:tr>
      <w:tr>
        <w:trPr>
          <w:trHeight w:val="228"/>
        </w:trPr>
        <w:tc>
          <w:tcPr>
            <w:tcW w:w="64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rPr>
              <w:t>Per Share</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135,791</w:t>
            </w:r>
          </w:p>
        </w:tc>
        <w:tc>
          <w:tcPr>
            <w:tcW w:w="120" w:type="dxa"/>
            <w:vAlign w:val="bottom"/>
          </w:tcPr>
          <w:p>
            <w:pPr>
              <w:spacing w:after="0"/>
              <w:rPr>
                <w:sz w:val="22"/>
                <w:szCs w:val="22"/>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17.03</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Vested/Released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(35,664)</w:t>
            </w:r>
          </w:p>
        </w:tc>
        <w:tc>
          <w:tcPr>
            <w:tcW w:w="1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100,127</w:t>
            </w:r>
          </w:p>
        </w:tc>
        <w:tc>
          <w:tcPr>
            <w:tcW w:w="1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0"/>
        </w:trPr>
        <w:tc>
          <w:tcPr>
            <w:tcW w:w="6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During the fiscal year 2018, the Company recorded in aggregate $0.7 million in share-based compensation expense related to restricted stock issued to nonemployee brand ambassadors, which is included in SG&amp;A expenses in the Company’s statements of operations.</w:t>
      </w:r>
    </w:p>
    <w:p>
      <w:pPr>
        <w:spacing w:after="0" w:line="14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As of December 31, 2018, there was $1.6 million in unrecognized compensation expense related to nonvested restricted stock, which is expected to be recognized over 1.6 years.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Loans to Related Parties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December 2015, the Company’s Board of Directors approved the issuance of 1,006,658 shares of restricted stock to nonemployee board members. The Company had the option of repurchasing the shares; however, as shares vest monthly over 36 months, they were being released from the repurchase option (and all such shares were released from the repurchase option by November 1, 2018). In connection with the issuance and for value received, the nonemployee board members entered into promissory notes to pay the Company the principal sum of $951,245 with interest at a fixed rate of 1.68% per annum, compounded annually, on the unpaid balance of such principal sum. The promissory notes are secured by a pledge of the common stock issued to the nonemployee board members. The loans are classified as a reduction to stockholders’ deficit in the accompanying balance sheets. In determining the accounting for the promissory notes, management evaluated the legal provisions of the promissory notes as well as the Company’s intent to fully collect on the outstanding note amounts. The Company collected on the promissory notes in their entirety in July 2018.</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Repurchase</w:t>
      </w:r>
    </w:p>
    <w:p>
      <w:pPr>
        <w:spacing w:after="0" w:line="193" w:lineRule="exact"/>
        <w:rPr>
          <w:sz w:val="20"/>
          <w:szCs w:val="20"/>
          <w:color w:val="auto"/>
        </w:rPr>
      </w:pPr>
    </w:p>
    <w:p>
      <w:pPr>
        <w:ind w:right="60" w:firstLine="324"/>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 July 2018, the Company repurchased 48,909 shares of common stock from one of its individual investors at a negotiated price of $10.50 per share, as adjusted to give effect to the reverse stock split described in </w:t>
      </w:r>
      <w:hyperlink w:anchor="page198">
        <w:r>
          <w:rPr>
            <w:rFonts w:ascii="Arial" w:cs="Arial" w:eastAsia="Arial" w:hAnsi="Arial"/>
            <w:sz w:val="18"/>
            <w:szCs w:val="18"/>
            <w:u w:val="single" w:color="auto"/>
            <w:color w:val="0000EE"/>
          </w:rPr>
          <w:t>Note 2</w:t>
        </w:r>
      </w:hyperlink>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333"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Company has operating leases for its corporate offices including its research and development center, its manufacturing facility and its warehouses, and capital leases for certain of the Company’s equipment.</w:t>
      </w:r>
    </w:p>
    <w:p>
      <w:pPr>
        <w:spacing w:after="0" w:line="142" w:lineRule="exact"/>
        <w:rPr>
          <w:sz w:val="20"/>
          <w:szCs w:val="20"/>
          <w:color w:val="auto"/>
        </w:rPr>
      </w:pPr>
    </w:p>
    <w:p>
      <w:pPr>
        <w:jc w:val="both"/>
        <w:ind w:right="460" w:firstLine="324"/>
        <w:spacing w:after="0" w:line="256" w:lineRule="auto"/>
        <w:rPr>
          <w:sz w:val="20"/>
          <w:szCs w:val="20"/>
          <w:color w:val="auto"/>
        </w:rPr>
      </w:pPr>
      <w:r>
        <w:rPr>
          <w:rFonts w:ascii="Arial" w:cs="Arial" w:eastAsia="Arial" w:hAnsi="Arial"/>
          <w:sz w:val="18"/>
          <w:szCs w:val="18"/>
          <w:color w:val="auto"/>
        </w:rPr>
        <w:t>On October 12, 2017, the Company entered into a lease or the Lease, for its manufacturing facility located in Columbia, Missouri. The Lease is for a period of seven years commencing on October 1, 2017. The future minimum lease payments required under noncancelable lease obligations related to this Lease are $2.7 million due through 2023 (approximately $0.5 million annually) and $0.8 million thereafter.</w:t>
      </w:r>
    </w:p>
    <w:p>
      <w:pPr>
        <w:spacing w:after="0" w:line="148"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represents the Company’s commitments as of December 31, 2018 including future minimum lease payments required under noncancelable lease obligations: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Operating</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51"/>
              <w:spacing w:after="0"/>
              <w:rPr>
                <w:sz w:val="20"/>
                <w:szCs w:val="20"/>
                <w:color w:val="auto"/>
              </w:rPr>
            </w:pPr>
            <w:r>
              <w:rPr>
                <w:rFonts w:ascii="Arial" w:cs="Arial" w:eastAsia="Arial" w:hAnsi="Arial"/>
                <w:sz w:val="16"/>
                <w:szCs w:val="16"/>
                <w:b w:val="1"/>
                <w:bCs w:val="1"/>
                <w:color w:val="auto"/>
              </w:rPr>
              <w:t>Capital Lease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Arial" w:cs="Arial" w:eastAsia="Arial" w:hAnsi="Arial"/>
                <w:sz w:val="16"/>
                <w:szCs w:val="16"/>
                <w:b w:val="1"/>
                <w:bCs w:val="1"/>
                <w:color w:val="auto"/>
              </w:rPr>
              <w:t>Purchase</w:t>
            </w:r>
          </w:p>
        </w:tc>
      </w:tr>
      <w:tr>
        <w:trPr>
          <w:trHeight w:val="180"/>
        </w:trPr>
        <w:tc>
          <w:tcPr>
            <w:tcW w:w="60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00" w:type="dxa"/>
            <w:vAlign w:val="bottom"/>
          </w:tcPr>
          <w:p>
            <w:pPr>
              <w:jc w:val="right"/>
              <w:ind w:right="331"/>
              <w:spacing w:after="0" w:line="181" w:lineRule="exact"/>
              <w:rPr>
                <w:sz w:val="20"/>
                <w:szCs w:val="20"/>
                <w:color w:val="auto"/>
              </w:rPr>
            </w:pPr>
            <w:r>
              <w:rPr>
                <w:rFonts w:ascii="Arial" w:cs="Arial" w:eastAsia="Arial" w:hAnsi="Arial"/>
                <w:sz w:val="16"/>
                <w:szCs w:val="16"/>
                <w:b w:val="1"/>
                <w:bCs w:val="1"/>
                <w:color w:val="auto"/>
              </w:rPr>
              <w:t>Obligations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99"/>
              </w:rPr>
              <w:t>Obligations</w:t>
            </w:r>
          </w:p>
        </w:tc>
        <w:tc>
          <w:tcPr>
            <w:tcW w:w="220" w:type="dxa"/>
            <w:vAlign w:val="bottom"/>
          </w:tcPr>
          <w:p>
            <w:pPr>
              <w:spacing w:after="0"/>
              <w:rPr>
                <w:sz w:val="15"/>
                <w:szCs w:val="15"/>
                <w:color w:val="auto"/>
              </w:rPr>
            </w:pPr>
          </w:p>
        </w:tc>
        <w:tc>
          <w:tcPr>
            <w:tcW w:w="1500" w:type="dxa"/>
            <w:vAlign w:val="bottom"/>
          </w:tcPr>
          <w:p>
            <w:pPr>
              <w:jc w:val="right"/>
              <w:ind w:right="232"/>
              <w:spacing w:after="0" w:line="181" w:lineRule="exact"/>
              <w:rPr>
                <w:sz w:val="20"/>
                <w:szCs w:val="20"/>
                <w:color w:val="auto"/>
              </w:rPr>
            </w:pPr>
            <w:r>
              <w:rPr>
                <w:rFonts w:ascii="Arial" w:cs="Arial" w:eastAsia="Arial" w:hAnsi="Arial"/>
                <w:sz w:val="16"/>
                <w:szCs w:val="16"/>
                <w:b w:val="1"/>
                <w:bCs w:val="1"/>
                <w:color w:val="auto"/>
              </w:rPr>
              <w:t>Commitments</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December 31,</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22,440</w:t>
            </w:r>
          </w:p>
        </w:tc>
      </w:tr>
      <w:tr>
        <w:trPr>
          <w:trHeight w:val="277"/>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22,440</w:t>
            </w:r>
          </w:p>
        </w:tc>
      </w:tr>
      <w:tr>
        <w:trPr>
          <w:trHeight w:val="257"/>
        </w:trPr>
        <w:tc>
          <w:tcPr>
            <w:tcW w:w="60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imputed interest (4.1% to 15.9%)</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capital lease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current portion of capital lease obligations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Effective March 1, 2019, the Company entered into a lease for its corporate offices on 119 Standard Street, El Segundo, California, for an initial term of five years. The aggregate lease amount for the five year term (not included in the table above) is $2.7 million.</w:t>
      </w:r>
    </w:p>
    <w:p>
      <w:pPr>
        <w:spacing w:after="0" w:line="14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Total rent expense was $0.8 million, $1.0 million and $1.7 million in the years ended December 31, 2016, 2017 and 2018, respectively. Rent expense is reflected in cost of goods sold, research and development expenses and SG&amp;A expenses in the statements of operations for all the periods presented.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Company had committed to purchase pea protein inventory totaling $22.4 million.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May 25, 2017, a former co-manufacturer of the Company filed a complaint against the Company in the Superior Court of the State of California for the County of Los Angeles asserting claims for (1) breach of contract, (2) misappropriation of trade secrets, (3) unfair competition under California Business &amp; Professions Code Section 17200 Et. Seq., (4) money owed and due, (5) declaratory relief, and (6) injunctive relief, each arising out of the Company’s decision to terminate an exclusive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333"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dated December 2, 2014 between the Company and the former co-manufacturer, pursuant to its terms (see </w:t>
      </w:r>
      <w:hyperlink w:anchor="page207">
        <w:r>
          <w:rPr>
            <w:rFonts w:ascii="Arial" w:cs="Arial" w:eastAsia="Arial" w:hAnsi="Arial"/>
            <w:sz w:val="18"/>
            <w:szCs w:val="18"/>
            <w:u w:val="single" w:color="auto"/>
            <w:color w:val="0000EE"/>
          </w:rPr>
          <w:t>Note 3</w:t>
        </w:r>
      </w:hyperlink>
      <w:r>
        <w:rPr>
          <w:rFonts w:ascii="Arial" w:cs="Arial" w:eastAsia="Arial" w:hAnsi="Arial"/>
          <w:sz w:val="18"/>
          <w:szCs w:val="18"/>
          <w:color w:val="auto"/>
        </w:rPr>
        <w:t>). The Company denies these claims, filed counter-claims on July 27, 2017, alleging (1) breach of contract, (2) unfair competition under California Business &amp; Professions Code Section 17200 Et. Seq., and (3) conversion, and is in the process of litigating this matter.</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co-manufacturer filed an answer denying all of the former co-manufacturer’s claims, and a cross-complaint against Beyond Meat asserting claims of total and partial equitable indemnity, contribution, and repayment. On March 11, 2019, the former co-manufacturer filed a second amended complaint to add claims of fraud and negligent misrepresentation against the Company. A trial date has been set for May 18, 2020. At this time the Company cannot reasonably estimate the potential liability associated with this litigation, but believes the final resolution of this litigation will not have a material adverse effect on its financial position, results of operations, or cash flows.</w:t>
      </w:r>
    </w:p>
    <w:p>
      <w:pPr>
        <w:spacing w:after="0" w:line="152"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The Company is involved in various legal proceedings, claims, and litigation arising in the ordinary course of business. Based on the facts currently available, the Company does not believe that the disposition of matters that are pending or asserted will have a material effect on its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was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37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3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2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374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64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3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2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CCEEFF"/>
            </w:tcBorders>
            <w:shd w:val="clear" w:color="auto" w:fill="CCEEFF"/>
          </w:tcPr>
          <w:p>
            <w:pPr>
              <w:spacing w:after="0"/>
              <w:rPr>
                <w:sz w:val="24"/>
                <w:szCs w:val="24"/>
                <w:color w:val="auto"/>
              </w:rPr>
            </w:pPr>
          </w:p>
        </w:tc>
        <w:tc>
          <w:tcPr>
            <w:tcW w:w="26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spacing w:after="0"/>
              <w:rPr>
                <w:sz w:val="24"/>
                <w:szCs w:val="24"/>
                <w:color w:val="auto"/>
              </w:rPr>
            </w:pPr>
          </w:p>
        </w:tc>
      </w:tr>
      <w:tr>
        <w:trPr>
          <w:trHeight w:val="250"/>
        </w:trPr>
        <w:tc>
          <w:tcPr>
            <w:tcW w:w="374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20" w:type="dxa"/>
            <w:vAlign w:val="bottom"/>
            <w:gridSpan w:val="2"/>
          </w:tcPr>
          <w:p>
            <w:pPr>
              <w:jc w:val="right"/>
              <w:ind w:right="860"/>
              <w:spacing w:after="0"/>
              <w:rPr>
                <w:sz w:val="20"/>
                <w:szCs w:val="20"/>
                <w:color w:val="auto"/>
              </w:rPr>
            </w:pPr>
            <w:r>
              <w:rPr>
                <w:rFonts w:ascii="Arial" w:cs="Arial" w:eastAsia="Arial" w:hAnsi="Arial"/>
                <w:sz w:val="18"/>
                <w:szCs w:val="18"/>
                <w:color w:val="auto"/>
              </w:rPr>
              <w:t>F-54</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00" w:firstLine="324"/>
        <w:spacing w:after="0" w:line="262" w:lineRule="auto"/>
        <w:rPr>
          <w:sz w:val="20"/>
          <w:szCs w:val="20"/>
          <w:color w:val="auto"/>
        </w:rPr>
      </w:pPr>
      <w:r>
        <w:rPr>
          <w:rFonts w:ascii="Arial" w:cs="Arial" w:eastAsia="Arial" w:hAnsi="Arial"/>
          <w:sz w:val="18"/>
          <w:szCs w:val="18"/>
          <w:color w:val="auto"/>
        </w:rPr>
        <w:t>The Company has provided a 100% valuation allowance on its deferred tax assets. Provision for income taxes in 2016 and 2017 is primarily for cash taxes payable to the states.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State income tax, net of federal benefits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Research &amp; development Credits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Return to provision &amp; other</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Rate adjustment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668</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Tax law change—revaluing deferreds</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6,910</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Significant components of the Company’s net deferred tax assets at December 31, 2017 and 2018, are shown below. A valuation allowance has been recorded to offset the net deferred tax assets as of December 31, 2017 and 2018, as the realization of such assets does not meet the more-likely-than-not threshold.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Net operating loss (NOL)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23,198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29,634</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Share-based and accrued compensation</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628</w:t>
            </w: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24,915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31,900</w:t>
            </w:r>
          </w:p>
        </w:tc>
      </w:tr>
      <w:tr>
        <w:trPr>
          <w:trHeight w:val="297"/>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gross deferred tax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32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24,652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31,617</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Net deferred tax asset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of December 31, 2018 and 2017, management assessed the realizability of deferred tax assets and evaluated the need for an amount of a valuation allowance for deferred tax assets on a jurisdictional basis. This evaluation utilized the framework contained in ASC 740, Income Taxes, pursuant to which management analyzed all positive and negative evidence available at the balance sheet date to determine whether all or some portion of the deferred tax assets will not be realized. Under this guidance, a valuation allowance must be established for deferred tax assets when it is more likely than not (a probability level of more than 50 percent) that they will not be realized. In assessing the realization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333"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Company’s deferred tax assets, the Company considered all available evidence, both positive and negative.</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the Company concluded on a more-likely-than-not basis that certain deferred tax assets were not realizable as of December 31, 2018. Accordingly, a valuation allowance of $ 31.6 million has been recorded to offset the deferred tax assets. The change in valuation allowance for the year ended December 31, 2018 from 2017 was an increase of $7.0 million.</w:t>
      </w:r>
    </w:p>
    <w:p>
      <w:pPr>
        <w:spacing w:after="0" w:line="1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2017, the Company has accumulated federal and state net operating loss carryforwards of approximately $90.8 million and $73.3 million, respectively. As of December 31, 2018, the Company has accumulated federal and state net operating loss carryforwards of approximately $119.7 million and $ 92.3 million, respectively. Approximately $28.0 million of the federal net operating losses do not expire and the remaining federal and state tax loss carryforwards begin to expire in 2031 and 2032, respectively, unless previously utilized.</w:t>
      </w:r>
    </w:p>
    <w:p>
      <w:pPr>
        <w:spacing w:after="0" w:line="1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Utilization of the Company’s net operating loss and tax credit carryforwards may be subject to a substantial annual limitation due to ownership change limitations provided by the Internal Revenue Code and similar state provisions. Such an annual limitation could result in the expiration or elimination of the net operating loss and tax credit carryforwards before utilization. Management believes that the limitation will not limit utilization of the carryforwards prior to their expiration.</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adopted ASU 2016-09 in its first quarter of 2018. Under the new guidance, companies will no longer record excess tax benefits and certain tax deficiencies related to share-based payment to employees in additional paid-in capital. Instead, the Company will recognize all income tax effects of awards in its statement of operations when awards vest or are settled. All excess tax benefits not previously recognized were to be recorded to retained earnings as a cumulative effect adjustment upon adoption. Upon adoption, no adjustment to retained earnings was necessary due to the Company’s valuation allowance position. Approximately $0.2 million attributable to excess tax benefits on stock compensation that had not been previously recognized were added to the net operating loss with a corresponding increase to the valuation allowance.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Cuts and Jobs Act</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Tax Cuts and Jobs Act or the Tax Act was enacted in the United States on December 22, 2017. The Tax Act reduced the United States federal corporate income tax rate to 21% from 35%, required companies to pay a one-time transition tax on earnings of certain foreign subsidiaries that were previously tax deferred and created new taxes on certain foreign-sourced earnings. In 2017 the Company recorded provisional amounts for certain enactment-date effects of the Tax Act by applying the guidance in Staff Accounting Bulletin No. 118 or SAB 118 because the Company had not yet completed its enactment-date accounting for these effects.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SAB 118 measurement period</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for the remeasurement of deferred tax assets and liabilities. The Company completed its accounting for all of the enactment-date income tax effects of the Act as of December 31, 2018. As further discussed below, during 2018, the Company did not recognize adjustments to the provisional amounts recorded at December 31, 2017.</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80"/>
          </w:cols>
          <w:pgMar w:left="240" w:top="333" w:right="2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89"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As of December 31, 2017, the Company remeasured certain deferred tax assets and liabilities based on the rates at which they were expected to reverse in the future (which was generally 21%), by recording a provisional expense of $11.8 million. Upon further analysis of certain aspects of the Tax Act and refinement of the Company’s calculations during the year ended December 31, 2018, the Company determined that no material adjustments were necessary.</w:t>
      </w:r>
    </w:p>
    <w:p>
      <w:pPr>
        <w:spacing w:after="0" w:line="1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2017 and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the beginning of the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Increases related to current year positions</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888</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positions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Gross unrecognized tax benefits at the end of the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1,846</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As of December 31, 2017 and 2018, the Company had $1.1 million and $1.7 million, respectively, of unrecognized tax benefits from research and development tax credits.</w:t>
      </w:r>
    </w:p>
    <w:p>
      <w:pPr>
        <w:spacing w:after="0" w:line="14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Company had no accrual for interest and penalties on the Company’s balance sheets and has not recognized interest and penalties in the statements of operations for the years ended December 31, 2017 and 2018. The Company does not expect any significant increases or decreases to its unrecognized tax benefits within the next 12 months.</w:t>
      </w:r>
    </w:p>
    <w:p>
      <w:pPr>
        <w:spacing w:after="0" w:line="14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Company is subject to taxation in the United States and state jurisdictions. The Company’s tax years from 2011 (inception) are subject to examination by the United States and state authorities due to the carry forward of unutilized net operating losses and research and development credits.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Attributable to Common Stockholders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convertible preferred stock to be participating securities. Under the two-class method, the net loss attributable to common stockholders is not allocated to the convertible preferred stock as the holders of convertible preferred stock do not have a contractual obligation to share in losses.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333"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diluted net loss per share attributable to common stockholders is computed by giving effect to all potential dilutive common stock equivalents outstanding for the period. For purposes of this calculation, convertible preferred stock, options to purchase common stock and warrants to purchase preferred stock are considered common stock equivalents but have been excluded from the calculation of diluted net loss per share attributable to common stockholders as their effect is antidilutive. Basic and diluted net loss per common share was the same for each period presented, as the inclusion of all potential common shares outstanding would have been antidilutive.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020" w:type="dxa"/>
            <w:vAlign w:val="bottom"/>
            <w:tcBorders>
              <w:top w:val="single" w:sz="8" w:color="auto"/>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97"/>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r>
      <w:tr>
        <w:trPr>
          <w:trHeight w:val="251"/>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4,566,757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6,287,172</w:t>
            </w:r>
          </w:p>
        </w:tc>
      </w:tr>
      <w:tr>
        <w:trPr>
          <w:trHeight w:val="23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Dilutive effect of stock equivalents resulting from stock options, preferred stock</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4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and convertible preferred stock (as converted)</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4,566,757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6,287,172</w:t>
            </w:r>
          </w:p>
        </w:tc>
      </w:tr>
      <w:tr>
        <w:trPr>
          <w:trHeight w:val="23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bl>
    <w:p>
      <w:pPr>
        <w:spacing w:after="0" w:line="16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loss per share attributable to common stockholders for the periods presented because the impact of including them would have been antidilutive: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9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Convertible preferred stock (as converted)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34,355,941</w:t>
            </w:r>
          </w:p>
        </w:tc>
        <w:tc>
          <w:tcPr>
            <w:tcW w:w="1820" w:type="dxa"/>
            <w:vAlign w:val="bottom"/>
            <w:gridSpan w:val="3"/>
          </w:tcPr>
          <w:p>
            <w:pPr>
              <w:jc w:val="right"/>
              <w:ind w:right="33"/>
              <w:spacing w:after="0"/>
              <w:rPr>
                <w:sz w:val="20"/>
                <w:szCs w:val="20"/>
                <w:color w:val="auto"/>
              </w:rPr>
            </w:pPr>
            <w:r>
              <w:rPr>
                <w:rFonts w:ascii="Arial" w:cs="Arial" w:eastAsia="Arial" w:hAnsi="Arial"/>
                <w:sz w:val="18"/>
                <w:szCs w:val="18"/>
                <w:color w:val="auto"/>
              </w:rPr>
              <w:t>39,361,211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39,953,983</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warrants</w:t>
            </w:r>
          </w:p>
        </w:tc>
        <w:tc>
          <w:tcPr>
            <w:tcW w:w="194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160,767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160,767</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34,516,708</w:t>
            </w:r>
          </w:p>
        </w:tc>
        <w:tc>
          <w:tcPr>
            <w:tcW w:w="1820" w:type="dxa"/>
            <w:vAlign w:val="bottom"/>
            <w:gridSpan w:val="3"/>
          </w:tcPr>
          <w:p>
            <w:pPr>
              <w:jc w:val="right"/>
              <w:ind w:right="33"/>
              <w:spacing w:after="0"/>
              <w:rPr>
                <w:sz w:val="20"/>
                <w:szCs w:val="20"/>
                <w:color w:val="auto"/>
              </w:rPr>
            </w:pPr>
            <w:r>
              <w:rPr>
                <w:rFonts w:ascii="Arial" w:cs="Arial" w:eastAsia="Arial" w:hAnsi="Arial"/>
                <w:sz w:val="18"/>
                <w:szCs w:val="18"/>
                <w:color w:val="auto"/>
              </w:rPr>
              <w:t>39,521,978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40,114,750</w:t>
            </w:r>
          </w:p>
        </w:tc>
      </w:tr>
      <w:tr>
        <w:trPr>
          <w:trHeight w:val="20"/>
        </w:trPr>
        <w:tc>
          <w:tcPr>
            <w:tcW w:w="4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460" w:type="dxa"/>
            <w:vAlign w:val="bottom"/>
          </w:tcPr>
          <w:p>
            <w:pPr>
              <w:spacing w:after="0"/>
              <w:rPr>
                <w:sz w:val="24"/>
                <w:szCs w:val="24"/>
                <w:color w:val="auto"/>
              </w:rPr>
            </w:pPr>
          </w:p>
        </w:tc>
        <w:tc>
          <w:tcPr>
            <w:tcW w:w="3460" w:type="dxa"/>
            <w:vAlign w:val="bottom"/>
            <w:gridSpan w:val="2"/>
          </w:tcPr>
          <w:p>
            <w:pPr>
              <w:jc w:val="right"/>
              <w:ind w:right="1933"/>
              <w:spacing w:after="0"/>
              <w:rPr>
                <w:sz w:val="20"/>
                <w:szCs w:val="20"/>
                <w:color w:val="auto"/>
              </w:rPr>
            </w:pPr>
            <w:r>
              <w:rPr>
                <w:rFonts w:ascii="Arial" w:cs="Arial" w:eastAsia="Arial" w:hAnsi="Arial"/>
                <w:sz w:val="18"/>
                <w:szCs w:val="18"/>
                <w:color w:val="auto"/>
              </w:rPr>
              <w:t>F-58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25" w:name="page226"/>
    <w:bookmarkEnd w:id="225"/>
    <w:p>
      <w:pPr>
        <w:ind w:left="4620"/>
        <w:spacing w:after="0"/>
        <w:rPr>
          <w:sz w:val="20"/>
          <w:szCs w:val="20"/>
          <w:color w:val="auto"/>
        </w:rPr>
      </w:pPr>
      <w:r>
        <w:rPr>
          <w:rFonts w:ascii="Arial" w:cs="Arial" w:eastAsia="Arial" w:hAnsi="Arial"/>
          <w:sz w:val="32"/>
          <w:szCs w:val="32"/>
          <w:b w:val="1"/>
          <w:bCs w:val="1"/>
          <w:i w:val="1"/>
          <w:iCs w:val="1"/>
          <w:color w:val="auto"/>
        </w:rPr>
        <w:t>3,250,000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372745</wp:posOffset>
            </wp:positionV>
            <wp:extent cx="3164205" cy="13379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6420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__________________________</w:t>
      </w: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Prospectus</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__________________________</w:t>
      </w: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Goldman Sachs &amp; Co. LLC</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J.P. Morgan</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Credit Suisse</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BofA Merrill Lynch</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Jefferies</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William Blair</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Raymond James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25"/>
          <w:szCs w:val="25"/>
          <w:color w:val="auto"/>
        </w:rPr>
        <w:t>,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7"/>
          <w:szCs w:val="17"/>
          <w:color w:val="auto"/>
        </w:rPr>
        <w:t>, 2019 (the 25th day after the date of this prospectus), all dealers that buy, sell or trade in our common shares,</w:t>
      </w:r>
    </w:p>
    <w:p>
      <w:pPr>
        <w:spacing w:after="0" w:line="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300"/>
          </w:cols>
          <w:pgMar w:left="240" w:top="346" w:right="3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by us in connection with the offering described in this registration statement. All amounts shown are estimates other than the registration fee, the FINRA filing fee and the listing fee.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jc w:val="center"/>
              <w:ind w:right="154"/>
              <w:spacing w:after="0"/>
              <w:rPr>
                <w:sz w:val="20"/>
                <w:szCs w:val="20"/>
                <w:color w:val="auto"/>
              </w:rPr>
            </w:pPr>
            <w:r>
              <w:rPr>
                <w:rFonts w:ascii="Arial" w:cs="Arial" w:eastAsia="Arial" w:hAnsi="Arial"/>
                <w:sz w:val="14"/>
                <w:szCs w:val="14"/>
                <w:b w:val="1"/>
                <w:bCs w:val="1"/>
                <w:color w:val="auto"/>
              </w:rPr>
              <w:t>Amount To</w:t>
            </w:r>
          </w:p>
        </w:tc>
      </w:tr>
      <w:tr>
        <w:trPr>
          <w:trHeight w:val="196"/>
        </w:trPr>
        <w:tc>
          <w:tcPr>
            <w:tcW w:w="9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Be Paid</w:t>
            </w:r>
          </w:p>
        </w:tc>
      </w:tr>
      <w:tr>
        <w:trPr>
          <w:trHeight w:val="25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90,688</w:t>
            </w:r>
          </w:p>
        </w:tc>
      </w:tr>
      <w:tr>
        <w:trPr>
          <w:trHeight w:val="263"/>
        </w:trPr>
        <w:tc>
          <w:tcPr>
            <w:tcW w:w="936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24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106,616</w:t>
            </w:r>
          </w:p>
        </w:tc>
      </w:tr>
      <w:tr>
        <w:trPr>
          <w:trHeight w:val="277"/>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agent’s fees</w:t>
            </w: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40,000</w:t>
            </w:r>
          </w:p>
        </w:tc>
      </w:tr>
      <w:tr>
        <w:trPr>
          <w:trHeight w:val="263"/>
        </w:trPr>
        <w:tc>
          <w:tcPr>
            <w:tcW w:w="936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24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110,000</w:t>
            </w:r>
          </w:p>
        </w:tc>
      </w:tr>
      <w:tr>
        <w:trPr>
          <w:trHeight w:val="277"/>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1,115,000</w:t>
            </w:r>
          </w:p>
        </w:tc>
      </w:tr>
      <w:tr>
        <w:trPr>
          <w:trHeight w:val="263"/>
        </w:trPr>
        <w:tc>
          <w:tcPr>
            <w:tcW w:w="936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125,000</w:t>
            </w:r>
          </w:p>
        </w:tc>
      </w:tr>
      <w:tr>
        <w:trPr>
          <w:trHeight w:val="270"/>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140,696</w:t>
            </w:r>
          </w:p>
        </w:tc>
      </w:tr>
      <w:tr>
        <w:trPr>
          <w:trHeight w:val="243"/>
        </w:trPr>
        <w:tc>
          <w:tcPr>
            <w:tcW w:w="93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1,728,000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50" w:lineRule="exact"/>
        <w:rPr>
          <w:sz w:val="20"/>
          <w:szCs w:val="20"/>
          <w:color w:val="auto"/>
        </w:rPr>
      </w:pPr>
    </w:p>
    <w:p>
      <w:pPr>
        <w:ind w:right="300" w:firstLine="324"/>
        <w:spacing w:after="0" w:line="252"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Our amended and restated bylaws provide for indemnification by the registrant of its directors, officers and employees to the fullest extent permitted by the Delaware General Corporation Law.</w:t>
      </w:r>
    </w:p>
    <w:p>
      <w:pPr>
        <w:spacing w:after="0" w:line="15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Our amended and restated certificate of incorporation provides for such limitation of liability.</w:t>
      </w:r>
    </w:p>
    <w:p>
      <w:pPr>
        <w:spacing w:after="0" w:line="155"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8" w:right="239" w:bottom="1440" w:gutter="0" w:footer="0" w:header="0"/>
        </w:sectPr>
      </w:pPr>
    </w:p>
    <w:bookmarkStart w:id="227" w:name="page228"/>
    <w:bookmarkEnd w:id="227"/>
    <w:p>
      <w:pPr>
        <w:ind w:right="80" w:firstLine="324"/>
        <w:spacing w:after="0" w:line="256"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years preceding the filing of this Registration Statement, we have issued and sold the following unregistered securities:</w:t>
      </w:r>
    </w:p>
    <w:p>
      <w:pPr>
        <w:spacing w:after="0" w:line="171" w:lineRule="exact"/>
        <w:rPr>
          <w:sz w:val="20"/>
          <w:szCs w:val="20"/>
          <w:color w:val="auto"/>
        </w:rPr>
      </w:pPr>
    </w:p>
    <w:p>
      <w:pPr>
        <w:ind w:left="660" w:right="100" w:hanging="328"/>
        <w:spacing w:after="0" w:line="252"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Since November 1, 2015, we granted 5,898,723 stock options to purchase shares of our common stock to our employees, directors and consultants at a weighted average exercise price of $3.86 per share under our 2011 Equity Incentive Plan. We also granted options to purchase 1,098,999 shares of our common stock effective upon our IPO and having an exercise price equal to the initial public offering price of our common stock in the IPO. We also issued and sold an aggregate of 3,876,000 shares of our common stock to our employees, directors and consultants at a weighted average exercise price of $0.99 per share pursuant to restricted stock issuances and exercises of options granted under our 2011 Equity Incentive Plan.</w:t>
      </w:r>
    </w:p>
    <w:p>
      <w:pPr>
        <w:spacing w:after="0" w:line="154" w:lineRule="exact"/>
        <w:rPr>
          <w:rFonts w:ascii="Arial" w:cs="Arial" w:eastAsia="Arial" w:hAnsi="Arial"/>
          <w:sz w:val="18"/>
          <w:szCs w:val="18"/>
          <w:color w:val="auto"/>
        </w:rPr>
      </w:pPr>
    </w:p>
    <w:p>
      <w:pPr>
        <w:ind w:left="660" w:right="280" w:hanging="328"/>
        <w:spacing w:after="0" w:line="25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October 2, 2015 through January 29, 2016, we issued and sold an aggregate of 4,701,449 shares of our Series E convertible preferred stock at a purchase price of $3.68 per share, for aggregate consideration of approximately $17,300,000. Such issuances were deemed to be exempt from registration under the Securities Act in reliance on Rule 506(b) of Regulation D promulgated under Section 4(a)(2) of the Securities Act.</w:t>
      </w:r>
    </w:p>
    <w:p>
      <w:pPr>
        <w:spacing w:after="0" w:line="150"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On June 6, 2016 we issued a warrant to purchase up to an aggregate of 39,073 shares of our Series E convertible preferred stock at an exercise price of $3.68 per share in connection with the extension of a line of credit from Silicon Valley Bank. Such issuance was deemed to be exempt from registration under the Securities Act in reliance on Section 4(a)(2) of the Securities Act as transactions by an issuer not involving a public offering.</w:t>
      </w:r>
    </w:p>
    <w:p>
      <w:pPr>
        <w:spacing w:after="0" w:line="150"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September 9, 2016 through September 12, 2016, we issued and sold subordinated convertible promissory notes in an aggregate principal amount of $4,000,000 at face value. Such issuances were deemed to be exempt from registration under the Securities Act in reliance on Section 4(a)(2) of the Securities Act as transactions by an issuer not involving a public offering.</w:t>
      </w:r>
    </w:p>
    <w:p>
      <w:pPr>
        <w:spacing w:after="0" w:line="147" w:lineRule="exact"/>
        <w:rPr>
          <w:rFonts w:ascii="Arial" w:cs="Arial" w:eastAsia="Arial" w:hAnsi="Arial"/>
          <w:sz w:val="18"/>
          <w:szCs w:val="18"/>
          <w:color w:val="auto"/>
        </w:rPr>
      </w:pPr>
    </w:p>
    <w:p>
      <w:pPr>
        <w:ind w:left="660" w:right="280" w:hanging="328"/>
        <w:spacing w:after="0" w:line="25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October 7, 2016 through June 26, 2017, we issued and sold an aggregate of 4,866,758 shares of our Series F convertible preferred stock at a purchase price of $6.19 per share, for aggregate consideration of approximately $30,100,000. Such issuances were deemed to be exempt from registration under the Securities Act in reliance on Rule 506(b) of Regulation D promulgated under Section 4(a)(2) of the Securities Act.</w:t>
      </w:r>
    </w:p>
    <w:p>
      <w:pPr>
        <w:spacing w:after="0" w:line="150"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August 1, 2017 through November 3, 2017, we issued and sold subordinated convertible promissory notes in an aggregate principal amount of $10,000,000 at face value. Such issuances were deemed to be exempt from registration under the Securities Act in reliance on Rule 506(b) of Regulation D promulgated under Section 4(a)(2) of the Securities Act.</w:t>
      </w:r>
    </w:p>
    <w:p>
      <w:pPr>
        <w:spacing w:after="0" w:line="147" w:lineRule="exact"/>
        <w:rPr>
          <w:rFonts w:ascii="Arial" w:cs="Arial" w:eastAsia="Arial" w:hAnsi="Arial"/>
          <w:sz w:val="18"/>
          <w:szCs w:val="18"/>
          <w:color w:val="auto"/>
        </w:rPr>
      </w:pPr>
    </w:p>
    <w:p>
      <w:pPr>
        <w:ind w:left="660" w:right="140" w:hanging="328"/>
        <w:spacing w:after="0" w:line="25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November 22, 2017 through June 29, 2018, we issued and sold an aggregate of 5,114,786 shares of our Series G stock at a purchase price of $10.94 per share, for aggregate consideration of approximately $55,953,000. Such issuances were deemed to be exempt from registration under the Securities Act in reliance on Rule 506(b) of Regulation D promulgated under Section 4(a)(2) of the Securities Act.</w:t>
      </w:r>
    </w:p>
    <w:p>
      <w:pPr>
        <w:spacing w:after="0" w:line="150"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On June 27, 2018, we issued warrants to purchase up to an aggregate of 60,002 shares of our common stock at an exercise price of $3.00 per share in connection with the extension of a line of credit and a term loan from Silicon Valley Bank. Such issuances were deemed to be exempt from registration under the Securities Act in reliance on Section 4(a)(2) of the Securities Act as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382" w:right="259" w:bottom="1440" w:gutter="0" w:footer="0" w:header="0"/>
        </w:sectPr>
      </w:pPr>
    </w:p>
    <w:bookmarkStart w:id="228" w:name="page229"/>
    <w:bookmarkEnd w:id="228"/>
    <w:p>
      <w:pPr>
        <w:ind w:left="660"/>
        <w:spacing w:after="0"/>
        <w:rPr>
          <w:sz w:val="20"/>
          <w:szCs w:val="20"/>
          <w:color w:val="auto"/>
        </w:rPr>
      </w:pPr>
      <w:r>
        <w:rPr>
          <w:rFonts w:ascii="Arial" w:cs="Arial" w:eastAsia="Arial" w:hAnsi="Arial"/>
          <w:sz w:val="18"/>
          <w:szCs w:val="18"/>
          <w:color w:val="auto"/>
        </w:rPr>
        <w:t>transactions by an issuer not involving a public offering.</w:t>
      </w:r>
    </w:p>
    <w:p>
      <w:pPr>
        <w:spacing w:after="0" w:line="185" w:lineRule="exact"/>
        <w:rPr>
          <w:sz w:val="20"/>
          <w:szCs w:val="20"/>
          <w:color w:val="auto"/>
        </w:rPr>
      </w:pPr>
    </w:p>
    <w:p>
      <w:pPr>
        <w:ind w:left="660" w:hanging="328"/>
        <w:spacing w:after="0" w:line="256"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From October 5, 2018 to November 2, 2018, we issued and sold an aggregate of 2,075,216 shares of our Series H stock at a purchase price of $24.23 per share, for aggregate consideration of approximately $50,283,000. Such issuances were deemed to be exempt under Section 4(a)(2) of the Securities Act as transactions by an issuer not involving a public offering.</w:t>
      </w:r>
    </w:p>
    <w:p>
      <w:pPr>
        <w:spacing w:after="0" w:line="148" w:lineRule="exact"/>
        <w:rPr>
          <w:sz w:val="20"/>
          <w:szCs w:val="20"/>
          <w:color w:val="auto"/>
        </w:rPr>
      </w:pPr>
    </w:p>
    <w:p>
      <w:pPr>
        <w:ind w:left="660" w:right="300" w:hanging="323"/>
        <w:spacing w:after="0" w:line="254" w:lineRule="auto"/>
        <w:rPr>
          <w:sz w:val="20"/>
          <w:szCs w:val="20"/>
          <w:color w:val="auto"/>
        </w:rPr>
      </w:pPr>
      <w:r>
        <w:rPr>
          <w:rFonts w:ascii="Arial" w:cs="Arial" w:eastAsia="Arial" w:hAnsi="Arial"/>
          <w:sz w:val="18"/>
          <w:szCs w:val="18"/>
          <w:color w:val="auto"/>
        </w:rPr>
        <w:t>(10)During the quarter ended June 29, 2019, we sold an aggregate of 14,950 shares of restricted common stock issued under our 2011 Equity Incentive Plan to various brand ambassadors at a purchase price of $0.01 per share for an aggregate consideration of approximately $150. Such issuances were deemed to be exempt under Section 4(a)(2) of the Securities Act as transactions by an issuer not involving a public offering.</w:t>
      </w:r>
    </w:p>
    <w:p>
      <w:pPr>
        <w:spacing w:after="0" w:line="150" w:lineRule="exact"/>
        <w:rPr>
          <w:sz w:val="20"/>
          <w:szCs w:val="20"/>
          <w:color w:val="auto"/>
        </w:rPr>
      </w:pPr>
    </w:p>
    <w:p>
      <w:pPr>
        <w:ind w:left="660" w:right="240" w:hanging="323"/>
        <w:spacing w:after="0" w:line="256" w:lineRule="auto"/>
        <w:rPr>
          <w:sz w:val="20"/>
          <w:szCs w:val="20"/>
          <w:color w:val="auto"/>
        </w:rPr>
      </w:pPr>
      <w:r>
        <w:rPr>
          <w:rFonts w:ascii="Arial" w:cs="Arial" w:eastAsia="Arial" w:hAnsi="Arial"/>
          <w:sz w:val="18"/>
          <w:szCs w:val="18"/>
          <w:color w:val="auto"/>
        </w:rPr>
        <w:t>(11)During the quarter ended June 29, 2019, we issued and sold an aggregate of 109,978 shares of our common stock to current and former employees and consultants at a weighted average exercise price of $1.34 per share pursuant to exercises of options granted under our 2011 Equity Incentive Plan for aggregate cash consideration of approximately $147,854.</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stock options and the common stock issuable upon the exercise of such options described in paragraph (1) of this Item 15 were issued under the 2011 Equity Incentive Plan in reliance on the exemption provided by Rule 701 promulgated under the Securities Act. Each of the recipients of securities in these transactions had adequate access, through employment, business or other relationships, to information about us.</w:t>
      </w:r>
    </w:p>
    <w:p>
      <w:pPr>
        <w:spacing w:after="0" w:line="150"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The offer, sale, and issuance of the securities described in paragraphs (2) through (11) of this Item 15 were deemed to be exempt from registration under the Securities Act in reliance on Section 4(a)(2) of the Securities Act as transactions by an issuer not involving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as defined in Rule 501 of Regulation D promulgated under the Securities Act.</w:t>
      </w:r>
    </w:p>
    <w:p>
      <w:pPr>
        <w:spacing w:after="0" w:line="1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All certificates representing the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09" w:right="2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93" w:lineRule="exact"/>
        <w:rPr>
          <w:sz w:val="20"/>
          <w:szCs w:val="20"/>
          <w:color w:val="auto"/>
        </w:rPr>
      </w:pPr>
    </w:p>
    <w:p>
      <w:pPr>
        <w:ind w:left="600" w:hanging="268"/>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315"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6"/>
          <w:szCs w:val="16"/>
          <w:b w:val="1"/>
          <w:bCs w:val="1"/>
          <w:color w:val="auto"/>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1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Exhibit No.</w:t>
            </w:r>
          </w:p>
        </w:tc>
        <w:tc>
          <w:tcPr>
            <w:tcW w:w="1200" w:type="dxa"/>
            <w:vAlign w:val="bottom"/>
          </w:tcPr>
          <w:p>
            <w:pPr>
              <w:spacing w:after="0"/>
              <w:rPr>
                <w:sz w:val="19"/>
                <w:szCs w:val="19"/>
                <w:color w:val="auto"/>
              </w:rPr>
            </w:pPr>
          </w:p>
        </w:tc>
        <w:tc>
          <w:tcPr>
            <w:tcW w:w="4040" w:type="dxa"/>
            <w:vAlign w:val="bottom"/>
            <w:gridSpan w:val="7"/>
          </w:tcPr>
          <w:p>
            <w:pPr>
              <w:ind w:left="600"/>
              <w:spacing w:after="0"/>
              <w:rPr>
                <w:sz w:val="20"/>
                <w:szCs w:val="20"/>
                <w:color w:val="auto"/>
              </w:rPr>
            </w:pPr>
            <w:r>
              <w:rPr>
                <w:rFonts w:ascii="Arial" w:cs="Arial" w:eastAsia="Arial" w:hAnsi="Arial"/>
                <w:sz w:val="16"/>
                <w:szCs w:val="16"/>
                <w:b w:val="1"/>
                <w:bCs w:val="1"/>
                <w:color w:val="auto"/>
              </w:rPr>
              <w:t>Exhibit Description</w:t>
            </w:r>
          </w:p>
        </w:tc>
        <w:tc>
          <w:tcPr>
            <w:tcW w:w="640" w:type="dxa"/>
            <w:vAlign w:val="bottom"/>
          </w:tcPr>
          <w:p>
            <w:pPr>
              <w:spacing w:after="0"/>
              <w:rPr>
                <w:sz w:val="19"/>
                <w:szCs w:val="19"/>
                <w:color w:val="auto"/>
              </w:rPr>
            </w:pPr>
          </w:p>
        </w:tc>
        <w:tc>
          <w:tcPr>
            <w:tcW w:w="2760" w:type="dxa"/>
            <w:vAlign w:val="bottom"/>
            <w:gridSpan w:val="5"/>
          </w:tcPr>
          <w:p>
            <w:pPr>
              <w:ind w:left="2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264"/>
        </w:trPr>
        <w:tc>
          <w:tcPr>
            <w:tcW w:w="1380" w:type="dxa"/>
            <w:vAlign w:val="bottom"/>
            <w:tcBorders>
              <w:top w:val="single" w:sz="8" w:color="auto"/>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08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center"/>
              <w:ind w:left="71"/>
              <w:spacing w:after="0"/>
              <w:rPr>
                <w:sz w:val="20"/>
                <w:szCs w:val="20"/>
                <w:color w:val="auto"/>
              </w:rPr>
            </w:pPr>
            <w:r>
              <w:rPr>
                <w:rFonts w:ascii="Arial" w:cs="Arial" w:eastAsia="Arial" w:hAnsi="Arial"/>
                <w:sz w:val="16"/>
                <w:szCs w:val="16"/>
                <w:b w:val="1"/>
                <w:bCs w:val="1"/>
                <w:color w:val="auto"/>
                <w:w w:val="99"/>
              </w:rPr>
              <w:t>Form</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r>
      <w:tr>
        <w:trPr>
          <w:trHeight w:val="189"/>
        </w:trPr>
        <w:tc>
          <w:tcPr>
            <w:tcW w:w="13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1.1</w:t>
            </w:r>
          </w:p>
        </w:tc>
        <w:tc>
          <w:tcPr>
            <w:tcW w:w="160" w:type="dxa"/>
            <w:vAlign w:val="bottom"/>
            <w:tcBorders>
              <w:right w:val="single" w:sz="8" w:color="CCEEFF"/>
            </w:tcBorders>
            <w:shd w:val="clear" w:color="auto" w:fill="CCEEFF"/>
          </w:tcPr>
          <w:p>
            <w:pPr>
              <w:spacing w:after="0"/>
              <w:rPr>
                <w:sz w:val="16"/>
                <w:szCs w:val="16"/>
                <w:color w:val="auto"/>
              </w:rPr>
            </w:pPr>
          </w:p>
        </w:tc>
        <w:tc>
          <w:tcPr>
            <w:tcW w:w="5240" w:type="dxa"/>
            <w:vAlign w:val="bottom"/>
            <w:gridSpan w:val="8"/>
            <w:shd w:val="clear" w:color="auto" w:fill="CCEEFF"/>
          </w:tcPr>
          <w:p>
            <w:pPr>
              <w:spacing w:after="0" w:line="170" w:lineRule="exact"/>
              <w:rPr>
                <w:rFonts w:ascii="Arial" w:cs="Arial" w:eastAsia="Arial" w:hAnsi="Arial"/>
                <w:sz w:val="18"/>
                <w:szCs w:val="18"/>
                <w:color w:val="0000FF"/>
              </w:rPr>
            </w:pPr>
            <w:hyperlink r:id="rId98">
              <w:r>
                <w:rPr>
                  <w:rFonts w:ascii="Arial" w:cs="Arial" w:eastAsia="Arial" w:hAnsi="Arial"/>
                  <w:sz w:val="18"/>
                  <w:szCs w:val="18"/>
                  <w:color w:val="0000FF"/>
                </w:rPr>
                <w:t>Form of Underwriting Agreement</w:t>
              </w:r>
            </w:hyperlink>
          </w:p>
        </w:tc>
        <w:tc>
          <w:tcPr>
            <w:tcW w:w="640" w:type="dxa"/>
            <w:vAlign w:val="bottom"/>
            <w:shd w:val="clear" w:color="auto" w:fill="CCEEFF"/>
          </w:tcPr>
          <w:p>
            <w:pPr>
              <w:jc w:val="center"/>
              <w:ind w:left="71"/>
              <w:spacing w:after="0" w:line="170" w:lineRule="exact"/>
              <w:rPr>
                <w:sz w:val="20"/>
                <w:szCs w:val="20"/>
                <w:color w:val="auto"/>
              </w:rPr>
            </w:pPr>
            <w:r>
              <w:rPr>
                <w:rFonts w:ascii="Arial" w:cs="Arial" w:eastAsia="Arial" w:hAnsi="Arial"/>
                <w:sz w:val="18"/>
                <w:szCs w:val="18"/>
                <w:color w:val="auto"/>
                <w:w w:val="99"/>
              </w:rPr>
              <w:t>S-1</w:t>
            </w:r>
          </w:p>
        </w:tc>
        <w:tc>
          <w:tcPr>
            <w:tcW w:w="1620" w:type="dxa"/>
            <w:vAlign w:val="bottom"/>
            <w:gridSpan w:val="3"/>
            <w:shd w:val="clear" w:color="auto" w:fill="CCEEFF"/>
          </w:tcPr>
          <w:p>
            <w:pPr>
              <w:jc w:val="center"/>
              <w:ind w:left="171"/>
              <w:spacing w:after="0" w:line="170" w:lineRule="exact"/>
              <w:rPr>
                <w:sz w:val="20"/>
                <w:szCs w:val="20"/>
                <w:color w:val="auto"/>
              </w:rPr>
            </w:pPr>
            <w:r>
              <w:rPr>
                <w:rFonts w:ascii="Arial" w:cs="Arial" w:eastAsia="Arial" w:hAnsi="Arial"/>
                <w:sz w:val="18"/>
                <w:szCs w:val="18"/>
                <w:color w:val="auto"/>
                <w:w w:val="99"/>
              </w:rPr>
              <w:t>7/29/2019</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1.1</w:t>
            </w:r>
          </w:p>
        </w:tc>
        <w:tc>
          <w:tcPr>
            <w:tcW w:w="1240" w:type="dxa"/>
            <w:vAlign w:val="bottom"/>
            <w:gridSpan w:val="2"/>
            <w:shd w:val="clear" w:color="auto" w:fill="CCEEFF"/>
          </w:tcPr>
          <w:p>
            <w:pPr>
              <w:jc w:val="center"/>
              <w:ind w:left="10"/>
              <w:spacing w:after="0" w:line="170" w:lineRule="exact"/>
              <w:rPr>
                <w:sz w:val="20"/>
                <w:szCs w:val="20"/>
                <w:color w:val="auto"/>
              </w:rPr>
            </w:pPr>
            <w:r>
              <w:rPr>
                <w:rFonts w:ascii="Arial" w:cs="Arial" w:eastAsia="Arial" w:hAnsi="Arial"/>
                <w:sz w:val="18"/>
                <w:szCs w:val="18"/>
                <w:color w:val="auto"/>
                <w:w w:val="84"/>
              </w:rPr>
              <w:t>*</w:t>
            </w: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7"/>
                <w:szCs w:val="17"/>
                <w:color w:val="auto"/>
              </w:rPr>
            </w:pPr>
          </w:p>
        </w:tc>
        <w:tc>
          <w:tcPr>
            <w:tcW w:w="5240" w:type="dxa"/>
            <w:vAlign w:val="bottom"/>
            <w:gridSpan w:val="8"/>
          </w:tcPr>
          <w:p>
            <w:pPr>
              <w:spacing w:after="0" w:line="202" w:lineRule="exact"/>
              <w:rPr>
                <w:rFonts w:ascii="Arial" w:cs="Arial" w:eastAsia="Arial" w:hAnsi="Arial"/>
                <w:sz w:val="18"/>
                <w:szCs w:val="18"/>
                <w:color w:val="0000FF"/>
              </w:rPr>
            </w:pPr>
            <w:hyperlink r:id="rId99">
              <w:r>
                <w:rPr>
                  <w:rFonts w:ascii="Arial" w:cs="Arial" w:eastAsia="Arial" w:hAnsi="Arial"/>
                  <w:sz w:val="18"/>
                  <w:szCs w:val="18"/>
                  <w:color w:val="0000FF"/>
                </w:rPr>
                <w:t>Restated Certificate of Incorporation.</w:t>
              </w:r>
            </w:hyperlink>
          </w:p>
        </w:tc>
        <w:tc>
          <w:tcPr>
            <w:tcW w:w="640" w:type="dxa"/>
            <w:vAlign w:val="bottom"/>
          </w:tcPr>
          <w:p>
            <w:pPr>
              <w:jc w:val="center"/>
              <w:ind w:left="71"/>
              <w:spacing w:after="0" w:line="202" w:lineRule="exact"/>
              <w:rPr>
                <w:sz w:val="20"/>
                <w:szCs w:val="20"/>
                <w:color w:val="auto"/>
              </w:rPr>
            </w:pPr>
            <w:r>
              <w:rPr>
                <w:rFonts w:ascii="Arial" w:cs="Arial" w:eastAsia="Arial" w:hAnsi="Arial"/>
                <w:sz w:val="18"/>
                <w:szCs w:val="18"/>
                <w:color w:val="auto"/>
                <w:w w:val="99"/>
              </w:rPr>
              <w:t>10-Q</w:t>
            </w:r>
          </w:p>
        </w:tc>
        <w:tc>
          <w:tcPr>
            <w:tcW w:w="1620" w:type="dxa"/>
            <w:vAlign w:val="bottom"/>
            <w:gridSpan w:val="3"/>
          </w:tcPr>
          <w:p>
            <w:pPr>
              <w:jc w:val="center"/>
              <w:ind w:left="171"/>
              <w:spacing w:after="0" w:line="202" w:lineRule="exact"/>
              <w:rPr>
                <w:sz w:val="20"/>
                <w:szCs w:val="20"/>
                <w:color w:val="auto"/>
              </w:rPr>
            </w:pPr>
            <w:r>
              <w:rPr>
                <w:rFonts w:ascii="Arial" w:cs="Arial" w:eastAsia="Arial" w:hAnsi="Arial"/>
                <w:sz w:val="18"/>
                <w:szCs w:val="18"/>
                <w:color w:val="auto"/>
                <w:w w:val="99"/>
              </w:rPr>
              <w:t>6/12/2019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5"/>
              </w:rPr>
              <w:t>3.1</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48"/>
        </w:trPr>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3.2</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560" w:type="dxa"/>
            <w:vAlign w:val="bottom"/>
            <w:tcBorders>
              <w:bottom w:val="single" w:sz="8" w:color="0000FF"/>
            </w:tcBorders>
            <w:gridSpan w:val="2"/>
            <w:shd w:val="clear" w:color="auto" w:fill="CCEEFF"/>
          </w:tcPr>
          <w:p>
            <w:pPr>
              <w:spacing w:after="0" w:line="20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Amended and Restated Bylaws.</w:t>
              </w:r>
            </w:hyperlink>
          </w:p>
        </w:tc>
        <w:tc>
          <w:tcPr>
            <w:tcW w:w="2680" w:type="dxa"/>
            <w:vAlign w:val="bottom"/>
            <w:tcBorders>
              <w:bottom w:val="single" w:sz="8" w:color="CCEEFF"/>
            </w:tcBorders>
            <w:gridSpan w:val="6"/>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w w:val="99"/>
              </w:rPr>
              <w:t>10-Q</w:t>
            </w:r>
          </w:p>
        </w:tc>
        <w:tc>
          <w:tcPr>
            <w:tcW w:w="1620" w:type="dxa"/>
            <w:vAlign w:val="bottom"/>
            <w:tcBorders>
              <w:bottom w:val="single" w:sz="8" w:color="CCEEFF"/>
            </w:tcBorders>
            <w:gridSpan w:val="3"/>
            <w:shd w:val="clear" w:color="auto" w:fill="CCEEFF"/>
          </w:tcPr>
          <w:p>
            <w:pPr>
              <w:jc w:val="center"/>
              <w:ind w:left="171"/>
              <w:spacing w:after="0" w:line="202" w:lineRule="exact"/>
              <w:rPr>
                <w:sz w:val="20"/>
                <w:szCs w:val="20"/>
                <w:color w:val="auto"/>
              </w:rPr>
            </w:pPr>
            <w:r>
              <w:rPr>
                <w:rFonts w:ascii="Arial" w:cs="Arial" w:eastAsia="Arial" w:hAnsi="Arial"/>
                <w:sz w:val="18"/>
                <w:szCs w:val="18"/>
                <w:color w:val="auto"/>
                <w:w w:val="99"/>
              </w:rPr>
              <w:t>6/12/2019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3.2</w:t>
            </w:r>
          </w:p>
        </w:tc>
        <w:tc>
          <w:tcPr>
            <w:tcW w:w="1240" w:type="dxa"/>
            <w:vAlign w:val="bottom"/>
            <w:tcBorders>
              <w:bottom w:val="single" w:sz="8" w:color="CCEEFF"/>
            </w:tcBorders>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17"/>
                <w:szCs w:val="17"/>
                <w:color w:val="auto"/>
              </w:rPr>
            </w:pPr>
          </w:p>
        </w:tc>
        <w:tc>
          <w:tcPr>
            <w:tcW w:w="5240" w:type="dxa"/>
            <w:vAlign w:val="bottom"/>
            <w:gridSpan w:val="8"/>
          </w:tcPr>
          <w:p>
            <w:pPr>
              <w:spacing w:after="0" w:line="202" w:lineRule="exact"/>
              <w:rPr>
                <w:rFonts w:ascii="Arial" w:cs="Arial" w:eastAsia="Arial" w:hAnsi="Arial"/>
                <w:sz w:val="18"/>
                <w:szCs w:val="18"/>
                <w:color w:val="0000FF"/>
              </w:rPr>
            </w:pPr>
            <w:hyperlink r:id="rId101">
              <w:r>
                <w:rPr>
                  <w:rFonts w:ascii="Arial" w:cs="Arial" w:eastAsia="Arial" w:hAnsi="Arial"/>
                  <w:sz w:val="18"/>
                  <w:szCs w:val="18"/>
                  <w:color w:val="0000FF"/>
                </w:rPr>
                <w:t>Form of Common Stock Certificate.</w:t>
              </w:r>
            </w:hyperlink>
          </w:p>
        </w:tc>
        <w:tc>
          <w:tcPr>
            <w:tcW w:w="640" w:type="dxa"/>
            <w:vAlign w:val="bottom"/>
          </w:tcPr>
          <w:p>
            <w:pPr>
              <w:jc w:val="center"/>
              <w:ind w:left="51"/>
              <w:spacing w:after="0" w:line="202" w:lineRule="exact"/>
              <w:rPr>
                <w:sz w:val="20"/>
                <w:szCs w:val="20"/>
                <w:color w:val="auto"/>
              </w:rPr>
            </w:pPr>
            <w:r>
              <w:rPr>
                <w:rFonts w:ascii="Arial" w:cs="Arial" w:eastAsia="Arial" w:hAnsi="Arial"/>
                <w:sz w:val="18"/>
                <w:szCs w:val="18"/>
                <w:color w:val="auto"/>
              </w:rPr>
              <w:t>S-1/A</w:t>
            </w:r>
          </w:p>
        </w:tc>
        <w:tc>
          <w:tcPr>
            <w:tcW w:w="1620" w:type="dxa"/>
            <w:vAlign w:val="bottom"/>
            <w:gridSpan w:val="3"/>
          </w:tcPr>
          <w:p>
            <w:pPr>
              <w:jc w:val="center"/>
              <w:ind w:left="171"/>
              <w:spacing w:after="0" w:line="202" w:lineRule="exact"/>
              <w:rPr>
                <w:sz w:val="20"/>
                <w:szCs w:val="20"/>
                <w:color w:val="auto"/>
              </w:rPr>
            </w:pPr>
            <w:r>
              <w:rPr>
                <w:rFonts w:ascii="Arial" w:cs="Arial" w:eastAsia="Arial" w:hAnsi="Arial"/>
                <w:sz w:val="18"/>
                <w:szCs w:val="18"/>
                <w:color w:val="auto"/>
                <w:w w:val="99"/>
              </w:rPr>
              <w:t>3/27/2019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5"/>
              </w:rPr>
              <w:t>4.1</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48"/>
        </w:trPr>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4.2</w:t>
            </w:r>
          </w:p>
        </w:tc>
        <w:tc>
          <w:tcPr>
            <w:tcW w:w="160" w:type="dxa"/>
            <w:vAlign w:val="bottom"/>
            <w:tcBorders>
              <w:right w:val="single" w:sz="8" w:color="CCEEFF"/>
            </w:tcBorders>
            <w:shd w:val="clear" w:color="auto" w:fill="CCEEFF"/>
          </w:tcPr>
          <w:p>
            <w:pPr>
              <w:spacing w:after="0"/>
              <w:rPr>
                <w:sz w:val="17"/>
                <w:szCs w:val="17"/>
                <w:color w:val="auto"/>
              </w:rPr>
            </w:pPr>
          </w:p>
        </w:tc>
        <w:tc>
          <w:tcPr>
            <w:tcW w:w="5240" w:type="dxa"/>
            <w:vAlign w:val="bottom"/>
            <w:gridSpan w:val="8"/>
            <w:shd w:val="clear" w:color="auto" w:fill="CCEEFF"/>
          </w:tcPr>
          <w:p>
            <w:pPr>
              <w:spacing w:after="0" w:line="202" w:lineRule="exact"/>
              <w:rPr>
                <w:rFonts w:ascii="Arial" w:cs="Arial" w:eastAsia="Arial" w:hAnsi="Arial"/>
                <w:sz w:val="18"/>
                <w:szCs w:val="18"/>
                <w:color w:val="0000FF"/>
              </w:rPr>
            </w:pPr>
            <w:hyperlink r:id="rId102">
              <w:r>
                <w:rPr>
                  <w:rFonts w:ascii="Arial" w:cs="Arial" w:eastAsia="Arial" w:hAnsi="Arial"/>
                  <w:sz w:val="18"/>
                  <w:szCs w:val="18"/>
                  <w:color w:val="0000FF"/>
                </w:rPr>
                <w:t>Amended and Restated Investors’ Rights Agreement, dated as</w:t>
              </w:r>
            </w:hyperlink>
          </w:p>
        </w:tc>
        <w:tc>
          <w:tcPr>
            <w:tcW w:w="640" w:type="dxa"/>
            <w:vAlign w:val="bottom"/>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w w:val="99"/>
              </w:rPr>
              <w:t>S-1</w:t>
            </w:r>
          </w:p>
        </w:tc>
        <w:tc>
          <w:tcPr>
            <w:tcW w:w="1620" w:type="dxa"/>
            <w:vAlign w:val="bottom"/>
            <w:gridSpan w:val="3"/>
            <w:shd w:val="clear" w:color="auto" w:fill="CCEEFF"/>
          </w:tcPr>
          <w:p>
            <w:pPr>
              <w:jc w:val="center"/>
              <w:ind w:left="191"/>
              <w:spacing w:after="0" w:line="202" w:lineRule="exact"/>
              <w:rPr>
                <w:sz w:val="20"/>
                <w:szCs w:val="20"/>
                <w:color w:val="auto"/>
              </w:rPr>
            </w:pPr>
            <w:r>
              <w:rPr>
                <w:rFonts w:ascii="Arial" w:cs="Arial" w:eastAsia="Arial" w:hAnsi="Arial"/>
                <w:sz w:val="18"/>
                <w:szCs w:val="18"/>
                <w:color w:val="auto"/>
                <w:w w:val="99"/>
              </w:rPr>
              <w:t>11/16/2018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4.2</w:t>
            </w:r>
          </w:p>
        </w:tc>
        <w:tc>
          <w:tcPr>
            <w:tcW w:w="124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20"/>
        </w:trPr>
        <w:tc>
          <w:tcPr>
            <w:tcW w:w="13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00" w:type="dxa"/>
            <w:vAlign w:val="bottom"/>
            <w:tcBorders>
              <w:right w:val="single" w:sz="8" w:color="CCEEFF"/>
            </w:tcBorders>
            <w:gridSpan w:val="5"/>
            <w:shd w:val="clear" w:color="auto" w:fill="0000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240" w:type="dxa"/>
            <w:vAlign w:val="bottom"/>
            <w:gridSpan w:val="8"/>
            <w:shd w:val="clear" w:color="auto" w:fill="CCEEF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of October 5, 2018, by and among the Registrant and the other</w:t>
              </w:r>
            </w:hyperlink>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3"/>
        </w:trPr>
        <w:tc>
          <w:tcPr>
            <w:tcW w:w="13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5000" w:type="dxa"/>
            <w:vAlign w:val="bottom"/>
            <w:tcBorders>
              <w:top w:val="single" w:sz="8" w:color="0000FF"/>
              <w:right w:val="single" w:sz="8" w:color="CCEEFF"/>
            </w:tcBorders>
            <w:gridSpan w:val="6"/>
            <w:shd w:val="clear" w:color="auto" w:fill="CCEEFF"/>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parties thereto.</w:t>
              </w:r>
            </w:hyperlink>
          </w:p>
        </w:tc>
        <w:tc>
          <w:tcPr>
            <w:tcW w:w="240" w:type="dxa"/>
            <w:vAlign w:val="bottom"/>
            <w:tcBorders>
              <w:top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bl>
    <w:p>
      <w:pPr>
        <w:spacing w:after="0" w:line="26" w:lineRule="exact"/>
        <w:rPr>
          <w:sz w:val="20"/>
          <w:szCs w:val="20"/>
          <w:color w:val="auto"/>
        </w:rPr>
      </w:pPr>
    </w:p>
    <w:p>
      <w:pPr>
        <w:sectPr>
          <w:pgSz w:w="11900" w:h="16838" w:orient="portrait"/>
          <w:cols w:equalWidth="0" w:num="1">
            <w:col w:w="11420"/>
          </w:cols>
          <w:pgMar w:left="240" w:top="468" w:right="239" w:bottom="1440" w:gutter="0" w:footer="0" w:header="0"/>
        </w:sectPr>
      </w:pPr>
    </w:p>
    <w:p>
      <w:pPr>
        <w:ind w:left="580"/>
        <w:spacing w:after="0"/>
        <w:rPr>
          <w:sz w:val="20"/>
          <w:szCs w:val="20"/>
          <w:color w:val="auto"/>
        </w:rPr>
      </w:pPr>
      <w:r>
        <w:rPr>
          <w:rFonts w:ascii="Arial" w:cs="Arial" w:eastAsia="Arial" w:hAnsi="Arial"/>
          <w:sz w:val="18"/>
          <w:szCs w:val="18"/>
          <w:color w:val="auto"/>
        </w:rPr>
        <w:t>5.1</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Opinion of Orrick, Herrington &amp; Sutcliffe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66040</wp:posOffset>
            </wp:positionV>
            <wp:extent cx="7246620" cy="420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11" w:lineRule="exact"/>
        <w:rPr>
          <w:sz w:val="20"/>
          <w:szCs w:val="20"/>
          <w:color w:val="auto"/>
        </w:rPr>
      </w:pPr>
    </w:p>
    <w:p>
      <w:pPr>
        <w:jc w:val="both"/>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Standard Industrial/Commercial Single-Tenant Lease, dated as</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of January 18, 2017, by and between Smoky Hollow Industries,</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LLC and Registrant with attachments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7/29/2019</w:t>
            </w: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5.1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9"/>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11/16/2018</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414" w:lineRule="exact"/>
        <w:rPr>
          <w:rFonts w:ascii="Arial" w:cs="Arial" w:eastAsia="Arial" w:hAnsi="Arial"/>
          <w:sz w:val="18"/>
          <w:szCs w:val="18"/>
          <w:u w:val="single" w:color="auto"/>
          <w:color w:val="0000FF"/>
        </w:rPr>
      </w:pPr>
    </w:p>
    <w:p>
      <w:pPr>
        <w:sectPr>
          <w:pgSz w:w="11900" w:h="16838" w:orient="portrait"/>
          <w:cols w:equalWidth="0" w:num="3">
            <w:col w:w="880" w:space="660"/>
            <w:col w:w="5020" w:space="480"/>
            <w:col w:w="4380"/>
          </w:cols>
          <w:pgMar w:left="240" w:top="46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center"/>
              <w:ind w:right="50"/>
              <w:spacing w:after="0"/>
              <w:rPr>
                <w:sz w:val="20"/>
                <w:szCs w:val="20"/>
                <w:color w:val="auto"/>
              </w:rPr>
            </w:pPr>
            <w:r>
              <w:rPr>
                <w:rFonts w:ascii="Arial" w:cs="Arial" w:eastAsia="Arial" w:hAnsi="Arial"/>
                <w:sz w:val="18"/>
                <w:szCs w:val="18"/>
                <w:color w:val="auto"/>
              </w:rPr>
              <w:t>10.2</w:t>
            </w:r>
          </w:p>
        </w:tc>
        <w:tc>
          <w:tcPr>
            <w:tcW w:w="4820" w:type="dxa"/>
            <w:vAlign w:val="bottom"/>
            <w:tcBorders>
              <w:bottom w:val="single" w:sz="8" w:color="0000FF"/>
            </w:tcBorders>
            <w:gridSpan w:val="12"/>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Lease, dated March 13, 2014, as amended, by and between</w:t>
              </w:r>
            </w:hyperlink>
          </w:p>
        </w:tc>
        <w:tc>
          <w:tcPr>
            <w:tcW w:w="420" w:type="dxa"/>
            <w:vAlign w:val="bottom"/>
            <w:gridSpan w:val="6"/>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11/16/2018</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rPr>
              <w:t>10.2</w:t>
            </w: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183"/>
        </w:trPr>
        <w:tc>
          <w:tcPr>
            <w:tcW w:w="1540" w:type="dxa"/>
            <w:vAlign w:val="bottom"/>
          </w:tcPr>
          <w:p>
            <w:pPr>
              <w:spacing w:after="0"/>
              <w:rPr>
                <w:sz w:val="15"/>
                <w:szCs w:val="15"/>
                <w:color w:val="auto"/>
              </w:rPr>
            </w:pPr>
          </w:p>
        </w:tc>
        <w:tc>
          <w:tcPr>
            <w:tcW w:w="5240" w:type="dxa"/>
            <w:vAlign w:val="bottom"/>
            <w:gridSpan w:val="18"/>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Sara Maguire LeMone as Trustee of the Sara Maguire LeMone</w:t>
              </w:r>
            </w:hyperlink>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48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Revocable Trust dated February 6, 2004 and Registrant and</w:t>
              </w:r>
            </w:hyperlink>
          </w:p>
        </w:tc>
        <w:tc>
          <w:tcPr>
            <w:tcW w:w="200" w:type="dxa"/>
            <w:vAlign w:val="bottom"/>
            <w:tcBorders>
              <w:top w:val="single" w:sz="8" w:color="0000FF"/>
            </w:tcBorders>
            <w:gridSpan w:val="5"/>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5240" w:type="dxa"/>
            <w:vAlign w:val="bottom"/>
            <w:gridSpan w:val="18"/>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amendment thereto dated November 1, 2017.</w:t>
              </w:r>
            </w:hyperlink>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
        </w:trPr>
        <w:tc>
          <w:tcPr>
            <w:tcW w:w="15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rPr>
              <w:t>10.3</w:t>
            </w:r>
          </w:p>
        </w:tc>
        <w:tc>
          <w:tcPr>
            <w:tcW w:w="5240" w:type="dxa"/>
            <w:vAlign w:val="bottom"/>
            <w:gridSpan w:val="18"/>
            <w:shd w:val="clear" w:color="auto" w:fill="CCEEFF"/>
          </w:tcPr>
          <w:p>
            <w:pPr>
              <w:spacing w:after="0" w:line="202" w:lineRule="exact"/>
              <w:rPr>
                <w:rFonts w:ascii="Arial" w:cs="Arial" w:eastAsia="Arial" w:hAnsi="Arial"/>
                <w:sz w:val="18"/>
                <w:szCs w:val="18"/>
                <w:color w:val="0000FF"/>
              </w:rPr>
            </w:pPr>
            <w:hyperlink r:id="rId107">
              <w:r>
                <w:rPr>
                  <w:rFonts w:ascii="Arial" w:cs="Arial" w:eastAsia="Arial" w:hAnsi="Arial"/>
                  <w:sz w:val="18"/>
                  <w:szCs w:val="18"/>
                  <w:color w:val="0000FF"/>
                </w:rPr>
                <w:t>Lease, dated October 12, 2017, by and between LeMone</w:t>
              </w:r>
            </w:hyperlink>
          </w:p>
        </w:tc>
        <w:tc>
          <w:tcPr>
            <w:tcW w:w="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4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rPr>
              <w:t>10.3</w:t>
            </w:r>
          </w:p>
        </w:tc>
        <w:tc>
          <w:tcPr>
            <w:tcW w:w="10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20"/>
        </w:trPr>
        <w:tc>
          <w:tcPr>
            <w:tcW w:w="1540" w:type="dxa"/>
            <w:vAlign w:val="bottom"/>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83"/>
        </w:trPr>
        <w:tc>
          <w:tcPr>
            <w:tcW w:w="1540" w:type="dxa"/>
            <w:vAlign w:val="bottom"/>
            <w:shd w:val="clear" w:color="auto" w:fill="CCEEFF"/>
          </w:tcPr>
          <w:p>
            <w:pPr>
              <w:spacing w:after="0"/>
              <w:rPr>
                <w:sz w:val="15"/>
                <w:szCs w:val="15"/>
                <w:color w:val="auto"/>
              </w:rPr>
            </w:pPr>
          </w:p>
        </w:tc>
        <w:tc>
          <w:tcPr>
            <w:tcW w:w="5240" w:type="dxa"/>
            <w:vAlign w:val="bottom"/>
            <w:gridSpan w:val="18"/>
            <w:shd w:val="clear" w:color="auto" w:fill="CCEEFF"/>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Family Limited Partnership, LLLP and Registrant as amended</w:t>
              </w:r>
            </w:hyperlink>
          </w:p>
        </w:tc>
        <w:tc>
          <w:tcPr>
            <w:tcW w:w="8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7"/>
        </w:trPr>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0000FF"/>
              <w:bottom w:val="single" w:sz="8" w:color="0000FF"/>
            </w:tcBorders>
            <w:gridSpan w:val="7"/>
            <w:shd w:val="clear" w:color="auto" w:fill="CCEEFF"/>
          </w:tcPr>
          <w:p>
            <w:pPr>
              <w:spacing w:after="0" w:line="182"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by the Lease Amendment dated April 18, 2018.</w:t>
              </w:r>
            </w:hyperlink>
          </w:p>
        </w:tc>
        <w:tc>
          <w:tcPr>
            <w:tcW w:w="1140" w:type="dxa"/>
            <w:vAlign w:val="bottom"/>
            <w:tcBorders>
              <w:top w:val="single" w:sz="8" w:color="0000FF"/>
              <w:bottom w:val="single" w:sz="8" w:color="CCEEFF"/>
            </w:tcBorders>
            <w:gridSpan w:val="7"/>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154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10.4</w:t>
            </w:r>
          </w:p>
        </w:tc>
        <w:tc>
          <w:tcPr>
            <w:tcW w:w="4320" w:type="dxa"/>
            <w:vAlign w:val="bottom"/>
            <w:tcBorders>
              <w:bottom w:val="single" w:sz="8" w:color="0000FF"/>
            </w:tcBorders>
            <w:gridSpan w:val="8"/>
          </w:tcPr>
          <w:p>
            <w:pPr>
              <w:spacing w:after="0" w:line="202"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Amended and Restated Loan and Security Agreement</w:t>
              </w:r>
            </w:hyperlink>
          </w:p>
        </w:tc>
        <w:tc>
          <w:tcPr>
            <w:tcW w:w="920" w:type="dxa"/>
            <w:vAlign w:val="bottom"/>
            <w:gridSpan w:val="10"/>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40" w:type="dxa"/>
            <w:vAlign w:val="bottom"/>
          </w:tcPr>
          <w:p>
            <w:pPr>
              <w:jc w:val="center"/>
              <w:ind w:right="70"/>
              <w:spacing w:after="0" w:line="202" w:lineRule="exact"/>
              <w:rPr>
                <w:sz w:val="20"/>
                <w:szCs w:val="20"/>
                <w:color w:val="auto"/>
              </w:rPr>
            </w:pPr>
            <w:r>
              <w:rPr>
                <w:rFonts w:ascii="Arial" w:cs="Arial" w:eastAsia="Arial" w:hAnsi="Arial"/>
                <w:sz w:val="18"/>
                <w:szCs w:val="18"/>
                <w:color w:val="auto"/>
              </w:rPr>
              <w:t>10.4</w:t>
            </w:r>
          </w:p>
        </w:tc>
        <w:tc>
          <w:tcPr>
            <w:tcW w:w="10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183"/>
        </w:trPr>
        <w:tc>
          <w:tcPr>
            <w:tcW w:w="1540" w:type="dxa"/>
            <w:vAlign w:val="bottom"/>
          </w:tcPr>
          <w:p>
            <w:pPr>
              <w:spacing w:after="0"/>
              <w:rPr>
                <w:sz w:val="15"/>
                <w:szCs w:val="15"/>
                <w:color w:val="auto"/>
              </w:rPr>
            </w:pPr>
          </w:p>
        </w:tc>
        <w:tc>
          <w:tcPr>
            <w:tcW w:w="5240" w:type="dxa"/>
            <w:vAlign w:val="bottom"/>
            <w:gridSpan w:val="18"/>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(Revolving Line), dated as of June 27, 2018, by and between</w:t>
              </w:r>
            </w:hyperlink>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48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Silicon Valley Bank and Registrant.</w:t>
              </w:r>
            </w:hyperlink>
          </w:p>
        </w:tc>
        <w:tc>
          <w:tcPr>
            <w:tcW w:w="400" w:type="dxa"/>
            <w:vAlign w:val="bottom"/>
            <w:gridSpan w:val="5"/>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
        </w:trPr>
        <w:tc>
          <w:tcPr>
            <w:tcW w:w="15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rPr>
              <w:t>10.5</w:t>
            </w:r>
          </w:p>
        </w:tc>
        <w:tc>
          <w:tcPr>
            <w:tcW w:w="5240" w:type="dxa"/>
            <w:vAlign w:val="bottom"/>
            <w:gridSpan w:val="18"/>
            <w:shd w:val="clear" w:color="auto" w:fill="CCEEFF"/>
          </w:tcPr>
          <w:p>
            <w:pPr>
              <w:spacing w:after="0" w:line="202" w:lineRule="exact"/>
              <w:rPr>
                <w:rFonts w:ascii="Arial" w:cs="Arial" w:eastAsia="Arial" w:hAnsi="Arial"/>
                <w:sz w:val="18"/>
                <w:szCs w:val="18"/>
                <w:color w:val="0000FF"/>
              </w:rPr>
            </w:pPr>
            <w:hyperlink r:id="rId109">
              <w:r>
                <w:rPr>
                  <w:rFonts w:ascii="Arial" w:cs="Arial" w:eastAsia="Arial" w:hAnsi="Arial"/>
                  <w:sz w:val="18"/>
                  <w:szCs w:val="18"/>
                  <w:color w:val="0000FF"/>
                </w:rPr>
                <w:t>Loan and Security Agreement (Term Loan), dated June 27,</w:t>
              </w:r>
            </w:hyperlink>
          </w:p>
        </w:tc>
        <w:tc>
          <w:tcPr>
            <w:tcW w:w="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4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rPr>
              <w:t>10.5</w:t>
            </w:r>
          </w:p>
        </w:tc>
        <w:tc>
          <w:tcPr>
            <w:tcW w:w="10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0000FF"/>
            </w:tcBorders>
            <w:gridSpan w:val="10"/>
            <w:shd w:val="clear" w:color="auto" w:fill="CCEEFF"/>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2018, by and between Silicon Valley Bank and Registrant.</w:t>
              </w:r>
            </w:hyperlink>
          </w:p>
        </w:tc>
        <w:tc>
          <w:tcPr>
            <w:tcW w:w="560" w:type="dxa"/>
            <w:vAlign w:val="bottom"/>
            <w:tcBorders>
              <w:top w:val="single" w:sz="8" w:color="CCEEFF"/>
            </w:tcBorders>
            <w:gridSpan w:val="8"/>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3"/>
        </w:trPr>
        <w:tc>
          <w:tcPr>
            <w:tcW w:w="154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10.6</w:t>
            </w:r>
          </w:p>
        </w:tc>
        <w:tc>
          <w:tcPr>
            <w:tcW w:w="5240" w:type="dxa"/>
            <w:vAlign w:val="bottom"/>
            <w:gridSpan w:val="18"/>
          </w:tcPr>
          <w:p>
            <w:pPr>
              <w:spacing w:after="0" w:line="202" w:lineRule="exact"/>
              <w:rPr>
                <w:rFonts w:ascii="Arial" w:cs="Arial" w:eastAsia="Arial" w:hAnsi="Arial"/>
                <w:sz w:val="18"/>
                <w:szCs w:val="18"/>
                <w:color w:val="0000FF"/>
              </w:rPr>
            </w:pPr>
            <w:hyperlink r:id="rId110">
              <w:r>
                <w:rPr>
                  <w:rFonts w:ascii="Arial" w:cs="Arial" w:eastAsia="Arial" w:hAnsi="Arial"/>
                  <w:sz w:val="18"/>
                  <w:szCs w:val="18"/>
                  <w:color w:val="0000FF"/>
                </w:rPr>
                <w:t>First Amendment to Loan and Security Agreement (Term Loan),</w:t>
              </w:r>
            </w:hyperlink>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40" w:type="dxa"/>
            <w:vAlign w:val="bottom"/>
          </w:tcPr>
          <w:p>
            <w:pPr>
              <w:jc w:val="center"/>
              <w:ind w:right="70"/>
              <w:spacing w:after="0" w:line="202" w:lineRule="exact"/>
              <w:rPr>
                <w:sz w:val="20"/>
                <w:szCs w:val="20"/>
                <w:color w:val="auto"/>
              </w:rPr>
            </w:pPr>
            <w:r>
              <w:rPr>
                <w:rFonts w:ascii="Arial" w:cs="Arial" w:eastAsia="Arial" w:hAnsi="Arial"/>
                <w:sz w:val="18"/>
                <w:szCs w:val="18"/>
                <w:color w:val="auto"/>
              </w:rPr>
              <w:t>10.6</w:t>
            </w:r>
          </w:p>
        </w:tc>
        <w:tc>
          <w:tcPr>
            <w:tcW w:w="10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3"/>
        </w:trPr>
        <w:tc>
          <w:tcPr>
            <w:tcW w:w="1540" w:type="dxa"/>
            <w:vAlign w:val="bottom"/>
          </w:tcPr>
          <w:p>
            <w:pPr>
              <w:spacing w:after="0"/>
              <w:rPr>
                <w:sz w:val="15"/>
                <w:szCs w:val="15"/>
                <w:color w:val="auto"/>
              </w:rPr>
            </w:pPr>
          </w:p>
        </w:tc>
        <w:tc>
          <w:tcPr>
            <w:tcW w:w="5240" w:type="dxa"/>
            <w:vAlign w:val="bottom"/>
            <w:gridSpan w:val="18"/>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dated September 27, 2018, by and between Silicon Valley Bank</w:t>
              </w:r>
            </w:hyperlink>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50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and Registrant.</w:t>
              </w:r>
            </w:hyperlink>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
        </w:trPr>
        <w:tc>
          <w:tcPr>
            <w:tcW w:w="15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rPr>
              <w:t>10.7</w:t>
            </w:r>
          </w:p>
        </w:tc>
        <w:tc>
          <w:tcPr>
            <w:tcW w:w="5240" w:type="dxa"/>
            <w:vAlign w:val="bottom"/>
            <w:gridSpan w:val="18"/>
            <w:shd w:val="clear" w:color="auto" w:fill="CCEEFF"/>
          </w:tcPr>
          <w:p>
            <w:pPr>
              <w:spacing w:after="0" w:line="202" w:lineRule="exact"/>
              <w:rPr>
                <w:rFonts w:ascii="Arial" w:cs="Arial" w:eastAsia="Arial" w:hAnsi="Arial"/>
                <w:sz w:val="18"/>
                <w:szCs w:val="18"/>
                <w:color w:val="0000FF"/>
              </w:rPr>
            </w:pPr>
            <w:hyperlink r:id="rId111">
              <w:r>
                <w:rPr>
                  <w:rFonts w:ascii="Arial" w:cs="Arial" w:eastAsia="Arial" w:hAnsi="Arial"/>
                  <w:sz w:val="18"/>
                  <w:szCs w:val="18"/>
                  <w:color w:val="0000FF"/>
                </w:rPr>
                <w:t>Intellectual Property Security Agreement, dated June 27, 2018,</w:t>
              </w:r>
            </w:hyperlink>
          </w:p>
        </w:tc>
        <w:tc>
          <w:tcPr>
            <w:tcW w:w="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4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rPr>
              <w:t>10.7</w:t>
            </w:r>
          </w:p>
        </w:tc>
        <w:tc>
          <w:tcPr>
            <w:tcW w:w="10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183"/>
        </w:trPr>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4960" w:type="dxa"/>
            <w:vAlign w:val="bottom"/>
            <w:tcBorders>
              <w:top w:val="single" w:sz="8" w:color="0000FF"/>
              <w:bottom w:val="single" w:sz="8" w:color="0000FF"/>
            </w:tcBorders>
            <w:gridSpan w:val="15"/>
            <w:shd w:val="clear" w:color="auto" w:fill="CCEEFF"/>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by and between Silicon Valley Bank and Registrant (Revolving</w:t>
              </w:r>
            </w:hyperlink>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540" w:type="dxa"/>
            <w:vAlign w:val="bottom"/>
            <w:shd w:val="clear" w:color="auto" w:fill="CCEEFF"/>
          </w:tcPr>
          <w:p>
            <w:pPr>
              <w:spacing w:after="0"/>
              <w:rPr>
                <w:sz w:val="15"/>
                <w:szCs w:val="15"/>
                <w:color w:val="auto"/>
              </w:rPr>
            </w:pPr>
          </w:p>
        </w:tc>
        <w:tc>
          <w:tcPr>
            <w:tcW w:w="5240" w:type="dxa"/>
            <w:vAlign w:val="bottom"/>
            <w:gridSpan w:val="18"/>
            <w:shd w:val="clear" w:color="auto" w:fill="CCEEFF"/>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Line).</w:t>
              </w:r>
            </w:hyperlink>
          </w:p>
        </w:tc>
        <w:tc>
          <w:tcPr>
            <w:tcW w:w="8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3"/>
        </w:trPr>
        <w:tc>
          <w:tcPr>
            <w:tcW w:w="154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10.8</w:t>
            </w:r>
          </w:p>
        </w:tc>
        <w:tc>
          <w:tcPr>
            <w:tcW w:w="5240" w:type="dxa"/>
            <w:vAlign w:val="bottom"/>
            <w:gridSpan w:val="18"/>
          </w:tcPr>
          <w:p>
            <w:pPr>
              <w:spacing w:after="0" w:line="202" w:lineRule="exact"/>
              <w:rPr>
                <w:rFonts w:ascii="Arial" w:cs="Arial" w:eastAsia="Arial" w:hAnsi="Arial"/>
                <w:sz w:val="18"/>
                <w:szCs w:val="18"/>
                <w:color w:val="0000FF"/>
              </w:rPr>
            </w:pPr>
            <w:hyperlink r:id="rId112">
              <w:r>
                <w:rPr>
                  <w:rFonts w:ascii="Arial" w:cs="Arial" w:eastAsia="Arial" w:hAnsi="Arial"/>
                  <w:sz w:val="18"/>
                  <w:szCs w:val="18"/>
                  <w:color w:val="0000FF"/>
                </w:rPr>
                <w:t>Intellectual Property Security Agreement, dated June 27, 2018,</w:t>
              </w:r>
            </w:hyperlink>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40" w:type="dxa"/>
            <w:vAlign w:val="bottom"/>
          </w:tcPr>
          <w:p>
            <w:pPr>
              <w:jc w:val="center"/>
              <w:ind w:right="70"/>
              <w:spacing w:after="0" w:line="202" w:lineRule="exact"/>
              <w:rPr>
                <w:sz w:val="20"/>
                <w:szCs w:val="20"/>
                <w:color w:val="auto"/>
              </w:rPr>
            </w:pPr>
            <w:r>
              <w:rPr>
                <w:rFonts w:ascii="Arial" w:cs="Arial" w:eastAsia="Arial" w:hAnsi="Arial"/>
                <w:sz w:val="18"/>
                <w:szCs w:val="18"/>
                <w:color w:val="auto"/>
              </w:rPr>
              <w:t>10.8</w:t>
            </w:r>
          </w:p>
        </w:tc>
        <w:tc>
          <w:tcPr>
            <w:tcW w:w="10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183"/>
        </w:trPr>
        <w:tc>
          <w:tcPr>
            <w:tcW w:w="1540" w:type="dxa"/>
            <w:vAlign w:val="bottom"/>
          </w:tcPr>
          <w:p>
            <w:pPr>
              <w:spacing w:after="0"/>
              <w:rPr>
                <w:sz w:val="15"/>
                <w:szCs w:val="15"/>
                <w:color w:val="auto"/>
              </w:rPr>
            </w:pPr>
          </w:p>
        </w:tc>
        <w:tc>
          <w:tcPr>
            <w:tcW w:w="50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by and between Silicon Valley Bank and Registrant (Term</w:t>
              </w:r>
            </w:hyperlink>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46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Loan).</w:t>
              </w:r>
            </w:hyperlink>
          </w:p>
        </w:tc>
        <w:tc>
          <w:tcPr>
            <w:tcW w:w="640" w:type="dxa"/>
            <w:vAlign w:val="bottom"/>
            <w:gridSpan w:val="9"/>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
        </w:trPr>
        <w:tc>
          <w:tcPr>
            <w:tcW w:w="154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rPr>
              <w:t>10.9</w:t>
            </w:r>
          </w:p>
        </w:tc>
        <w:tc>
          <w:tcPr>
            <w:tcW w:w="5240" w:type="dxa"/>
            <w:vAlign w:val="bottom"/>
            <w:gridSpan w:val="18"/>
            <w:shd w:val="clear" w:color="auto" w:fill="CCEEFF"/>
          </w:tcPr>
          <w:p>
            <w:pPr>
              <w:spacing w:after="0" w:line="202" w:lineRule="exact"/>
              <w:rPr>
                <w:rFonts w:ascii="Arial" w:cs="Arial" w:eastAsia="Arial" w:hAnsi="Arial"/>
                <w:sz w:val="18"/>
                <w:szCs w:val="18"/>
                <w:color w:val="0000FF"/>
              </w:rPr>
            </w:pPr>
            <w:hyperlink r:id="rId113">
              <w:r>
                <w:rPr>
                  <w:rFonts w:ascii="Arial" w:cs="Arial" w:eastAsia="Arial" w:hAnsi="Arial"/>
                  <w:sz w:val="18"/>
                  <w:szCs w:val="18"/>
                  <w:color w:val="0000FF"/>
                </w:rPr>
                <w:t>Equipment Loan and Security Agreement, dated September 19,</w:t>
              </w:r>
            </w:hyperlink>
          </w:p>
        </w:tc>
        <w:tc>
          <w:tcPr>
            <w:tcW w:w="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S-1</w:t>
            </w:r>
          </w:p>
        </w:tc>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11/16/2018</w:t>
            </w:r>
          </w:p>
        </w:tc>
        <w:tc>
          <w:tcPr>
            <w:tcW w:w="124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rPr>
              <w:t>10.9</w:t>
            </w:r>
          </w:p>
        </w:tc>
        <w:tc>
          <w:tcPr>
            <w:tcW w:w="10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5060" w:type="dxa"/>
            <w:vAlign w:val="bottom"/>
            <w:tcBorders>
              <w:top w:val="single" w:sz="8" w:color="0000FF"/>
              <w:right w:val="single" w:sz="8" w:color="CCEEFF"/>
            </w:tcBorders>
            <w:gridSpan w:val="17"/>
            <w:shd w:val="clear" w:color="auto" w:fill="CCEEFF"/>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2018, by and between Ocean II PLO, LLC and Registrant.</w:t>
              </w:r>
            </w:hyperlink>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3"/>
        </w:trPr>
        <w:tc>
          <w:tcPr>
            <w:tcW w:w="154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7"/>
              </w:rPr>
              <w:t>10.10</w:t>
            </w:r>
          </w:p>
        </w:tc>
        <w:tc>
          <w:tcPr>
            <w:tcW w:w="5240" w:type="dxa"/>
            <w:vAlign w:val="bottom"/>
            <w:gridSpan w:val="18"/>
          </w:tcPr>
          <w:p>
            <w:pPr>
              <w:spacing w:after="0" w:line="202" w:lineRule="exact"/>
              <w:rPr>
                <w:rFonts w:ascii="Arial" w:cs="Arial" w:eastAsia="Arial" w:hAnsi="Arial"/>
                <w:sz w:val="18"/>
                <w:szCs w:val="18"/>
                <w:color w:val="0000FF"/>
              </w:rPr>
            </w:pPr>
            <w:hyperlink r:id="rId114">
              <w:r>
                <w:rPr>
                  <w:rFonts w:ascii="Arial" w:cs="Arial" w:eastAsia="Arial" w:hAnsi="Arial"/>
                  <w:sz w:val="18"/>
                  <w:szCs w:val="18"/>
                  <w:color w:val="0000FF"/>
                </w:rPr>
                <w:t>Supply Agreement, dated December 28, 2018, by and between</w:t>
              </w:r>
            </w:hyperlink>
          </w:p>
        </w:tc>
        <w:tc>
          <w:tcPr>
            <w:tcW w:w="88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S-1/A</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4/15/2019</w:t>
            </w:r>
          </w:p>
        </w:tc>
        <w:tc>
          <w:tcPr>
            <w:tcW w:w="124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7"/>
              </w:rPr>
              <w:t>10.10</w:t>
            </w:r>
          </w:p>
        </w:tc>
        <w:tc>
          <w:tcPr>
            <w:tcW w:w="10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r>
      <w:tr>
        <w:trPr>
          <w:trHeight w:val="183"/>
        </w:trPr>
        <w:tc>
          <w:tcPr>
            <w:tcW w:w="1540" w:type="dxa"/>
            <w:vAlign w:val="bottom"/>
          </w:tcPr>
          <w:p>
            <w:pPr>
              <w:spacing w:after="0"/>
              <w:rPr>
                <w:sz w:val="15"/>
                <w:szCs w:val="15"/>
                <w:color w:val="auto"/>
              </w:rPr>
            </w:pPr>
          </w:p>
        </w:tc>
        <w:tc>
          <w:tcPr>
            <w:tcW w:w="50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Roquette America, Inc. and Registrant.+</w:t>
              </w:r>
            </w:hyperlink>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8" w:right="239" w:bottom="1440" w:gutter="0" w:footer="0" w:header="0"/>
          <w:type w:val="continuous"/>
        </w:sectPr>
      </w:pPr>
    </w:p>
    <w:bookmarkStart w:id="230" w:name="page231"/>
    <w:bookmarkEnd w:id="230"/>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18"/>
          </w:tcPr>
          <w:p>
            <w:pPr>
              <w:ind w:left="120"/>
              <w:spacing w:after="0"/>
              <w:rPr>
                <w:sz w:val="20"/>
                <w:szCs w:val="20"/>
                <w:color w:val="auto"/>
              </w:rPr>
            </w:pPr>
            <w:r>
              <w:rPr>
                <w:rFonts w:ascii="Arial" w:cs="Arial" w:eastAsia="Arial" w:hAnsi="Arial"/>
                <w:sz w:val="16"/>
                <w:szCs w:val="16"/>
                <w:b w:val="1"/>
                <w:bCs w:val="1"/>
                <w:color w:val="auto"/>
              </w:rPr>
              <w:t>EXHIBIT INDEX</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Exhibit No.</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60" w:type="dxa"/>
            <w:vAlign w:val="bottom"/>
            <w:gridSpan w:val="26"/>
          </w:tcPr>
          <w:p>
            <w:pPr>
              <w:ind w:left="20"/>
              <w:spacing w:after="0"/>
              <w:rPr>
                <w:sz w:val="20"/>
                <w:szCs w:val="20"/>
                <w:color w:val="auto"/>
              </w:rPr>
            </w:pPr>
            <w:r>
              <w:rPr>
                <w:rFonts w:ascii="Arial" w:cs="Arial" w:eastAsia="Arial" w:hAnsi="Arial"/>
                <w:sz w:val="16"/>
                <w:szCs w:val="16"/>
                <w:b w:val="1"/>
                <w:bCs w:val="1"/>
                <w:color w:val="auto"/>
              </w:rPr>
              <w:t>Exhibit Description</w:t>
            </w:r>
          </w:p>
        </w:tc>
        <w:tc>
          <w:tcPr>
            <w:tcW w:w="640" w:type="dxa"/>
            <w:vAlign w:val="bottom"/>
          </w:tcPr>
          <w:p>
            <w:pPr>
              <w:spacing w:after="0"/>
              <w:rPr>
                <w:sz w:val="19"/>
                <w:szCs w:val="19"/>
                <w:color w:val="auto"/>
              </w:rPr>
            </w:pPr>
          </w:p>
        </w:tc>
        <w:tc>
          <w:tcPr>
            <w:tcW w:w="2760" w:type="dxa"/>
            <w:vAlign w:val="bottom"/>
            <w:gridSpan w:val="5"/>
          </w:tcPr>
          <w:p>
            <w:pPr>
              <w:ind w:left="2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264"/>
        </w:trPr>
        <w:tc>
          <w:tcPr>
            <w:tcW w:w="13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56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6"/>
                <w:szCs w:val="16"/>
                <w:b w:val="1"/>
                <w:bCs w:val="1"/>
                <w:color w:val="auto"/>
                <w:w w:val="99"/>
              </w:rPr>
              <w:t>Form</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r>
      <w:tr>
        <w:trPr>
          <w:trHeight w:val="189"/>
        </w:trPr>
        <w:tc>
          <w:tcPr>
            <w:tcW w:w="138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7"/>
              </w:rPr>
              <w:t>10.11</w:t>
            </w: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080" w:type="dxa"/>
            <w:vAlign w:val="bottom"/>
            <w:tcBorders>
              <w:bottom w:val="single" w:sz="8" w:color="0000FF"/>
            </w:tcBorders>
            <w:gridSpan w:val="30"/>
            <w:shd w:val="clear" w:color="auto" w:fill="CCEEFF"/>
          </w:tcPr>
          <w:p>
            <w:pPr>
              <w:spacing w:after="0" w:line="170"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Form of Indemnification Agreement with directors and executive</w:t>
              </w:r>
            </w:hyperlink>
          </w:p>
        </w:tc>
        <w:tc>
          <w:tcPr>
            <w:tcW w:w="16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ind w:left="50"/>
              <w:spacing w:after="0" w:line="170" w:lineRule="exact"/>
              <w:rPr>
                <w:sz w:val="20"/>
                <w:szCs w:val="20"/>
                <w:color w:val="auto"/>
              </w:rPr>
            </w:pPr>
            <w:r>
              <w:rPr>
                <w:rFonts w:ascii="Arial" w:cs="Arial" w:eastAsia="Arial" w:hAnsi="Arial"/>
                <w:sz w:val="18"/>
                <w:szCs w:val="18"/>
                <w:color w:val="auto"/>
              </w:rPr>
              <w:t>S-1/A</w:t>
            </w:r>
          </w:p>
        </w:tc>
        <w:tc>
          <w:tcPr>
            <w:tcW w:w="1620" w:type="dxa"/>
            <w:vAlign w:val="bottom"/>
            <w:tcBorders>
              <w:bottom w:val="single" w:sz="8" w:color="CCEEFF"/>
            </w:tcBorders>
            <w:gridSpan w:val="3"/>
            <w:shd w:val="clear" w:color="auto" w:fill="CCEEFF"/>
          </w:tcPr>
          <w:p>
            <w:pPr>
              <w:jc w:val="center"/>
              <w:ind w:left="190"/>
              <w:spacing w:after="0" w:line="170" w:lineRule="exact"/>
              <w:rPr>
                <w:sz w:val="20"/>
                <w:szCs w:val="20"/>
                <w:color w:val="auto"/>
              </w:rPr>
            </w:pPr>
            <w:r>
              <w:rPr>
                <w:rFonts w:ascii="Arial" w:cs="Arial" w:eastAsia="Arial" w:hAnsi="Arial"/>
                <w:sz w:val="18"/>
                <w:szCs w:val="18"/>
                <w:color w:val="auto"/>
                <w:w w:val="99"/>
              </w:rPr>
              <w:t>1/9/2019</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7"/>
              </w:rPr>
              <w:t>10.11</w:t>
            </w:r>
          </w:p>
        </w:tc>
        <w:tc>
          <w:tcPr>
            <w:tcW w:w="1240" w:type="dxa"/>
            <w:vAlign w:val="bottom"/>
            <w:tcBorders>
              <w:bottom w:val="single" w:sz="8" w:color="CCEEFF"/>
            </w:tcBorders>
            <w:gridSpan w:val="2"/>
            <w:shd w:val="clear" w:color="auto" w:fill="CCEEFF"/>
          </w:tcPr>
          <w:p>
            <w:pPr>
              <w:jc w:val="center"/>
              <w:ind w:left="10"/>
              <w:spacing w:after="0" w:line="170"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40" w:type="dxa"/>
            <w:vAlign w:val="bottom"/>
            <w:gridSpan w:val="32"/>
            <w:shd w:val="clear" w:color="auto" w:fill="CCEEFF"/>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officers.</w:t>
              </w:r>
            </w:hyperlink>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80" w:type="dxa"/>
            <w:vAlign w:val="bottom"/>
            <w:tcBorders>
              <w:bottom w:val="single" w:sz="8" w:color="0000FF"/>
            </w:tcBorders>
            <w:gridSpan w:val="27"/>
          </w:tcPr>
          <w:p>
            <w:pPr>
              <w:spacing w:after="0" w:line="202"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2011 Equity Incentive Plan, amended as of April 3, 2019, and</w:t>
              </w:r>
            </w:hyperlink>
          </w:p>
        </w:tc>
        <w:tc>
          <w:tcPr>
            <w:tcW w:w="360" w:type="dxa"/>
            <w:vAlign w:val="bottom"/>
            <w:gridSpan w:val="5"/>
          </w:tcPr>
          <w:p>
            <w:pPr>
              <w:spacing w:after="0"/>
              <w:rPr>
                <w:sz w:val="17"/>
                <w:szCs w:val="17"/>
                <w:color w:val="auto"/>
              </w:rPr>
            </w:pPr>
          </w:p>
        </w:tc>
        <w:tc>
          <w:tcPr>
            <w:tcW w:w="640" w:type="dxa"/>
            <w:vAlign w:val="bottom"/>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gridSpan w:val="3"/>
          </w:tcPr>
          <w:p>
            <w:pPr>
              <w:jc w:val="center"/>
              <w:ind w:left="170"/>
              <w:spacing w:after="0" w:line="202" w:lineRule="exact"/>
              <w:rPr>
                <w:sz w:val="20"/>
                <w:szCs w:val="20"/>
                <w:color w:val="auto"/>
              </w:rPr>
            </w:pPr>
            <w:r>
              <w:rPr>
                <w:rFonts w:ascii="Arial" w:cs="Arial" w:eastAsia="Arial" w:hAnsi="Arial"/>
                <w:sz w:val="18"/>
                <w:szCs w:val="18"/>
                <w:color w:val="auto"/>
                <w:w w:val="99"/>
              </w:rPr>
              <w:t>4/15/2019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10.12</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40" w:type="dxa"/>
            <w:vAlign w:val="bottom"/>
            <w:gridSpan w:val="32"/>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related forms of stock award agreements.</w:t>
              </w:r>
            </w:hyperlink>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2018 Equity Incentive Plan.</w:t>
              </w:r>
            </w:hyperlink>
          </w:p>
        </w:tc>
        <w:tc>
          <w:tcPr>
            <w:tcW w:w="3060" w:type="dxa"/>
            <w:vAlign w:val="bottom"/>
            <w:tcBorders>
              <w:bottom w:val="single" w:sz="8" w:color="CCEEFF"/>
            </w:tcBorders>
            <w:gridSpan w:val="25"/>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tcBorders>
              <w:bottom w:val="single" w:sz="8" w:color="CCEEFF"/>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1/9/2019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10.13</w:t>
            </w:r>
          </w:p>
        </w:tc>
        <w:tc>
          <w:tcPr>
            <w:tcW w:w="1240" w:type="dxa"/>
            <w:vAlign w:val="bottom"/>
            <w:tcBorders>
              <w:bottom w:val="single" w:sz="8" w:color="CCEEFF"/>
            </w:tcBorders>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10.14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gridSpan w:val="32"/>
          </w:tcPr>
          <w:p>
            <w:pPr>
              <w:spacing w:after="0" w:line="202" w:lineRule="exact"/>
              <w:rPr>
                <w:rFonts w:ascii="Arial" w:cs="Arial" w:eastAsia="Arial" w:hAnsi="Arial"/>
                <w:sz w:val="18"/>
                <w:szCs w:val="18"/>
                <w:color w:val="0000FF"/>
              </w:rPr>
            </w:pPr>
            <w:hyperlink r:id="rId118">
              <w:r>
                <w:rPr>
                  <w:rFonts w:ascii="Arial" w:cs="Arial" w:eastAsia="Arial" w:hAnsi="Arial"/>
                  <w:sz w:val="18"/>
                  <w:szCs w:val="18"/>
                  <w:color w:val="0000FF"/>
                </w:rPr>
                <w:t>2018 Employee Stock Purchase Plan.</w:t>
              </w:r>
            </w:hyperlink>
          </w:p>
        </w:tc>
        <w:tc>
          <w:tcPr>
            <w:tcW w:w="640" w:type="dxa"/>
            <w:vAlign w:val="bottom"/>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gridSpan w:val="3"/>
          </w:tcPr>
          <w:p>
            <w:pPr>
              <w:jc w:val="center"/>
              <w:ind w:left="190"/>
              <w:spacing w:after="0" w:line="202" w:lineRule="exact"/>
              <w:rPr>
                <w:sz w:val="20"/>
                <w:szCs w:val="20"/>
                <w:color w:val="auto"/>
              </w:rPr>
            </w:pPr>
            <w:r>
              <w:rPr>
                <w:rFonts w:ascii="Arial" w:cs="Arial" w:eastAsia="Arial" w:hAnsi="Arial"/>
                <w:sz w:val="18"/>
                <w:szCs w:val="18"/>
                <w:color w:val="auto"/>
                <w:w w:val="99"/>
              </w:rPr>
              <w:t>1/9/2019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10.14</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40" w:type="dxa"/>
            <w:vAlign w:val="bottom"/>
            <w:gridSpan w:val="32"/>
            <w:shd w:val="clear" w:color="auto" w:fill="CCEEFF"/>
          </w:tcPr>
          <w:p>
            <w:pPr>
              <w:spacing w:after="0" w:line="202" w:lineRule="exact"/>
              <w:rPr>
                <w:rFonts w:ascii="Arial" w:cs="Arial" w:eastAsia="Arial" w:hAnsi="Arial"/>
                <w:sz w:val="18"/>
                <w:szCs w:val="18"/>
                <w:color w:val="0000FF"/>
              </w:rPr>
            </w:pPr>
            <w:hyperlink r:id="rId119">
              <w:r>
                <w:rPr>
                  <w:rFonts w:ascii="Arial" w:cs="Arial" w:eastAsia="Arial" w:hAnsi="Arial"/>
                  <w:sz w:val="18"/>
                  <w:szCs w:val="18"/>
                  <w:color w:val="0000FF"/>
                </w:rPr>
                <w:t>Executive Incentive Bonus Plan.</w:t>
              </w:r>
            </w:hyperlink>
          </w:p>
        </w:tc>
        <w:tc>
          <w:tcPr>
            <w:tcW w:w="64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S-1</w:t>
            </w:r>
          </w:p>
        </w:tc>
        <w:tc>
          <w:tcPr>
            <w:tcW w:w="1620" w:type="dxa"/>
            <w:vAlign w:val="bottom"/>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11/16/2018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10.15</w:t>
            </w:r>
          </w:p>
        </w:tc>
        <w:tc>
          <w:tcPr>
            <w:tcW w:w="124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gridSpan w:val="32"/>
          </w:tcPr>
          <w:p>
            <w:pPr>
              <w:spacing w:after="0" w:line="202" w:lineRule="exact"/>
              <w:rPr>
                <w:rFonts w:ascii="Arial" w:cs="Arial" w:eastAsia="Arial" w:hAnsi="Arial"/>
                <w:sz w:val="18"/>
                <w:szCs w:val="18"/>
                <w:color w:val="0000FF"/>
              </w:rPr>
            </w:pPr>
            <w:hyperlink r:id="rId120">
              <w:r>
                <w:rPr>
                  <w:rFonts w:ascii="Arial" w:cs="Arial" w:eastAsia="Arial" w:hAnsi="Arial"/>
                  <w:sz w:val="18"/>
                  <w:szCs w:val="18"/>
                  <w:color w:val="0000FF"/>
                </w:rPr>
                <w:t>Form of Executive Change in Control Severance Agreement.</w:t>
              </w:r>
            </w:hyperlink>
          </w:p>
        </w:tc>
        <w:tc>
          <w:tcPr>
            <w:tcW w:w="64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S-1</w:t>
            </w:r>
          </w:p>
        </w:tc>
        <w:tc>
          <w:tcPr>
            <w:tcW w:w="1620" w:type="dxa"/>
            <w:vAlign w:val="bottom"/>
            <w:gridSpan w:val="3"/>
          </w:tcPr>
          <w:p>
            <w:pPr>
              <w:jc w:val="center"/>
              <w:ind w:left="190"/>
              <w:spacing w:after="0" w:line="202"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10.16</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10.17</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38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Option Amendment Letter, dated May 11, 2017, by and</w:t>
              </w:r>
            </w:hyperlink>
          </w:p>
        </w:tc>
        <w:tc>
          <w:tcPr>
            <w:tcW w:w="86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S-1</w:t>
            </w:r>
          </w:p>
        </w:tc>
        <w:tc>
          <w:tcPr>
            <w:tcW w:w="1620" w:type="dxa"/>
            <w:vAlign w:val="bottom"/>
            <w:tcBorders>
              <w:bottom w:val="single" w:sz="8" w:color="CCEEFF"/>
            </w:tcBorders>
            <w:gridSpan w:val="3"/>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11/16/2018</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10.17</w:t>
            </w:r>
          </w:p>
        </w:tc>
        <w:tc>
          <w:tcPr>
            <w:tcW w:w="1240" w:type="dxa"/>
            <w:vAlign w:val="bottom"/>
            <w:tcBorders>
              <w:bottom w:val="single" w:sz="8" w:color="CCEEFF"/>
            </w:tcBorders>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217"/>
        </w:trPr>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0000FF"/>
            </w:tcBorders>
            <w:gridSpan w:val="12"/>
            <w:shd w:val="clear" w:color="auto" w:fill="CCEEFF"/>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between Mark J. Nelson and Registrant.</w:t>
              </w:r>
            </w:hyperlink>
          </w:p>
        </w:tc>
        <w:tc>
          <w:tcPr>
            <w:tcW w:w="2040" w:type="dxa"/>
            <w:vAlign w:val="bottom"/>
            <w:tcBorders>
              <w:bottom w:val="single" w:sz="8" w:color="CCEEFF"/>
            </w:tcBorders>
            <w:gridSpan w:val="20"/>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10.18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gridSpan w:val="32"/>
          </w:tcPr>
          <w:p>
            <w:pPr>
              <w:spacing w:after="0" w:line="202" w:lineRule="exact"/>
              <w:rPr>
                <w:rFonts w:ascii="Arial" w:cs="Arial" w:eastAsia="Arial" w:hAnsi="Arial"/>
                <w:sz w:val="18"/>
                <w:szCs w:val="18"/>
                <w:color w:val="0000FF"/>
              </w:rPr>
            </w:pPr>
            <w:hyperlink r:id="rId122">
              <w:r>
                <w:rPr>
                  <w:rFonts w:ascii="Arial" w:cs="Arial" w:eastAsia="Arial" w:hAnsi="Arial"/>
                  <w:sz w:val="18"/>
                  <w:szCs w:val="18"/>
                  <w:color w:val="0000FF"/>
                </w:rPr>
                <w:t>Advisor Agreement, dated February 26, 2016, by and between</w:t>
              </w:r>
            </w:hyperlink>
          </w:p>
        </w:tc>
        <w:tc>
          <w:tcPr>
            <w:tcW w:w="64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S-1</w:t>
            </w:r>
          </w:p>
        </w:tc>
        <w:tc>
          <w:tcPr>
            <w:tcW w:w="1620" w:type="dxa"/>
            <w:vAlign w:val="bottom"/>
            <w:gridSpan w:val="3"/>
          </w:tcPr>
          <w:p>
            <w:pPr>
              <w:jc w:val="center"/>
              <w:ind w:left="190"/>
              <w:spacing w:after="0" w:line="202"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10.18</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Bernhard van Lengerich and Registrant, as amended on</w:t>
              </w:r>
            </w:hyperlink>
          </w:p>
        </w:tc>
        <w:tc>
          <w:tcPr>
            <w:tcW w:w="480" w:type="dxa"/>
            <w:vAlign w:val="bottom"/>
            <w:tcBorders>
              <w:top w:val="single" w:sz="8" w:color="0000FF"/>
            </w:tcBorders>
            <w:gridSpan w:val="9"/>
          </w:tcPr>
          <w:p>
            <w:pPr>
              <w:spacing w:after="0"/>
              <w:rPr>
                <w:sz w:val="15"/>
                <w:szCs w:val="15"/>
                <w:color w:val="auto"/>
              </w:rPr>
            </w:pPr>
          </w:p>
        </w:tc>
        <w:tc>
          <w:tcPr>
            <w:tcW w:w="28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40" w:type="dxa"/>
            <w:vAlign w:val="bottom"/>
            <w:gridSpan w:val="32"/>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September 5, 2017.</w:t>
              </w:r>
            </w:hyperlink>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10.19</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Second Amended &amp; Restated Consulting Agreement, dated</w:t>
              </w:r>
            </w:hyperlink>
          </w:p>
        </w:tc>
        <w:tc>
          <w:tcPr>
            <w:tcW w:w="4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tcBorders>
              <w:bottom w:val="single" w:sz="8" w:color="CCEEFF"/>
            </w:tcBorders>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9"/>
              </w:rPr>
              <w:t>4/15/2019</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10.19</w:t>
            </w:r>
          </w:p>
        </w:tc>
        <w:tc>
          <w:tcPr>
            <w:tcW w:w="1240" w:type="dxa"/>
            <w:vAlign w:val="bottom"/>
            <w:tcBorders>
              <w:bottom w:val="single" w:sz="8" w:color="CCEEFF"/>
            </w:tcBorders>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40" w:type="dxa"/>
            <w:vAlign w:val="bottom"/>
            <w:gridSpan w:val="32"/>
            <w:shd w:val="clear" w:color="auto" w:fill="CCEEFF"/>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April 8, 2019, by and between Seth Goldman and Registrant.</w:t>
              </w:r>
            </w:hyperlink>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gridSpan w:val="32"/>
          </w:tcPr>
          <w:p>
            <w:pPr>
              <w:spacing w:after="0" w:line="202" w:lineRule="exact"/>
              <w:rPr>
                <w:rFonts w:ascii="Arial" w:cs="Arial" w:eastAsia="Arial" w:hAnsi="Arial"/>
                <w:sz w:val="18"/>
                <w:szCs w:val="18"/>
                <w:color w:val="0000FF"/>
              </w:rPr>
            </w:pPr>
            <w:hyperlink r:id="rId124">
              <w:r>
                <w:rPr>
                  <w:rFonts w:ascii="Arial" w:cs="Arial" w:eastAsia="Arial" w:hAnsi="Arial"/>
                  <w:sz w:val="18"/>
                  <w:szCs w:val="18"/>
                  <w:color w:val="0000FF"/>
                </w:rPr>
                <w:t>Employment Agreement by and between Registrant and Ethan</w:t>
              </w:r>
            </w:hyperlink>
          </w:p>
        </w:tc>
        <w:tc>
          <w:tcPr>
            <w:tcW w:w="640" w:type="dxa"/>
            <w:vAlign w:val="bottom"/>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gridSpan w:val="3"/>
          </w:tcPr>
          <w:p>
            <w:pPr>
              <w:jc w:val="center"/>
              <w:ind w:left="190"/>
              <w:spacing w:after="0" w:line="202" w:lineRule="exact"/>
              <w:rPr>
                <w:sz w:val="20"/>
                <w:szCs w:val="20"/>
                <w:color w:val="auto"/>
              </w:rPr>
            </w:pPr>
            <w:r>
              <w:rPr>
                <w:rFonts w:ascii="Arial" w:cs="Arial" w:eastAsia="Arial" w:hAnsi="Arial"/>
                <w:sz w:val="18"/>
                <w:szCs w:val="18"/>
                <w:color w:val="auto"/>
                <w:w w:val="99"/>
              </w:rPr>
              <w:t>1/9/2019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10.20</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Brown.</w:t>
              </w:r>
            </w:hyperlink>
          </w:p>
        </w:tc>
        <w:tc>
          <w:tcPr>
            <w:tcW w:w="2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10.21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40" w:type="dxa"/>
            <w:vAlign w:val="bottom"/>
            <w:gridSpan w:val="32"/>
            <w:shd w:val="clear" w:color="auto" w:fill="CCEEFF"/>
          </w:tcPr>
          <w:p>
            <w:pPr>
              <w:spacing w:after="0" w:line="202" w:lineRule="exact"/>
              <w:rPr>
                <w:rFonts w:ascii="Arial" w:cs="Arial" w:eastAsia="Arial" w:hAnsi="Arial"/>
                <w:sz w:val="18"/>
                <w:szCs w:val="18"/>
                <w:color w:val="0000FF"/>
              </w:rPr>
            </w:pPr>
            <w:hyperlink r:id="rId125">
              <w:r>
                <w:rPr>
                  <w:rFonts w:ascii="Arial" w:cs="Arial" w:eastAsia="Arial" w:hAnsi="Arial"/>
                  <w:sz w:val="18"/>
                  <w:szCs w:val="18"/>
                  <w:color w:val="0000FF"/>
                </w:rPr>
                <w:t>Master Supply Agreement, dated as of December 21, 2018,</w:t>
              </w:r>
            </w:hyperlink>
          </w:p>
        </w:tc>
        <w:tc>
          <w:tcPr>
            <w:tcW w:w="64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9"/>
              </w:rPr>
              <w:t>4/15/2019</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10.21</w:t>
            </w:r>
          </w:p>
        </w:tc>
        <w:tc>
          <w:tcPr>
            <w:tcW w:w="124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217"/>
        </w:trPr>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0" w:type="dxa"/>
            <w:vAlign w:val="bottom"/>
            <w:tcBorders>
              <w:top w:val="single" w:sz="8" w:color="0000FF"/>
              <w:bottom w:val="single" w:sz="8" w:color="0000FF"/>
            </w:tcBorders>
            <w:gridSpan w:val="15"/>
            <w:shd w:val="clear" w:color="auto" w:fill="CCEEFF"/>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between Registrant and PURIS Proteins, LLC.+</w:t>
              </w:r>
            </w:hyperlink>
          </w:p>
        </w:tc>
        <w:tc>
          <w:tcPr>
            <w:tcW w:w="94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50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10.22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tcBorders>
              <w:bottom w:val="single" w:sz="8" w:color="0000FF"/>
            </w:tcBorders>
            <w:gridSpan w:val="22"/>
          </w:tcPr>
          <w:p>
            <w:pPr>
              <w:spacing w:after="0" w:line="202" w:lineRule="exact"/>
              <w:rPr>
                <w:rFonts w:ascii="Arial" w:cs="Arial" w:eastAsia="Arial" w:hAnsi="Arial"/>
                <w:sz w:val="18"/>
                <w:szCs w:val="18"/>
                <w:color w:val="0000FF"/>
                <w:w w:val="99"/>
              </w:rPr>
            </w:pPr>
            <w:hyperlink r:id="rId126">
              <w:r>
                <w:rPr>
                  <w:rFonts w:ascii="Arial" w:cs="Arial" w:eastAsia="Arial" w:hAnsi="Arial"/>
                  <w:sz w:val="18"/>
                  <w:szCs w:val="18"/>
                  <w:color w:val="0000FF"/>
                  <w:w w:val="99"/>
                </w:rPr>
                <w:t>Standard Industrial/Commercial Single-Tenant Lease - Net,</w:t>
              </w:r>
            </w:hyperlink>
          </w:p>
        </w:tc>
        <w:tc>
          <w:tcPr>
            <w:tcW w:w="540" w:type="dxa"/>
            <w:vAlign w:val="bottom"/>
            <w:gridSpan w:val="10"/>
          </w:tcPr>
          <w:p>
            <w:pPr>
              <w:spacing w:after="0"/>
              <w:rPr>
                <w:sz w:val="17"/>
                <w:szCs w:val="17"/>
                <w:color w:val="auto"/>
              </w:rPr>
            </w:pPr>
          </w:p>
        </w:tc>
        <w:tc>
          <w:tcPr>
            <w:tcW w:w="640" w:type="dxa"/>
            <w:vAlign w:val="bottom"/>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gridSpan w:val="3"/>
          </w:tcPr>
          <w:p>
            <w:pPr>
              <w:jc w:val="center"/>
              <w:ind w:left="170"/>
              <w:spacing w:after="0" w:line="202" w:lineRule="exact"/>
              <w:rPr>
                <w:sz w:val="20"/>
                <w:szCs w:val="20"/>
                <w:color w:val="auto"/>
              </w:rPr>
            </w:pPr>
            <w:r>
              <w:rPr>
                <w:rFonts w:ascii="Arial" w:cs="Arial" w:eastAsia="Arial" w:hAnsi="Arial"/>
                <w:sz w:val="18"/>
                <w:szCs w:val="18"/>
                <w:color w:val="auto"/>
                <w:w w:val="99"/>
              </w:rPr>
              <w:t>4/15/2019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10.22</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126">
              <w:r>
                <w:rPr>
                  <w:rFonts w:ascii="Arial" w:cs="Arial" w:eastAsia="Arial" w:hAnsi="Arial"/>
                  <w:sz w:val="18"/>
                  <w:szCs w:val="18"/>
                  <w:color w:val="0000FF"/>
                  <w:w w:val="99"/>
                </w:rPr>
                <w:t>dated as of February 11, 2019, between GSOB, LLC and</w:t>
              </w:r>
            </w:hyperlink>
          </w:p>
        </w:tc>
        <w:tc>
          <w:tcPr>
            <w:tcW w:w="68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40" w:type="dxa"/>
            <w:vAlign w:val="bottom"/>
            <w:gridSpan w:val="32"/>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Registrant, with attachments thereto.</w:t>
              </w:r>
            </w:hyperlink>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10.23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40" w:type="dxa"/>
            <w:vAlign w:val="bottom"/>
            <w:gridSpan w:val="32"/>
            <w:shd w:val="clear" w:color="auto" w:fill="CCEEFF"/>
          </w:tcPr>
          <w:p>
            <w:pPr>
              <w:spacing w:after="0" w:line="202" w:lineRule="exact"/>
              <w:rPr>
                <w:rFonts w:ascii="Arial" w:cs="Arial" w:eastAsia="Arial" w:hAnsi="Arial"/>
                <w:sz w:val="18"/>
                <w:szCs w:val="18"/>
                <w:color w:val="0000FF"/>
              </w:rPr>
            </w:pPr>
            <w:hyperlink r:id="rId127">
              <w:r>
                <w:rPr>
                  <w:rFonts w:ascii="Arial" w:cs="Arial" w:eastAsia="Arial" w:hAnsi="Arial"/>
                  <w:sz w:val="18"/>
                  <w:szCs w:val="18"/>
                  <w:color w:val="0000FF"/>
                </w:rPr>
                <w:t>Amended and restated agreement, dated as of January 18,</w:t>
              </w:r>
            </w:hyperlink>
          </w:p>
        </w:tc>
        <w:tc>
          <w:tcPr>
            <w:tcW w:w="640" w:type="dxa"/>
            <w:vAlign w:val="bottom"/>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rPr>
              <w:t>S-1/A</w:t>
            </w:r>
          </w:p>
        </w:tc>
        <w:tc>
          <w:tcPr>
            <w:tcW w:w="1620" w:type="dxa"/>
            <w:vAlign w:val="bottom"/>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9"/>
              </w:rPr>
              <w:t>3/27/2019</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10.23</w:t>
            </w:r>
          </w:p>
        </w:tc>
        <w:tc>
          <w:tcPr>
            <w:tcW w:w="124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217"/>
        </w:trPr>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460" w:type="dxa"/>
            <w:vAlign w:val="bottom"/>
            <w:tcBorders>
              <w:top w:val="single" w:sz="8" w:color="0000FF"/>
              <w:bottom w:val="single" w:sz="8" w:color="0000FF"/>
            </w:tcBorders>
            <w:gridSpan w:val="14"/>
            <w:shd w:val="clear" w:color="auto" w:fill="CCEEFF"/>
          </w:tcPr>
          <w:p>
            <w:pPr>
              <w:spacing w:after="0" w:line="182" w:lineRule="exact"/>
              <w:rPr>
                <w:rFonts w:ascii="Arial" w:cs="Arial" w:eastAsia="Arial" w:hAnsi="Arial"/>
                <w:sz w:val="18"/>
                <w:szCs w:val="18"/>
                <w:color w:val="0000FF"/>
                <w:w w:val="99"/>
              </w:rPr>
            </w:pPr>
            <w:hyperlink r:id="rId127">
              <w:r>
                <w:rPr>
                  <w:rFonts w:ascii="Arial" w:cs="Arial" w:eastAsia="Arial" w:hAnsi="Arial"/>
                  <w:sz w:val="18"/>
                  <w:szCs w:val="18"/>
                  <w:color w:val="0000FF"/>
                  <w:w w:val="99"/>
                </w:rPr>
                <w:t>2019, between Registrant and Chuck Muth.</w:t>
              </w:r>
            </w:hyperlink>
          </w:p>
        </w:tc>
        <w:tc>
          <w:tcPr>
            <w:tcW w:w="124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10.25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gridSpan w:val="32"/>
          </w:tcPr>
          <w:p>
            <w:pPr>
              <w:spacing w:after="0" w:line="202" w:lineRule="exact"/>
              <w:rPr>
                <w:rFonts w:ascii="Arial" w:cs="Arial" w:eastAsia="Arial" w:hAnsi="Arial"/>
                <w:sz w:val="18"/>
                <w:szCs w:val="18"/>
                <w:color w:val="0000FF"/>
              </w:rPr>
            </w:pPr>
            <w:hyperlink r:id="rId128">
              <w:r>
                <w:rPr>
                  <w:rFonts w:ascii="Arial" w:cs="Arial" w:eastAsia="Arial" w:hAnsi="Arial"/>
                  <w:sz w:val="18"/>
                  <w:szCs w:val="18"/>
                  <w:color w:val="0000FF"/>
                </w:rPr>
                <w:t>Offer Letter dated April 29, 2019 with Teri L. Witteman.</w:t>
              </w:r>
            </w:hyperlink>
          </w:p>
        </w:tc>
        <w:tc>
          <w:tcPr>
            <w:tcW w:w="64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8-K</w:t>
            </w:r>
          </w:p>
        </w:tc>
        <w:tc>
          <w:tcPr>
            <w:tcW w:w="1620" w:type="dxa"/>
            <w:vAlign w:val="bottom"/>
            <w:gridSpan w:val="3"/>
          </w:tcPr>
          <w:p>
            <w:pPr>
              <w:jc w:val="center"/>
              <w:ind w:left="170"/>
              <w:spacing w:after="0" w:line="202" w:lineRule="exact"/>
              <w:rPr>
                <w:sz w:val="20"/>
                <w:szCs w:val="20"/>
                <w:color w:val="auto"/>
              </w:rPr>
            </w:pPr>
            <w:r>
              <w:rPr>
                <w:rFonts w:ascii="Arial" w:cs="Arial" w:eastAsia="Arial" w:hAnsi="Arial"/>
                <w:sz w:val="18"/>
                <w:szCs w:val="18"/>
                <w:color w:val="auto"/>
                <w:w w:val="99"/>
              </w:rPr>
              <w:t>5/20/2019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7"/>
              </w:rPr>
              <w:t>10.25</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10.26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40" w:type="dxa"/>
            <w:vAlign w:val="bottom"/>
            <w:gridSpan w:val="32"/>
            <w:shd w:val="clear" w:color="auto" w:fill="CCEEFF"/>
          </w:tcPr>
          <w:p>
            <w:pPr>
              <w:spacing w:after="0" w:line="202" w:lineRule="exact"/>
              <w:rPr>
                <w:rFonts w:ascii="Arial" w:cs="Arial" w:eastAsia="Arial" w:hAnsi="Arial"/>
                <w:sz w:val="18"/>
                <w:szCs w:val="18"/>
                <w:color w:val="0000FF"/>
              </w:rPr>
            </w:pPr>
            <w:hyperlink r:id="rId129">
              <w:r>
                <w:rPr>
                  <w:rFonts w:ascii="Arial" w:cs="Arial" w:eastAsia="Arial" w:hAnsi="Arial"/>
                  <w:sz w:val="18"/>
                  <w:szCs w:val="18"/>
                  <w:color w:val="0000FF"/>
                </w:rPr>
                <w:t>Amended form of 2018 Equity Incentive Plan stock option</w:t>
              </w:r>
            </w:hyperlink>
          </w:p>
        </w:tc>
        <w:tc>
          <w:tcPr>
            <w:tcW w:w="64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10-Q</w:t>
            </w:r>
          </w:p>
        </w:tc>
        <w:tc>
          <w:tcPr>
            <w:tcW w:w="1620" w:type="dxa"/>
            <w:vAlign w:val="bottom"/>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9"/>
              </w:rPr>
              <w:t>7/29/2019</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10.1</w:t>
            </w:r>
          </w:p>
        </w:tc>
        <w:tc>
          <w:tcPr>
            <w:tcW w:w="124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560" w:type="dxa"/>
            <w:vAlign w:val="bottom"/>
            <w:tcBorders>
              <w:top w:val="single" w:sz="8" w:color="0000FF"/>
            </w:tcBorders>
            <w:gridSpan w:val="21"/>
            <w:shd w:val="clear" w:color="auto" w:fill="CCEEFF"/>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award agreement.</w:t>
              </w:r>
            </w:hyperlink>
          </w:p>
        </w:tc>
        <w:tc>
          <w:tcPr>
            <w:tcW w:w="680" w:type="dxa"/>
            <w:vAlign w:val="bottom"/>
            <w:tcBorders>
              <w:top w:val="single" w:sz="8" w:color="CCEEFF"/>
            </w:tcBorders>
            <w:gridSpan w:val="11"/>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7"/>
              </w:rPr>
              <w:t>10.27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bottom w:val="single" w:sz="8" w:color="0000FF"/>
            </w:tcBorders>
            <w:gridSpan w:val="25"/>
          </w:tcPr>
          <w:p>
            <w:pPr>
              <w:spacing w:after="0" w:line="202"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Amended form of 2018 Equity Incentive Plan restricted stock</w:t>
              </w:r>
            </w:hyperlink>
          </w:p>
        </w:tc>
        <w:tc>
          <w:tcPr>
            <w:tcW w:w="420" w:type="dxa"/>
            <w:vAlign w:val="bottom"/>
            <w:gridSpan w:val="7"/>
          </w:tcPr>
          <w:p>
            <w:pPr>
              <w:spacing w:after="0"/>
              <w:rPr>
                <w:sz w:val="17"/>
                <w:szCs w:val="17"/>
                <w:color w:val="auto"/>
              </w:rPr>
            </w:pPr>
          </w:p>
        </w:tc>
        <w:tc>
          <w:tcPr>
            <w:tcW w:w="64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10-Q</w:t>
            </w:r>
          </w:p>
        </w:tc>
        <w:tc>
          <w:tcPr>
            <w:tcW w:w="1620" w:type="dxa"/>
            <w:vAlign w:val="bottom"/>
            <w:gridSpan w:val="3"/>
          </w:tcPr>
          <w:p>
            <w:pPr>
              <w:jc w:val="center"/>
              <w:ind w:left="170"/>
              <w:spacing w:after="0" w:line="202" w:lineRule="exact"/>
              <w:rPr>
                <w:sz w:val="20"/>
                <w:szCs w:val="20"/>
                <w:color w:val="auto"/>
              </w:rPr>
            </w:pPr>
            <w:r>
              <w:rPr>
                <w:rFonts w:ascii="Arial" w:cs="Arial" w:eastAsia="Arial" w:hAnsi="Arial"/>
                <w:sz w:val="18"/>
                <w:szCs w:val="18"/>
                <w:color w:val="auto"/>
                <w:w w:val="99"/>
              </w:rPr>
              <w:t>7/29/2019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10.2</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40" w:type="dxa"/>
            <w:vAlign w:val="bottom"/>
            <w:gridSpan w:val="32"/>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unit award agreement.</w:t>
              </w:r>
            </w:hyperlink>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40" w:type="dxa"/>
            <w:vAlign w:val="bottom"/>
            <w:gridSpan w:val="32"/>
            <w:shd w:val="clear" w:color="auto" w:fill="CCEEFF"/>
          </w:tcPr>
          <w:p>
            <w:pPr>
              <w:spacing w:after="0" w:line="202" w:lineRule="exact"/>
              <w:rPr>
                <w:sz w:val="20"/>
                <w:szCs w:val="20"/>
                <w:color w:val="auto"/>
              </w:rPr>
            </w:pPr>
            <w:r>
              <w:rPr>
                <w:rFonts w:ascii="Arial" w:cs="Arial" w:eastAsia="Arial" w:hAnsi="Arial"/>
                <w:sz w:val="18"/>
                <w:szCs w:val="18"/>
                <w:color w:val="0000FF"/>
              </w:rPr>
              <w:t>Consent of Deloitte &amp; Touche LLP.</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40" w:type="dxa"/>
            <w:vAlign w:val="bottom"/>
            <w:tcBorders>
              <w:bottom w:val="single" w:sz="8" w:color="0000FF"/>
            </w:tcBorders>
            <w:gridSpan w:val="20"/>
          </w:tcPr>
          <w:p>
            <w:pPr>
              <w:spacing w:after="0" w:line="20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Consent of Orrick, Herrington &amp; Sutcliffe LLP (included in</w:t>
              </w:r>
            </w:hyperlink>
          </w:p>
        </w:tc>
        <w:tc>
          <w:tcPr>
            <w:tcW w:w="700" w:type="dxa"/>
            <w:vAlign w:val="bottom"/>
            <w:gridSpan w:val="12"/>
          </w:tcPr>
          <w:p>
            <w:pPr>
              <w:spacing w:after="0"/>
              <w:rPr>
                <w:sz w:val="17"/>
                <w:szCs w:val="17"/>
                <w:color w:val="auto"/>
              </w:rPr>
            </w:pPr>
          </w:p>
        </w:tc>
        <w:tc>
          <w:tcPr>
            <w:tcW w:w="64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S-1</w:t>
            </w:r>
          </w:p>
        </w:tc>
        <w:tc>
          <w:tcPr>
            <w:tcW w:w="1620" w:type="dxa"/>
            <w:vAlign w:val="bottom"/>
            <w:gridSpan w:val="3"/>
          </w:tcPr>
          <w:p>
            <w:pPr>
              <w:jc w:val="center"/>
              <w:ind w:left="170"/>
              <w:spacing w:after="0" w:line="202" w:lineRule="exact"/>
              <w:rPr>
                <w:sz w:val="20"/>
                <w:szCs w:val="20"/>
                <w:color w:val="auto"/>
              </w:rPr>
            </w:pPr>
            <w:r>
              <w:rPr>
                <w:rFonts w:ascii="Arial" w:cs="Arial" w:eastAsia="Arial" w:hAnsi="Arial"/>
                <w:sz w:val="18"/>
                <w:szCs w:val="18"/>
                <w:color w:val="auto"/>
                <w:w w:val="99"/>
              </w:rPr>
              <w:t>7/29/2019</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23.2</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40" w:type="dxa"/>
            <w:vAlign w:val="bottom"/>
            <w:gridSpan w:val="32"/>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Exhibit 5.1).</w:t>
              </w:r>
            </w:hyperlink>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Powers of Attorney (included on signature page).</w:t>
              </w:r>
            </w:hyperlink>
          </w:p>
        </w:tc>
        <w:tc>
          <w:tcPr>
            <w:tcW w:w="1340" w:type="dxa"/>
            <w:vAlign w:val="bottom"/>
            <w:tcBorders>
              <w:bottom w:val="single" w:sz="8" w:color="CCEEFF"/>
            </w:tcBorders>
            <w:gridSpan w:val="16"/>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4"/>
              </w:rPr>
              <w:t>*</w:t>
            </w:r>
          </w:p>
        </w:tc>
      </w:tr>
      <w:tr>
        <w:trPr>
          <w:trHeight w:val="263"/>
        </w:trPr>
        <w:tc>
          <w:tcPr>
            <w:tcW w:w="1500" w:type="dxa"/>
            <w:vAlign w:val="bottom"/>
            <w:gridSpan w:val="2"/>
          </w:tcPr>
          <w:p>
            <w:pPr>
              <w:jc w:val="center"/>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2"/>
                <w:szCs w:val="22"/>
                <w:color w:val="auto"/>
              </w:rPr>
            </w:pPr>
          </w:p>
        </w:tc>
        <w:tc>
          <w:tcPr>
            <w:tcW w:w="5240" w:type="dxa"/>
            <w:vAlign w:val="bottom"/>
            <w:gridSpan w:val="32"/>
          </w:tcPr>
          <w:p>
            <w:pPr>
              <w:spacing w:after="0"/>
              <w:rPr>
                <w:sz w:val="20"/>
                <w:szCs w:val="20"/>
                <w:color w:val="auto"/>
              </w:rPr>
            </w:pPr>
            <w:r>
              <w:rPr>
                <w:rFonts w:ascii="Arial" w:cs="Arial" w:eastAsia="Arial" w:hAnsi="Arial"/>
                <w:sz w:val="18"/>
                <w:szCs w:val="18"/>
                <w:color w:val="auto"/>
              </w:rPr>
              <w:t>XBRL Report Instance Document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r>
      <w:tr>
        <w:trPr>
          <w:trHeight w:val="277"/>
        </w:trPr>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101.SCH</w:t>
            </w:r>
          </w:p>
        </w:tc>
        <w:tc>
          <w:tcPr>
            <w:tcW w:w="40" w:type="dxa"/>
            <w:vAlign w:val="bottom"/>
            <w:shd w:val="clear" w:color="auto" w:fill="CCEEFF"/>
          </w:tcPr>
          <w:p>
            <w:pPr>
              <w:spacing w:after="0"/>
              <w:rPr>
                <w:sz w:val="24"/>
                <w:szCs w:val="24"/>
                <w:color w:val="auto"/>
              </w:rPr>
            </w:pPr>
          </w:p>
        </w:tc>
        <w:tc>
          <w:tcPr>
            <w:tcW w:w="524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4"/>
              </w:rPr>
              <w:t>*</w:t>
            </w:r>
          </w:p>
        </w:tc>
      </w:tr>
      <w:tr>
        <w:trPr>
          <w:trHeight w:val="257"/>
        </w:trPr>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9"/>
              </w:rPr>
              <w:t>101.CAL</w:t>
            </w:r>
          </w:p>
        </w:tc>
        <w:tc>
          <w:tcPr>
            <w:tcW w:w="40" w:type="dxa"/>
            <w:vAlign w:val="bottom"/>
          </w:tcPr>
          <w:p>
            <w:pPr>
              <w:spacing w:after="0"/>
              <w:rPr>
                <w:sz w:val="22"/>
                <w:szCs w:val="22"/>
                <w:color w:val="auto"/>
              </w:rPr>
            </w:pPr>
          </w:p>
        </w:tc>
        <w:tc>
          <w:tcPr>
            <w:tcW w:w="5240" w:type="dxa"/>
            <w:vAlign w:val="bottom"/>
            <w:gridSpan w:val="32"/>
          </w:tcPr>
          <w:p>
            <w:pPr>
              <w:spacing w:after="0"/>
              <w:rPr>
                <w:sz w:val="20"/>
                <w:szCs w:val="20"/>
                <w:color w:val="auto"/>
              </w:rPr>
            </w:pPr>
            <w:r>
              <w:rPr>
                <w:rFonts w:ascii="Arial" w:cs="Arial" w:eastAsia="Arial" w:hAnsi="Arial"/>
                <w:sz w:val="18"/>
                <w:szCs w:val="18"/>
                <w:color w:val="auto"/>
              </w:rPr>
              <w:t>XBRL Taxonomy Calculation Linkbase Document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527" w:right="2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tcPr>
          <w:p>
            <w:pPr>
              <w:jc w:val="center"/>
              <w:ind w:left="2413"/>
              <w:spacing w:after="0"/>
              <w:rPr>
                <w:sz w:val="20"/>
                <w:szCs w:val="20"/>
                <w:color w:val="auto"/>
              </w:rPr>
            </w:pPr>
            <w:r>
              <w:rPr>
                <w:rFonts w:ascii="Arial" w:cs="Arial" w:eastAsia="Arial" w:hAnsi="Arial"/>
                <w:sz w:val="16"/>
                <w:szCs w:val="16"/>
                <w:b w:val="1"/>
                <w:bCs w:val="1"/>
                <w:color w:val="auto"/>
              </w:rPr>
              <w:t>EXHIBIT INDEX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Exhibit No.</w:t>
            </w:r>
          </w:p>
        </w:tc>
        <w:tc>
          <w:tcPr>
            <w:tcW w:w="5920" w:type="dxa"/>
            <w:vAlign w:val="bottom"/>
            <w:gridSpan w:val="3"/>
          </w:tcPr>
          <w:p>
            <w:pPr>
              <w:ind w:left="1840"/>
              <w:spacing w:after="0"/>
              <w:rPr>
                <w:sz w:val="20"/>
                <w:szCs w:val="20"/>
                <w:color w:val="auto"/>
              </w:rPr>
            </w:pPr>
            <w:r>
              <w:rPr>
                <w:rFonts w:ascii="Arial" w:cs="Arial" w:eastAsia="Arial" w:hAnsi="Arial"/>
                <w:sz w:val="16"/>
                <w:szCs w:val="16"/>
                <w:b w:val="1"/>
                <w:bCs w:val="1"/>
                <w:color w:val="auto"/>
              </w:rPr>
              <w:t>Exhibit Description</w:t>
            </w:r>
          </w:p>
        </w:tc>
        <w:tc>
          <w:tcPr>
            <w:tcW w:w="2760" w:type="dxa"/>
            <w:vAlign w:val="bottom"/>
            <w:gridSpan w:val="5"/>
          </w:tcPr>
          <w:p>
            <w:pPr>
              <w:ind w:left="2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264"/>
        </w:trPr>
        <w:tc>
          <w:tcPr>
            <w:tcW w:w="13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1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Form</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r>
      <w:tr>
        <w:trPr>
          <w:trHeight w:val="270"/>
        </w:trPr>
        <w:tc>
          <w:tcPr>
            <w:tcW w:w="1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101.LAB</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Label Linkbase Document</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4"/>
              </w:rPr>
              <w:t>*</w:t>
            </w:r>
          </w:p>
        </w:tc>
      </w:tr>
      <w:tr>
        <w:trPr>
          <w:trHeight w:val="263"/>
        </w:trPr>
        <w:tc>
          <w:tcPr>
            <w:tcW w:w="1500" w:type="dxa"/>
            <w:vAlign w:val="bottom"/>
            <w:gridSpan w:val="2"/>
          </w:tcPr>
          <w:p>
            <w:pPr>
              <w:ind w:left="380"/>
              <w:spacing w:after="0"/>
              <w:rPr>
                <w:sz w:val="20"/>
                <w:szCs w:val="20"/>
                <w:color w:val="auto"/>
              </w:rPr>
            </w:pPr>
            <w:r>
              <w:rPr>
                <w:rFonts w:ascii="Arial" w:cs="Arial" w:eastAsia="Arial" w:hAnsi="Arial"/>
                <w:sz w:val="18"/>
                <w:szCs w:val="18"/>
                <w:color w:val="auto"/>
              </w:rPr>
              <w:t>101.PRE</w:t>
            </w:r>
          </w:p>
        </w:tc>
        <w:tc>
          <w:tcPr>
            <w:tcW w:w="5920" w:type="dxa"/>
            <w:vAlign w:val="bottom"/>
            <w:gridSpan w:val="3"/>
          </w:tcPr>
          <w:p>
            <w:pPr>
              <w:ind w:left="40"/>
              <w:spacing w:after="0"/>
              <w:rPr>
                <w:sz w:val="20"/>
                <w:szCs w:val="20"/>
                <w:color w:val="auto"/>
              </w:rPr>
            </w:pPr>
            <w:r>
              <w:rPr>
                <w:rFonts w:ascii="Arial" w:cs="Arial" w:eastAsia="Arial" w:hAnsi="Arial"/>
                <w:sz w:val="18"/>
                <w:szCs w:val="18"/>
                <w:color w:val="auto"/>
              </w:rPr>
              <w:t>XBRL Presentation Linkbase Document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r>
      <w:tr>
        <w:trPr>
          <w:trHeight w:val="277"/>
        </w:trPr>
        <w:tc>
          <w:tcPr>
            <w:tcW w:w="1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101.DEF</w:t>
            </w:r>
          </w:p>
        </w:tc>
        <w:tc>
          <w:tcPr>
            <w:tcW w:w="5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4"/>
              </w:rPr>
              <w:t>*</w:t>
            </w: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40" w:lineRule="exact"/>
        <w:rPr>
          <w:sz w:val="20"/>
          <w:szCs w:val="20"/>
          <w:color w:val="auto"/>
        </w:rPr>
      </w:pPr>
    </w:p>
    <w:p>
      <w:pPr>
        <w:ind w:left="40" w:right="60" w:hanging="5"/>
        <w:spacing w:after="0" w:line="246" w:lineRule="auto"/>
        <w:tabs>
          <w:tab w:leader="none" w:pos="1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 (10).</w:t>
      </w:r>
    </w:p>
    <w:p>
      <w:pPr>
        <w:spacing w:after="0" w:line="35" w:lineRule="exact"/>
        <w:rPr>
          <w:sz w:val="20"/>
          <w:szCs w:val="20"/>
          <w:color w:val="auto"/>
        </w:rPr>
      </w:pPr>
    </w:p>
    <w:p>
      <w:pPr>
        <w:ind w:left="160" w:hanging="125"/>
        <w:spacing w:after="0"/>
        <w:tabs>
          <w:tab w:leader="none" w:pos="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4" w:lineRule="exact"/>
        <w:rPr>
          <w:rFonts w:ascii="Arial" w:cs="Arial" w:eastAsia="Arial" w:hAnsi="Arial"/>
          <w:sz w:val="18"/>
          <w:szCs w:val="18"/>
          <w:color w:val="auto"/>
        </w:rPr>
      </w:pPr>
    </w:p>
    <w:p>
      <w:pPr>
        <w:ind w:right="520" w:firstLine="332"/>
        <w:spacing w:after="0" w:line="262" w:lineRule="auto"/>
        <w:tabs>
          <w:tab w:leader="none" w:pos="59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527"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Item 17. Undertakings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660" w:hanging="328"/>
        <w:spacing w:after="0" w:line="251"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8"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50" w:lineRule="exact"/>
        <w:rPr>
          <w:rFonts w:ascii="Arial" w:cs="Arial" w:eastAsia="Arial" w:hAnsi="Arial"/>
          <w:sz w:val="18"/>
          <w:szCs w:val="18"/>
          <w:color w:val="auto"/>
        </w:rPr>
      </w:pPr>
    </w:p>
    <w:p>
      <w:pPr>
        <w:jc w:val="both"/>
        <w:ind w:left="660" w:right="560" w:hanging="328"/>
        <w:spacing w:after="0" w:line="256"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68" w:right="259" w:bottom="1440" w:gutter="0" w:footer="0" w:header="0"/>
        </w:sectPr>
      </w:pPr>
    </w:p>
    <w:bookmarkStart w:id="233" w:name="page234"/>
    <w:bookmarkEnd w:id="23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El Segundo, State of California, on July 31, 2019.</w:t>
      </w:r>
    </w:p>
    <w:p>
      <w:pPr>
        <w:spacing w:after="0" w:line="30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BEYOND MEAT, INC.</w:t>
      </w:r>
    </w:p>
    <w:p>
      <w:pPr>
        <w:spacing w:after="0" w:line="388" w:lineRule="exact"/>
        <w:rPr>
          <w:sz w:val="20"/>
          <w:szCs w:val="20"/>
          <w:color w:val="auto"/>
        </w:rPr>
      </w:pPr>
    </w:p>
    <w:p>
      <w:pPr>
        <w:ind w:left="63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22860</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2" w:lineRule="exact"/>
        <w:rPr>
          <w:sz w:val="20"/>
          <w:szCs w:val="20"/>
          <w:color w:val="auto"/>
        </w:rPr>
      </w:pPr>
    </w:p>
    <w:p>
      <w:pPr>
        <w:ind w:left="632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Ethan Brown</w:t>
      </w:r>
    </w:p>
    <w:p>
      <w:pPr>
        <w:spacing w:after="0" w:line="63" w:lineRule="exact"/>
        <w:rPr>
          <w:sz w:val="20"/>
          <w:szCs w:val="20"/>
          <w:color w:val="auto"/>
        </w:rPr>
      </w:pPr>
    </w:p>
    <w:p>
      <w:pPr>
        <w:ind w:left="6320"/>
        <w:spacing w:after="0"/>
        <w:tabs>
          <w:tab w:leader="none" w:pos="7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100"/>
          </w:cols>
          <w:pgMar w:left="240" w:top="468" w:right="559" w:bottom="1440" w:gutter="0" w:footer="0" w:header="0"/>
        </w:sectPr>
      </w:pPr>
    </w:p>
    <w:p>
      <w:pPr>
        <w:spacing w:after="0" w:line="287"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9756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3"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Ethan Brown</w:t>
      </w:r>
    </w:p>
    <w:p>
      <w:pPr>
        <w:spacing w:after="0" w:line="370"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3"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Mark J. Nelson</w:t>
      </w:r>
    </w:p>
    <w:p>
      <w:pPr>
        <w:spacing w:after="0" w:line="370"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Seth Goldman</w:t>
      </w:r>
    </w:p>
    <w:p>
      <w:pPr>
        <w:spacing w:after="0" w:line="356"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Gregory Bohlen</w:t>
      </w:r>
    </w:p>
    <w:p>
      <w:pPr>
        <w:spacing w:after="0" w:line="343"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29756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80"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Diane Carhart</w:t>
      </w:r>
    </w:p>
    <w:p>
      <w:pPr>
        <w:spacing w:after="0" w:line="356"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Raymond J. Lane</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83185</wp:posOffset>
            </wp:positionV>
            <wp:extent cx="2675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President, Chief Executive Officer, and Director (Principal</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Executive Officer)</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Chief Financial Officer and Treasurer (Principal Financial</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Officer and Principal Accounting Officer)</w:t>
      </w:r>
    </w:p>
    <w:p>
      <w:pPr>
        <w:spacing w:after="0" w:line="200" w:lineRule="exact"/>
        <w:rPr>
          <w:sz w:val="20"/>
          <w:szCs w:val="20"/>
          <w:color w:val="auto"/>
        </w:rPr>
      </w:pPr>
    </w:p>
    <w:p>
      <w:pPr>
        <w:spacing w:after="0" w:line="3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Executive Chair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83185</wp:posOffset>
            </wp:positionV>
            <wp:extent cx="14490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July 31, 2019</w:t>
      </w:r>
    </w:p>
    <w:p>
      <w:pPr>
        <w:sectPr>
          <w:pgSz w:w="11900" w:h="16838" w:orient="portrait"/>
          <w:cols w:equalWidth="0" w:num="3">
            <w:col w:w="4160" w:space="720"/>
            <w:col w:w="4200" w:space="720"/>
            <w:col w:w="1300"/>
          </w:cols>
          <w:pgMar w:left="240" w:top="468" w:right="559" w:bottom="1440" w:gutter="0" w:footer="0" w:header="0"/>
          <w:type w:val="continuous"/>
        </w:sectPr>
      </w:pPr>
    </w:p>
    <w:bookmarkStart w:id="234" w:name="page235"/>
    <w:bookmarkEnd w:id="234"/>
    <w:p>
      <w:pPr>
        <w:jc w:val="center"/>
        <w:ind w:right="1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19050</wp:posOffset>
            </wp:positionV>
            <wp:extent cx="29756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Bernhard van Lengerich, Ph.D.</w:t>
      </w:r>
    </w:p>
    <w:p>
      <w:pPr>
        <w:spacing w:after="0" w:line="370"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19050</wp:posOffset>
            </wp:positionV>
            <wp:extent cx="29756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Ned Segal</w:t>
      </w:r>
    </w:p>
    <w:p>
      <w:pPr>
        <w:spacing w:after="0" w:line="35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19050</wp:posOffset>
            </wp:positionV>
            <wp:extent cx="29756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Christopher Isaac Stone</w:t>
      </w:r>
    </w:p>
    <w:p>
      <w:pPr>
        <w:spacing w:after="0" w:line="35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19050</wp:posOffset>
            </wp:positionV>
            <wp:extent cx="29756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Donald Thompson</w:t>
      </w:r>
    </w:p>
    <w:p>
      <w:pPr>
        <w:spacing w:after="0" w:line="35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19050</wp:posOffset>
            </wp:positionV>
            <wp:extent cx="29756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Kathy N. Waller</w:t>
      </w:r>
    </w:p>
    <w:p>
      <w:pPr>
        <w:spacing w:after="0" w:line="200" w:lineRule="exact"/>
        <w:rPr>
          <w:sz w:val="20"/>
          <w:szCs w:val="20"/>
          <w:color w:val="auto"/>
        </w:rPr>
      </w:pPr>
    </w:p>
    <w:p>
      <w:pPr>
        <w:spacing w:after="0" w:line="370" w:lineRule="exact"/>
        <w:rPr>
          <w:sz w:val="20"/>
          <w:szCs w:val="20"/>
          <w:color w:val="auto"/>
        </w:rPr>
      </w:pPr>
    </w:p>
    <w:p>
      <w:pPr>
        <w:jc w:val="center"/>
        <w:ind w:right="37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Mark J. Nelson</w:t>
      </w:r>
    </w:p>
    <w:p>
      <w:pPr>
        <w:spacing w:after="0" w:line="183" w:lineRule="exact"/>
        <w:rPr>
          <w:sz w:val="20"/>
          <w:szCs w:val="20"/>
          <w:color w:val="auto"/>
        </w:rPr>
      </w:pPr>
    </w:p>
    <w:p>
      <w:pPr>
        <w:jc w:val="center"/>
        <w:ind w:right="3740"/>
        <w:spacing w:after="0"/>
        <w:rPr>
          <w:sz w:val="20"/>
          <w:szCs w:val="20"/>
          <w:color w:val="auto"/>
        </w:rPr>
      </w:pPr>
      <w:r>
        <w:rPr>
          <w:rFonts w:ascii="Arial" w:cs="Arial" w:eastAsia="Arial" w:hAnsi="Arial"/>
          <w:sz w:val="18"/>
          <w:szCs w:val="18"/>
          <w:u w:val="single" w:color="auto"/>
          <w:color w:val="auto"/>
        </w:rPr>
        <w:t>Mark J. Nelson</w:t>
      </w:r>
    </w:p>
    <w:p>
      <w:pPr>
        <w:spacing w:after="0" w:line="171" w:lineRule="exact"/>
        <w:rPr>
          <w:sz w:val="20"/>
          <w:szCs w:val="20"/>
          <w:color w:val="auto"/>
        </w:rPr>
      </w:pPr>
    </w:p>
    <w:p>
      <w:pPr>
        <w:jc w:val="center"/>
        <w:ind w:right="3720"/>
        <w:spacing w:after="0"/>
        <w:rPr>
          <w:sz w:val="20"/>
          <w:szCs w:val="20"/>
          <w:color w:val="auto"/>
        </w:rPr>
      </w:pPr>
      <w:r>
        <w:rPr>
          <w:rFonts w:ascii="Arial" w:cs="Arial" w:eastAsia="Arial" w:hAnsi="Arial"/>
          <w:sz w:val="18"/>
          <w:szCs w:val="18"/>
          <w:u w:val="single" w:color="auto"/>
          <w:color w:val="auto"/>
        </w:rPr>
        <w:t>Attorney-in-fact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31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1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1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1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1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31, 2019</w:t>
      </w:r>
    </w:p>
    <w:p>
      <w:pPr>
        <w:sectPr>
          <w:pgSz w:w="11900" w:h="16838" w:orient="portrait"/>
          <w:cols w:equalWidth="0" w:num="2">
            <w:col w:w="5580" w:space="720"/>
            <w:col w:w="4120"/>
          </w:cols>
          <w:pgMar w:left="580" w:top="844" w:right="89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We consent to the use in this Amendment No. 1 to Registration Statement No. 333-232876 of our report dated March 27, 2019, relating to the financial statements of Beyond Meat, Inc. appearing in the Prospectus, which is part of this Registration Statement, and to the reference to us under the heading "Experts" in such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decimal"/>
      <w:start w:val="1"/>
    </w:lvl>
  </w:abstractNum>
  <w:abstractNum w:abstractNumId="16">
    <w:nsid w:val="42C296BD"/>
    <w:multiLevelType w:val="hybridMultilevel"/>
    <w:lvl w:ilvl="0">
      <w:lvlJc w:val="left"/>
      <w:lvlText w:val="(%1)"/>
      <w:numFmt w:val="decimal"/>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lowerLetter"/>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1)"/>
      <w:numFmt w:val="decimal"/>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1)"/>
      <w:numFmt w:val="decimal"/>
      <w:start w:val="1"/>
    </w:lvl>
  </w:abstractNum>
  <w:abstractNum w:abstractNumId="35">
    <w:nsid w:val="6A5EE64"/>
    <w:multiLevelType w:val="hybridMultilevel"/>
    <w:lvl w:ilvl="0">
      <w:lvlJc w:val="left"/>
      <w:lvlText w:val="(%1)"/>
      <w:numFmt w:val="decimal"/>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1)"/>
      <w:numFmt w:val="decimal"/>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decimal"/>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1)"/>
      <w:numFmt w:val="decimal"/>
      <w:start w:val="1"/>
    </w:lvl>
  </w:abstractNum>
  <w:abstractNum w:abstractNumId="80">
    <w:nsid w:val="6A3DD3E8"/>
    <w:multiLevelType w:val="hybridMultilevel"/>
    <w:lvl w:ilvl="0">
      <w:lvlJc w:val="left"/>
      <w:lvlText w:val="(%1)"/>
      <w:numFmt w:val="decimal"/>
      <w:start w:val="2"/>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1)"/>
      <w:numFmt w:val="decimal"/>
      <w:start w:val="5"/>
    </w:lvl>
  </w:abstractNum>
  <w:abstractNum w:abstractNumId="83">
    <w:nsid w:val="53299938"/>
    <w:multiLevelType w:val="hybridMultilevel"/>
    <w:lvl w:ilvl="0">
      <w:lvlJc w:val="left"/>
      <w:lvlText w:val="(%1)"/>
      <w:numFmt w:val="decimal"/>
      <w:start w:val="17"/>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1"/>
    </w:lvl>
  </w:abstractNum>
  <w:abstractNum w:abstractNumId="90">
    <w:nsid w:val="1D9F6E5F"/>
    <w:multiLevelType w:val="hybridMultilevel"/>
    <w:lvl w:ilvl="0">
      <w:lvlJc w:val="left"/>
      <w:lvlText w:val="(%1)"/>
      <w:numFmt w:val="decimal"/>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decimal"/>
      <w:start w:val="1"/>
    </w:lvl>
  </w:abstractNum>
  <w:abstractNum w:abstractNumId="93">
    <w:nsid w:val="1CA0C5FA"/>
    <w:multiLevelType w:val="hybridMultilevel"/>
    <w:lvl w:ilvl="0">
      <w:lvlJc w:val="left"/>
      <w:lvlText w:val="(%1)"/>
      <w:numFmt w:val="decimal"/>
      <w:start w:val="1"/>
    </w:lvl>
  </w:abstractNum>
  <w:abstractNum w:abstractNumId="94">
    <w:nsid w:val="53584BCB"/>
    <w:multiLevelType w:val="hybridMultilevel"/>
    <w:lvl w:ilvl="0">
      <w:lvlJc w:val="left"/>
      <w:lvlText w:val="(%1)"/>
      <w:numFmt w:val="decimal"/>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1)"/>
      <w:numFmt w:val="decimal"/>
      <w:start w:val="1"/>
    </w:lvl>
  </w:abstractNum>
  <w:abstractNum w:abstractNumId="99">
    <w:nsid w:val="5C10FE21"/>
    <w:multiLevelType w:val="hybridMultilevel"/>
    <w:lvl w:ilvl="0">
      <w:lvlJc w:val="left"/>
      <w:lvlText w:val="(%1)"/>
      <w:numFmt w:val="decimal"/>
      <w:start w:val="7"/>
    </w:lvl>
  </w:abstractNum>
  <w:abstractNum w:abstractNumId="100">
    <w:nsid w:val="E7FFA2B"/>
    <w:multiLevelType w:val="hybridMultilevel"/>
    <w:lvl w:ilvl="0">
      <w:lvlJc w:val="left"/>
      <w:lvlText w:val="(%1)"/>
      <w:numFmt w:val="decimal"/>
      <w:start w:val="18"/>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lvl w:ilvl="1">
      <w:lvlJc w:val="left"/>
      <w:lvlText w:val="(%2)"/>
      <w:numFmt w:val="lowerLetter"/>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1)"/>
      <w:numFmt w:val="decimal"/>
      <w:start w:val="1"/>
    </w:lvl>
  </w:abstractNum>
  <w:abstractNum w:abstractNumId="116">
    <w:nsid w:val="2708C9AF"/>
    <w:multiLevelType w:val="hybridMultilevel"/>
    <w:lvl w:ilvl="0">
      <w:lvlJc w:val="left"/>
      <w:lvlText w:val="(%1)"/>
      <w:numFmt w:val="decimal"/>
      <w:start w:val="1"/>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1)"/>
      <w:numFmt w:val="decimal"/>
      <w:start w:val="9"/>
    </w:lvl>
  </w:abstractNum>
  <w:abstractNum w:abstractNumId="123">
    <w:nsid w:val="56438D15"/>
    <w:multiLevelType w:val="hybridMultilevel"/>
    <w:lvl w:ilvl="0">
      <w:lvlJc w:val="left"/>
      <w:lvlText w:val="(%1)"/>
      <w:numFmt w:val="lowerLetter"/>
      <w:start w:val="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
      <w:numFmt w:val="bullet"/>
      <w:start w:val="1"/>
    </w:lvl>
    <w:lvl w:ilvl="1">
      <w:lvlJc w:val="left"/>
      <w:lvlText w:val="(%2)"/>
      <w:numFmt w:val="lowerLetter"/>
      <w:start w:val="2"/>
    </w:lvl>
  </w:abstractNum>
  <w:abstractNum w:abstractNumId="126">
    <w:nsid w:val="17A1B5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104"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98" Type="http://schemas.openxmlformats.org/officeDocument/2006/relationships/hyperlink" Target="http://www.sec.gov/Archives/edgar/data/1655210/000162828019009137/exhibit11followons-1underw.htm" TargetMode="External"/><Relationship Id="rId99" Type="http://schemas.openxmlformats.org/officeDocument/2006/relationships/hyperlink" Target="http://www.sec.gov/Archives/edgar/data/1655210/000165521019000053/byndarcert_incorpex-31.htm" TargetMode="External"/><Relationship Id="rId100" Type="http://schemas.openxmlformats.org/officeDocument/2006/relationships/hyperlink" Target="http://www.sec.gov/Archives/edgar/data/1655210/000165521019000053/byndarbylawsex-32.htm" TargetMode="External"/><Relationship Id="rId101" Type="http://schemas.openxmlformats.org/officeDocument/2006/relationships/hyperlink" Target="http://www.sec.gov/Archives/edgar/data/1655210/000162828019003500/exhibit41-sx1a3.htm" TargetMode="External"/><Relationship Id="rId102" Type="http://schemas.openxmlformats.org/officeDocument/2006/relationships/hyperlink" Target="http://www.sec.gov/Archives/edgar/data/1655210/000162828018014471/exhibit42bynd.htm" TargetMode="External"/><Relationship Id="rId103" Type="http://schemas.openxmlformats.org/officeDocument/2006/relationships/hyperlink" Target="http://www.sec.gov/Archives/edgar/data/1655210/000162828019009137/exhibit51followons-1opinion.htm" TargetMode="External"/><Relationship Id="rId105" Type="http://schemas.openxmlformats.org/officeDocument/2006/relationships/hyperlink" Target="http://www.sec.gov/Archives/edgar/data/1655210/000162828018014471/exhibit101bynd.htm" TargetMode="External"/><Relationship Id="rId106" Type="http://schemas.openxmlformats.org/officeDocument/2006/relationships/hyperlink" Target="http://www.sec.gov/Archives/edgar/data/1655210/000162828018014471/exhibit102bynd.htm" TargetMode="External"/><Relationship Id="rId107" Type="http://schemas.openxmlformats.org/officeDocument/2006/relationships/hyperlink" Target="http://www.sec.gov/Archives/edgar/data/1655210/000162828018014471/exhibit103bynd.htm" TargetMode="External"/><Relationship Id="rId108" Type="http://schemas.openxmlformats.org/officeDocument/2006/relationships/hyperlink" Target="http://www.sec.gov/Archives/edgar/data/1655210/000162828018014471/exhibit104bynd.htm" TargetMode="External"/><Relationship Id="rId109" Type="http://schemas.openxmlformats.org/officeDocument/2006/relationships/hyperlink" Target="http://www.sec.gov/Archives/edgar/data/1655210/000162828018014471/exhibit105bynd.htm" TargetMode="External"/><Relationship Id="rId110" Type="http://schemas.openxmlformats.org/officeDocument/2006/relationships/hyperlink" Target="http://www.sec.gov/Archives/edgar/data/1655210/000162828018014471/exhibit106bynd.htm" TargetMode="External"/><Relationship Id="rId111" Type="http://schemas.openxmlformats.org/officeDocument/2006/relationships/hyperlink" Target="http://www.sec.gov/Archives/edgar/data/1655210/000162828018014471/exhibit107bynd.htm" TargetMode="External"/><Relationship Id="rId112" Type="http://schemas.openxmlformats.org/officeDocument/2006/relationships/hyperlink" Target="http://www.sec.gov/Archives/edgar/data/1655210/000162828018014471/exhibit108bynd.htm" TargetMode="External"/><Relationship Id="rId113" Type="http://schemas.openxmlformats.org/officeDocument/2006/relationships/hyperlink" Target="http://www.sec.gov/Archives/edgar/data/1655210/000162828018014471/exhibit109bynd.htm" TargetMode="External"/><Relationship Id="rId114" Type="http://schemas.openxmlformats.org/officeDocument/2006/relationships/hyperlink" Target="http://www.sec.gov/Archives/edgar/data/1655210/000162828019004307/exhibit1010s-1a4.htm" TargetMode="External"/><Relationship Id="rId115" Type="http://schemas.openxmlformats.org/officeDocument/2006/relationships/hyperlink" Target="http://www.sec.gov/Archives/edgar/data/1655210/000162828019000200/exhibit1011bynd.htm" TargetMode="External"/><Relationship Id="rId116" Type="http://schemas.openxmlformats.org/officeDocument/2006/relationships/hyperlink" Target="http://www.sec.gov/Archives/edgar/data/1655210/000162828019004307/exhibit1012s-1a4.htm" TargetMode="External"/><Relationship Id="rId117" Type="http://schemas.openxmlformats.org/officeDocument/2006/relationships/hyperlink" Target="http://www.sec.gov/Archives/edgar/data/1655210/000162828019000200/exhibit1013bynd.htm" TargetMode="External"/><Relationship Id="rId118" Type="http://schemas.openxmlformats.org/officeDocument/2006/relationships/hyperlink" Target="http://www.sec.gov/Archives/edgar/data/1655210/000162828019000200/exhibit1014bynd.htm" TargetMode="External"/><Relationship Id="rId119" Type="http://schemas.openxmlformats.org/officeDocument/2006/relationships/hyperlink" Target="http://www.sec.gov/Archives/edgar/data/1655210/000162828018014471/exhibit1015bynd.htm" TargetMode="External"/><Relationship Id="rId120" Type="http://schemas.openxmlformats.org/officeDocument/2006/relationships/hyperlink" Target="http://www.sec.gov/Archives/edgar/data/1655210/000162828018014471/exhibit1016bynd.htm" TargetMode="External"/><Relationship Id="rId121" Type="http://schemas.openxmlformats.org/officeDocument/2006/relationships/hyperlink" Target="http://www.sec.gov/Archives/edgar/data/1655210/000162828018014471/exhibit1017bynd.htm" TargetMode="External"/><Relationship Id="rId122" Type="http://schemas.openxmlformats.org/officeDocument/2006/relationships/hyperlink" Target="http://www.sec.gov/Archives/edgar/data/1655210/000162828018014471/exhibit1018bynd.htm" TargetMode="External"/><Relationship Id="rId123" Type="http://schemas.openxmlformats.org/officeDocument/2006/relationships/hyperlink" Target="http://www.sec.gov/Archives/edgar/data/1655210/000162828019004307/exhibit1019-sx1a4.htm" TargetMode="External"/><Relationship Id="rId124" Type="http://schemas.openxmlformats.org/officeDocument/2006/relationships/hyperlink" Target="http://www.sec.gov/Archives/edgar/data/1655210/000162828019000200/exhibit1020bynd.htm" TargetMode="External"/><Relationship Id="rId125" Type="http://schemas.openxmlformats.org/officeDocument/2006/relationships/hyperlink" Target="http://www.sec.gov/Archives/edgar/data/1655210/000162828019004307/exhibit1021-sx1a4.htm" TargetMode="External"/><Relationship Id="rId126" Type="http://schemas.openxmlformats.org/officeDocument/2006/relationships/hyperlink" Target="http://www.sec.gov/Archives/edgar/data/1655210/000162828019004307/exhibit1022-sx1a4.htm" TargetMode="External"/><Relationship Id="rId127" Type="http://schemas.openxmlformats.org/officeDocument/2006/relationships/hyperlink" Target="http://www.sec.gov/Archives/edgar/data/1655210/000162828019003500/exhibit1023-sx1a3.htm" TargetMode="External"/><Relationship Id="rId128" Type="http://schemas.openxmlformats.org/officeDocument/2006/relationships/hyperlink" Target="http://www.sec.gov/Archives/edgar/data/1655210/000165521019000043/0001655210-19-000043-index.htm" TargetMode="External"/><Relationship Id="rId129" Type="http://schemas.openxmlformats.org/officeDocument/2006/relationships/hyperlink" Target="http://www.sec.gov/Archives/edgar/data/1655210/000165521019000066/byndq2201910qex-101.htm" TargetMode="External"/><Relationship Id="rId130" Type="http://schemas.openxmlformats.org/officeDocument/2006/relationships/hyperlink" Target="http://www.sec.gov/Archives/edgar/data/1655210/000165521019000066/byndq2201910qex-102.htm" TargetMode="External"/><Relationship Id="rId131" Type="http://schemas.openxmlformats.org/officeDocument/2006/relationships/hyperlink" Target="http://www.sec.gov/Archives/edgar/data/1655210/000162828019009137/beyondmeatfollowons-1.htm#sa7830dc2e373425bbe6b09154c95c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2019-12-21T06:49:30Z</dcterms:created>
  <dcterms:modified xsi:type="dcterms:W3CDTF">2019-12-21T06:49:30Z</dcterms:modified>
</cp:coreProperties>
</file>