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May 28,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295"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pPr>
      <w:r>
        <w:rPr/>
      </w:r>
    </w:p>
    <w:p>
      <w:pPr>
        <w:pStyle w:val="TextBody"/>
        <w:bidi w:val="0"/>
        <w:spacing w:lineRule="auto" w:line="357" w:before="0" w:after="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 xml:space="preserve">On May 28, 2026, Raphael Thomas Wallander resigned as a Class III director and member of the Human Capital Management and Compensation Committee of the board of directors (the “Board”) of Beyond Meat, Inc. (the “Company”). Mr. Wallander was appointed by the Board to serve as a Class III director and member of the Human Capital Management and Compensation Committee effective as of October 15, 2025, in connection with the Company’s offer to exchange its outstanding 0% Convertible Senior Notes due 2027 for a combination of the Company’s newly issued 7.00% Convertible Senior Secured Second Lien PIK Toggle Notes due 2030 and shares of the Company’s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June 3, 2026</w:t>
      </w:r>
    </w:p>
    <w:p>
      <w:pPr>
        <w:pStyle w:val="TextBody"/>
        <w:bidi w:val="0"/>
        <w:spacing w:before="12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483</Words>
  <Characters>2639</Characters>
  <CharactersWithSpaces>3073</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