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06394.xml.htm"/>
      <w:bookmarkStart w:id="1" w:name="kswkform4_178960639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WITTEMAN TERI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BEYOND MEAT,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888 N. DOUGLAS STREET,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 SEGUNDO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90245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BEYOND MEAT,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BYND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Officer,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10"/>
        <w:gridCol w:w="459"/>
        <w:gridCol w:w="756"/>
        <w:gridCol w:w="1202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10.31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151,943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to pay taxes applicable to vesting of restricted stock units previously awarded pursuant to the Amended and Restated 2018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August 14, 2026, the common stock of Beyond Meat, Inc. split 1-for-30, resulting in the reporting person's ownership of 4,409,202 fewer shares of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Teri L. Witteman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4954" TargetMode="External"/><Relationship Id="rId5" Type="http://schemas.openxmlformats.org/officeDocument/2006/relationships/hyperlink" Target="http://www.sec.gov/cgi-bin/browse-edgar?action=getcompany&amp;CIK=00016552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624</Words>
  <Characters>3375</Characters>
  <CharactersWithSpaces>3929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