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06362.xml.htm"/>
      <w:bookmarkStart w:id="1" w:name="kswkform4_17896063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KUTUA LUBI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BEYOND MEAT,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888 N. DOUGLAS STREET,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SEGUNDO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90245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BEYOND MEAT,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CFO,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10"/>
        <w:gridCol w:w="459"/>
        <w:gridCol w:w="756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10.31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210,092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pay taxes applicable to vesting of restricted stock units previously awarded pursuant to the Amended and Restated 2018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14, 2026, the common stock of Beyond Meat, Inc. split 1-for-30, resulting in the reporting person's ownership of 6,097,133 fewer shares of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Teri L. Witteman, as Attorney-In-Fact for Lubi Kutua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1059" TargetMode="External"/><Relationship Id="rId5" Type="http://schemas.openxmlformats.org/officeDocument/2006/relationships/hyperlink" Target="http://www.sec.gov/cgi-bin/browse-edgar?action=getcompany&amp;CIK=00016552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3389</Characters>
  <CharactersWithSpaces>3945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