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18, 2022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79"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113" w:lineRule="exact"/>
        <w:rPr>
          <w:sz w:val="24"/>
          <w:szCs w:val="24"/>
          <w:color w:val="auto"/>
        </w:rPr>
      </w:pPr>
    </w:p>
    <w:p>
      <w:pPr>
        <w:ind w:left="960"/>
        <w:spacing w:after="0"/>
        <w:rPr>
          <w:sz w:val="20"/>
          <w:szCs w:val="20"/>
          <w:color w:val="auto"/>
        </w:rPr>
      </w:pPr>
      <w:r>
        <w:rPr>
          <w:rFonts w:ascii="Arial" w:cs="Arial" w:eastAsia="Arial" w:hAnsi="Arial"/>
          <w:sz w:val="16"/>
          <w:szCs w:val="16"/>
          <w:b w:val="1"/>
          <w:bCs w:val="1"/>
          <w:color w:val="auto"/>
        </w:rPr>
        <w:t>(State or other jurisdiction</w:t>
      </w:r>
    </w:p>
    <w:p>
      <w:pPr>
        <w:spacing w:after="0" w:line="21"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119 Standard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13"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184" w:lineRule="exact"/>
        <w:rPr>
          <w:sz w:val="24"/>
          <w:szCs w:val="24"/>
          <w:color w:val="auto"/>
        </w:rPr>
      </w:pPr>
    </w:p>
    <w:p>
      <w:pPr>
        <w:sectPr>
          <w:pgSz w:w="11900" w:h="16838" w:orient="portrait"/>
          <w:cols w:equalWidth="0" w:num="3">
            <w:col w:w="2980" w:space="140"/>
            <w:col w:w="5000" w:space="380"/>
            <w:col w:w="2740"/>
          </w:cols>
          <w:pgMar w:left="320" w:top="1440" w:right="339" w:bottom="1440" w:gutter="0" w:footer="0" w:header="0"/>
          <w:type w:val="continuous"/>
        </w:sectPr>
      </w:pPr>
    </w:p>
    <w:p>
      <w:pPr>
        <w:spacing w:after="0" w:line="32"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82" w:lineRule="exact"/>
        <w:rPr>
          <w:sz w:val="24"/>
          <w:szCs w:val="24"/>
          <w:color w:val="auto"/>
        </w:rPr>
      </w:pPr>
    </w:p>
    <w:p>
      <w:pPr>
        <w:jc w:val="both"/>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 w:lineRule="exact"/>
        <w:rPr>
          <w:sz w:val="24"/>
          <w:szCs w:val="24"/>
          <w:color w:val="auto"/>
        </w:rPr>
      </w:pPr>
    </w:p>
    <w:p>
      <w:pPr>
        <w:ind w:right="140"/>
        <w:spacing w:after="0" w:line="194"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1299845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As previously reported by Beyond Meat, Inc. (“</w:t>
      </w:r>
      <w:r>
        <w:rPr>
          <w:rFonts w:ascii="Arial" w:cs="Arial" w:eastAsia="Arial" w:hAnsi="Arial"/>
          <w:sz w:val="18"/>
          <w:szCs w:val="18"/>
          <w:u w:val="single" w:color="auto"/>
          <w:color w:val="auto"/>
        </w:rPr>
        <w:t>Beyond Meat</w:t>
      </w:r>
      <w:r>
        <w:rPr>
          <w:rFonts w:ascii="Arial" w:cs="Arial" w:eastAsia="Arial" w:hAnsi="Arial"/>
          <w:sz w:val="18"/>
          <w:szCs w:val="18"/>
          <w:color w:val="auto"/>
        </w:rPr>
        <w:t>”) on Form 10-K for the year ended December 31, 2021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March 2, 2022 and on Form 10-Q for the fiscal quarter ended July 2, 2022 filed with the SEC on August 11, 2022, Don Lee Farms and certain of its employees, on the one hand, and Beyond Meat, and certain of its respective current and former employees, on the other hand, were parties to litigation filed in the Superior Court of the State of California for the County of Los Angeles (Case No. BC662838, the “</w:t>
      </w:r>
      <w:r>
        <w:rPr>
          <w:rFonts w:ascii="Arial" w:cs="Arial" w:eastAsia="Arial" w:hAnsi="Arial"/>
          <w:sz w:val="18"/>
          <w:szCs w:val="18"/>
          <w:u w:val="single" w:color="auto"/>
          <w:color w:val="auto"/>
        </w:rPr>
        <w:t>State Court Case</w:t>
      </w:r>
      <w:r>
        <w:rPr>
          <w:rFonts w:ascii="Arial" w:cs="Arial" w:eastAsia="Arial" w:hAnsi="Arial"/>
          <w:sz w:val="18"/>
          <w:szCs w:val="18"/>
          <w:color w:val="auto"/>
        </w:rPr>
        <w:t>”) and the United States District Court for the Central District of California (Case No. 2:22-CV-03751-AB-GJS, the “</w:t>
      </w:r>
      <w:r>
        <w:rPr>
          <w:rFonts w:ascii="Arial" w:cs="Arial" w:eastAsia="Arial" w:hAnsi="Arial"/>
          <w:sz w:val="18"/>
          <w:szCs w:val="18"/>
          <w:u w:val="single" w:color="auto"/>
          <w:color w:val="auto"/>
        </w:rPr>
        <w:t>Federal Court Case</w:t>
      </w:r>
      <w:r>
        <w:rPr>
          <w:rFonts w:ascii="Arial" w:cs="Arial" w:eastAsia="Arial" w:hAnsi="Arial"/>
          <w:sz w:val="18"/>
          <w:szCs w:val="18"/>
          <w:color w:val="auto"/>
        </w:rPr>
        <w:t>”). On October 18, 2022, the parties entered into a confidential written settlement agreement and mutual release, pursuant to which the parties agreed to dismiss all claims and cross-claims asserted in the State Court Case and Federal Court Case with prejudice. The terms of the settlement did not have a material impact on Beyond Meat’s financial position or results of operations. No party admitted liability or wrongdoing in connection with the settlement. Both sides are satisfied with the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93" w:lineRule="exact"/>
        <w:rPr>
          <w:sz w:val="20"/>
          <w:szCs w:val="20"/>
          <w:color w:val="auto"/>
        </w:rPr>
      </w:pPr>
    </w:p>
    <w:p>
      <w:pPr>
        <w:ind w:firstLine="648"/>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Teri L. Witteman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Teri L. Witteman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Legal Officer and</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October 18, 2022</w:t>
      </w:r>
    </w:p>
    <w:sectPr>
      <w:pgSz w:w="11900" w:h="16838" w:orient="portrait"/>
      <w:cols w:equalWidth="0" w:num="1">
        <w:col w:w="10980"/>
      </w:cols>
      <w:pgMar w:left="32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2022-10-18T16:21:19Z</dcterms:created>
  <dcterms:modified xsi:type="dcterms:W3CDTF">2022-10-18T16:21:19Z</dcterms:modified>
</cp:coreProperties>
</file>