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20, 2022</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79"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Delaware</w:t>
      </w:r>
    </w:p>
    <w:p>
      <w:pPr>
        <w:spacing w:after="0" w:line="113"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(State or other jurisdiction</w:t>
      </w:r>
    </w:p>
    <w:p>
      <w:pPr>
        <w:spacing w:after="0" w:line="21"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jc w:val="center"/>
        <w:ind w:left="-139"/>
        <w:spacing w:after="0"/>
        <w:rPr>
          <w:sz w:val="20"/>
          <w:szCs w:val="20"/>
          <w:color w:val="auto"/>
        </w:rPr>
      </w:pPr>
      <w:r>
        <w:rPr>
          <w:rFonts w:ascii="Arial" w:cs="Arial" w:eastAsia="Arial" w:hAnsi="Arial"/>
          <w:sz w:val="16"/>
          <w:szCs w:val="16"/>
          <w:b w:val="1"/>
          <w:bCs w:val="1"/>
          <w:color w:val="auto"/>
        </w:rPr>
        <w:t>001-38879</w:t>
      </w:r>
    </w:p>
    <w:p>
      <w:pPr>
        <w:spacing w:after="0" w:line="59" w:lineRule="exact"/>
        <w:rPr>
          <w:sz w:val="24"/>
          <w:szCs w:val="24"/>
          <w:color w:val="auto"/>
        </w:rPr>
      </w:pPr>
    </w:p>
    <w:p>
      <w:pPr>
        <w:jc w:val="center"/>
        <w:ind w:left="-159"/>
        <w:spacing w:after="0"/>
        <w:rPr>
          <w:sz w:val="20"/>
          <w:szCs w:val="20"/>
          <w:color w:val="auto"/>
        </w:rPr>
      </w:pPr>
      <w:r>
        <w:rPr>
          <w:rFonts w:ascii="Arial" w:cs="Arial" w:eastAsia="Arial" w:hAnsi="Arial"/>
          <w:sz w:val="16"/>
          <w:szCs w:val="16"/>
          <w:b w:val="1"/>
          <w:bCs w:val="1"/>
          <w:color w:val="auto"/>
        </w:rPr>
        <w:t>(Commission File Number)</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119 Standard Street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El Segundo, California 90245</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(866) 756-4112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26-4087597</w:t>
      </w:r>
    </w:p>
    <w:p>
      <w:pPr>
        <w:spacing w:after="0" w:line="113" w:lineRule="exact"/>
        <w:rPr>
          <w:sz w:val="24"/>
          <w:szCs w:val="24"/>
          <w:color w:val="auto"/>
        </w:rPr>
      </w:pPr>
    </w:p>
    <w:p>
      <w:pPr>
        <w:ind w:left="240"/>
        <w:spacing w:after="0"/>
        <w:rPr>
          <w:sz w:val="20"/>
          <w:szCs w:val="20"/>
          <w:color w:val="auto"/>
        </w:rPr>
      </w:pPr>
      <w:r>
        <w:rPr>
          <w:rFonts w:ascii="Arial" w:cs="Arial" w:eastAsia="Arial" w:hAnsi="Arial"/>
          <w:sz w:val="16"/>
          <w:szCs w:val="16"/>
          <w:b w:val="1"/>
          <w:bCs w:val="1"/>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Number)</w:t>
      </w:r>
    </w:p>
    <w:p>
      <w:pPr>
        <w:spacing w:after="0" w:line="2184" w:lineRule="exact"/>
        <w:rPr>
          <w:sz w:val="24"/>
          <w:szCs w:val="24"/>
          <w:color w:val="auto"/>
        </w:rPr>
      </w:pPr>
    </w:p>
    <w:p>
      <w:pPr>
        <w:sectPr>
          <w:pgSz w:w="11900" w:h="16838" w:orient="portrait"/>
          <w:cols w:equalWidth="0" w:num="3">
            <w:col w:w="3020" w:space="100"/>
            <w:col w:w="5000" w:space="340"/>
            <w:col w:w="2780"/>
          </w:cols>
          <w:pgMar w:left="320" w:top="1440" w:right="339" w:bottom="1440" w:gutter="0" w:footer="0" w:header="0"/>
          <w:type w:val="continuous"/>
        </w:sectPr>
      </w:pPr>
    </w:p>
    <w:p>
      <w:pPr>
        <w:spacing w:after="0" w:line="32"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500" w:hanging="474"/>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120" w:type="dxa"/>
            <w:vAlign w:val="bottom"/>
            <w:gridSpan w:val="2"/>
          </w:tcPr>
          <w:p>
            <w:pPr>
              <w:jc w:val="center"/>
              <w:ind w:right="160"/>
              <w:spacing w:after="0"/>
              <w:rPr>
                <w:sz w:val="20"/>
                <w:szCs w:val="20"/>
                <w:color w:val="auto"/>
              </w:rPr>
            </w:pPr>
            <w:r>
              <w:rPr>
                <w:rFonts w:ascii="Arial" w:cs="Arial" w:eastAsia="Arial" w:hAnsi="Arial"/>
                <w:sz w:val="14"/>
                <w:szCs w:val="14"/>
                <w:color w:val="auto"/>
              </w:rPr>
              <w:t>Title of each class</w:t>
            </w:r>
          </w:p>
        </w:tc>
        <w:tc>
          <w:tcPr>
            <w:tcW w:w="2480" w:type="dxa"/>
            <w:vAlign w:val="bottom"/>
            <w:gridSpan w:val="2"/>
          </w:tcPr>
          <w:p>
            <w:pPr>
              <w:jc w:val="center"/>
              <w:ind w:right="160"/>
              <w:spacing w:after="0"/>
              <w:rPr>
                <w:sz w:val="20"/>
                <w:szCs w:val="20"/>
                <w:color w:val="auto"/>
              </w:rPr>
            </w:pPr>
            <w:r>
              <w:rPr>
                <w:rFonts w:ascii="Arial" w:cs="Arial" w:eastAsia="Arial" w:hAnsi="Arial"/>
                <w:sz w:val="14"/>
                <w:szCs w:val="14"/>
                <w:color w:val="auto"/>
              </w:rPr>
              <w:t>Trading Symbol(s)</w:t>
            </w:r>
          </w:p>
        </w:tc>
        <w:tc>
          <w:tcPr>
            <w:tcW w:w="45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3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r>
        <w:trPr>
          <w:trHeight w:val="248"/>
        </w:trPr>
        <w:tc>
          <w:tcPr>
            <w:tcW w:w="4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Common Stock, $0.0001 par value</w:t>
            </w:r>
          </w:p>
        </w:tc>
        <w:tc>
          <w:tcPr>
            <w:tcW w:w="24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6"/>
              </w:rPr>
              <w:t>BYND</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82" w:lineRule="exact"/>
        <w:rPr>
          <w:sz w:val="24"/>
          <w:szCs w:val="24"/>
          <w:color w:val="auto"/>
        </w:rPr>
      </w:pPr>
    </w:p>
    <w:p>
      <w:pPr>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9" w:lineRule="exact"/>
        <w:rPr>
          <w:sz w:val="24"/>
          <w:szCs w:val="24"/>
          <w:color w:val="auto"/>
        </w:rPr>
      </w:pPr>
    </w:p>
    <w:p>
      <w:pPr>
        <w:ind w:right="140"/>
        <w:spacing w:after="0" w:line="194"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1299845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198120</wp:posOffset>
            </wp:positionV>
            <wp:extent cx="6926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4" w:lineRule="exact"/>
        <w:rPr>
          <w:sz w:val="20"/>
          <w:szCs w:val="20"/>
          <w:color w:val="auto"/>
        </w:rPr>
      </w:pPr>
    </w:p>
    <w:p>
      <w:pPr>
        <w:ind w:right="720"/>
        <w:spacing w:after="0" w:line="374"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51" w:lineRule="exact"/>
        <w:rPr>
          <w:sz w:val="20"/>
          <w:szCs w:val="20"/>
          <w:color w:val="auto"/>
        </w:rPr>
      </w:pPr>
    </w:p>
    <w:p>
      <w:pPr>
        <w:ind w:right="40"/>
        <w:spacing w:after="0" w:line="365" w:lineRule="auto"/>
        <w:rPr>
          <w:sz w:val="20"/>
          <w:szCs w:val="20"/>
          <w:color w:val="auto"/>
        </w:rPr>
      </w:pPr>
      <w:r>
        <w:rPr>
          <w:rFonts w:ascii="Arial" w:cs="Arial" w:eastAsia="Arial" w:hAnsi="Arial"/>
          <w:sz w:val="18"/>
          <w:szCs w:val="18"/>
          <w:color w:val="auto"/>
        </w:rPr>
        <w:t>On September 20, 2022, Bernie Adcock notified Beyond Meat Inc. (the “Company”) that he is stepping down as the Company’s Chief Supply Chain Officer effective September 30, 2022 to pursue another opportunity. The role of Chief Supply Chain Officer has been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Mr. Adcock’s responsibilities will be performed by Jonathan Nelson, the Company’s current Senior Vice President, Manufacturing Operations.</w:t>
      </w:r>
    </w:p>
    <w:p>
      <w:pPr>
        <w:spacing w:after="0" w:line="318" w:lineRule="exact"/>
        <w:rPr>
          <w:sz w:val="20"/>
          <w:szCs w:val="20"/>
          <w:color w:val="auto"/>
        </w:rPr>
      </w:pPr>
    </w:p>
    <w:p>
      <w:pPr>
        <w:ind w:right="20"/>
        <w:spacing w:after="0" w:line="329" w:lineRule="auto"/>
        <w:rPr>
          <w:sz w:val="20"/>
          <w:szCs w:val="20"/>
          <w:color w:val="auto"/>
        </w:rPr>
      </w:pPr>
      <w:r>
        <w:rPr>
          <w:rFonts w:ascii="Arial" w:cs="Arial" w:eastAsia="Arial" w:hAnsi="Arial"/>
          <w:sz w:val="18"/>
          <w:szCs w:val="18"/>
          <w:color w:val="auto"/>
        </w:rPr>
        <w:t>Mr. Nelson, age 57, has served as the Company’s Senior Vice President, Manufacturing Operations since December 1, 2021. Prior to that, Mr. Nelson served as the Company's Vice President, NA Manufacturing Operations from May 3, 2021 to November 30, 2021, assuming additional responsibilities on an interim basis pending the search for a chief operating officer from August 27, 2021 to December 8, 2021. Prior to joining the Company, from March 2021 to May 2021, Mr. Nelson served as Chief Executive Officer of JP Nelson Consulting, a private consulting firm. From January 2012 to January 2021, Mr. Nelson served in various roles with SunOpta, Inc. (NASDAQ: STKL), a global company focused on plant-based foods and beverages, fruit-based foods and beverages, and organic ingredient sourcing and production, including as Vice President, Operations - Ingredients from January 2012 to March 2016, and Vice President, Operations - Plant Based Food and Beverage from March 2016 to January 2021. Mr. Nelson received his BS in Paper Science and Engineering from the University of Minnesota, and his MBA from the University of Mary.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Mr. Nelson's compensation will not change in connection with his performance of these responsibilities.</w:t>
      </w:r>
    </w:p>
    <w:p>
      <w:pPr>
        <w:spacing w:after="0" w:line="320" w:lineRule="exact"/>
        <w:rPr>
          <w:sz w:val="20"/>
          <w:szCs w:val="20"/>
          <w:color w:val="auto"/>
        </w:rPr>
      </w:pPr>
    </w:p>
    <w:p>
      <w:pPr>
        <w:spacing w:after="0" w:line="335" w:lineRule="auto"/>
        <w:rPr>
          <w:sz w:val="20"/>
          <w:szCs w:val="20"/>
          <w:color w:val="auto"/>
        </w:rPr>
      </w:pPr>
      <w:r>
        <w:rPr>
          <w:rFonts w:ascii="Arial" w:cs="Arial" w:eastAsia="Arial" w:hAnsi="Arial"/>
          <w:sz w:val="18"/>
          <w:szCs w:val="18"/>
          <w:color w:val="auto"/>
        </w:rPr>
        <w:t>Mr. Nelson previously entered into the Company’s standard form of indemnification agreement, a copy of which is filed as Exhibit 10.11 to the Company’s Registration Statement on Form S-1/A filed with the SEC on January 9, 2019. Pursuant to the terms of the indemnification agreement, the Company may be required, among other things, to indemnify Mr. Nelson for certain expenses, including attorneys’ fees, judgments, fines and settlement amounts incurred by him in any action or proceeding arising out of his service as an officer of the Company.</w:t>
      </w:r>
    </w:p>
    <w:p>
      <w:pPr>
        <w:spacing w:after="0" w:line="194" w:lineRule="exact"/>
        <w:rPr>
          <w:sz w:val="20"/>
          <w:szCs w:val="20"/>
          <w:color w:val="auto"/>
        </w:rPr>
      </w:pPr>
    </w:p>
    <w:p>
      <w:pPr>
        <w:ind w:right="60"/>
        <w:spacing w:after="0" w:line="347" w:lineRule="auto"/>
        <w:rPr>
          <w:sz w:val="20"/>
          <w:szCs w:val="20"/>
          <w:color w:val="auto"/>
        </w:rPr>
      </w:pPr>
      <w:r>
        <w:rPr>
          <w:rFonts w:ascii="Arial" w:cs="Arial" w:eastAsia="Arial" w:hAnsi="Arial"/>
          <w:sz w:val="18"/>
          <w:szCs w:val="18"/>
          <w:color w:val="auto"/>
        </w:rPr>
        <w:t>There is no arrangement pursuant to which Mr. Nelson was selected as an officer, no family relationships between him and any director or other executive officer of the Company, and no transactions involving him or a member of his immediate family, that would require disclosure by the Company under Item 404(a) of SEC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66"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BEYOND MEAT, INC.</w:t>
      </w:r>
    </w:p>
    <w:p>
      <w:pPr>
        <w:spacing w:after="0" w:line="27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Philip E. Hardin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34925</wp:posOffset>
            </wp:positionV>
            <wp:extent cx="1602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Philip E. Hardin</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 and</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September 23, 2022</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2022-09-23T16:11:13Z</dcterms:created>
  <dcterms:modified xsi:type="dcterms:W3CDTF">2022-09-23T16:11:13Z</dcterms:modified>
</cp:coreProperties>
</file>