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27, 2021</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75"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100" w:lineRule="exact"/>
        <w:rPr>
          <w:sz w:val="24"/>
          <w:szCs w:val="24"/>
          <w:color w:val="auto"/>
        </w:rPr>
      </w:pPr>
    </w:p>
    <w:p>
      <w:pPr>
        <w:ind w:left="860"/>
        <w:spacing w:after="0"/>
        <w:rPr>
          <w:sz w:val="20"/>
          <w:szCs w:val="20"/>
          <w:color w:val="auto"/>
        </w:rPr>
      </w:pPr>
      <w:r>
        <w:rPr>
          <w:rFonts w:ascii="Arial" w:cs="Arial" w:eastAsia="Arial" w:hAnsi="Arial"/>
          <w:sz w:val="16"/>
          <w:szCs w:val="16"/>
          <w:b w:val="1"/>
          <w:bCs w:val="1"/>
          <w:color w:val="auto"/>
        </w:rPr>
        <w:t>(State or other jurisdiction</w:t>
      </w:r>
    </w:p>
    <w:p>
      <w:pPr>
        <w:spacing w:after="0" w:line="25"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of incorporation)</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001-38879</w:t>
      </w:r>
    </w:p>
    <w:p>
      <w:pPr>
        <w:spacing w:after="0" w:line="5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w:t>
      </w: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119 Standard Street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El Segundo, California 90245</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(866) 756-4112</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ind w:left="420"/>
        <w:spacing w:after="0"/>
        <w:rPr>
          <w:sz w:val="20"/>
          <w:szCs w:val="20"/>
          <w:color w:val="auto"/>
        </w:rPr>
      </w:pPr>
      <w:r>
        <w:rPr>
          <w:rFonts w:ascii="Arial" w:cs="Arial" w:eastAsia="Arial" w:hAnsi="Arial"/>
          <w:sz w:val="16"/>
          <w:szCs w:val="16"/>
          <w:b w:val="1"/>
          <w:bCs w:val="1"/>
          <w:color w:val="auto"/>
        </w:rPr>
        <w:t>26-4087597</w:t>
      </w:r>
    </w:p>
    <w:p>
      <w:pPr>
        <w:spacing w:after="0" w:line="100" w:lineRule="exact"/>
        <w:rPr>
          <w:sz w:val="24"/>
          <w:szCs w:val="24"/>
          <w:color w:val="auto"/>
        </w:rPr>
      </w:pPr>
    </w:p>
    <w:p>
      <w:pPr>
        <w:ind w:left="240"/>
        <w:spacing w:after="0"/>
        <w:rPr>
          <w:sz w:val="20"/>
          <w:szCs w:val="20"/>
          <w:color w:val="auto"/>
        </w:rPr>
      </w:pPr>
      <w:r>
        <w:rPr>
          <w:rFonts w:ascii="Arial" w:cs="Arial" w:eastAsia="Arial" w:hAnsi="Arial"/>
          <w:sz w:val="16"/>
          <w:szCs w:val="16"/>
          <w:b w:val="1"/>
          <w:bCs w:val="1"/>
          <w:color w:val="auto"/>
        </w:rPr>
        <w:t>(I.R.S. Employer</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Number)</w:t>
      </w:r>
    </w:p>
    <w:p>
      <w:pPr>
        <w:spacing w:after="0" w:line="2157" w:lineRule="exact"/>
        <w:rPr>
          <w:sz w:val="24"/>
          <w:szCs w:val="24"/>
          <w:color w:val="auto"/>
        </w:rPr>
      </w:pPr>
    </w:p>
    <w:p>
      <w:pPr>
        <w:sectPr>
          <w:pgSz w:w="11900" w:h="16838" w:orient="portrait"/>
          <w:cols w:equalWidth="0" w:num="3">
            <w:col w:w="2880" w:space="240"/>
            <w:col w:w="5000" w:space="280"/>
            <w:col w:w="2840"/>
          </w:cols>
          <w:pgMar w:left="320" w:top="1440" w:right="339" w:bottom="1440" w:gutter="0" w:footer="0" w:header="0"/>
          <w:type w:val="continuous"/>
        </w:sectPr>
      </w:pPr>
    </w:p>
    <w:p>
      <w:pPr>
        <w:spacing w:after="0" w:line="48"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25"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500" w:hanging="474"/>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13-4(c) under the Exchange Act (17 CFR 240.13e-4(c))</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60" w:type="dxa"/>
            <w:vAlign w:val="bottom"/>
          </w:tcPr>
          <w:p>
            <w:pPr>
              <w:spacing w:after="0"/>
              <w:rPr>
                <w:sz w:val="15"/>
                <w:szCs w:val="15"/>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180" w:type="dxa"/>
            <w:vAlign w:val="bottom"/>
          </w:tcPr>
          <w:p>
            <w:pPr>
              <w:spacing w:after="0"/>
              <w:rPr>
                <w:sz w:val="15"/>
                <w:szCs w:val="15"/>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43"/>
        </w:trPr>
        <w:tc>
          <w:tcPr>
            <w:tcW w:w="4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Common Stock, $0.0001 par value</w:t>
            </w:r>
          </w:p>
        </w:tc>
        <w:tc>
          <w:tcPr>
            <w:tcW w:w="25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BYND</w:t>
            </w: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123" w:lineRule="exact"/>
        <w:rPr>
          <w:sz w:val="24"/>
          <w:szCs w:val="24"/>
          <w:color w:val="auto"/>
        </w:rPr>
      </w:pPr>
    </w:p>
    <w:p>
      <w:pPr>
        <w:jc w:val="both"/>
        <w:spacing w:after="0" w:line="24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1300"/>
        <w:spacing w:after="0" w:line="180"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ind w:right="140"/>
        <w:spacing w:after="0" w:line="194"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1128395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6986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6986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00" w:lineRule="exact"/>
        <w:rPr>
          <w:sz w:val="20"/>
          <w:szCs w:val="20"/>
          <w:color w:val="auto"/>
        </w:rPr>
      </w:pPr>
    </w:p>
    <w:p>
      <w:pPr>
        <w:spacing w:after="0" w:line="286"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69" w:lineRule="exact"/>
        <w:rPr>
          <w:sz w:val="20"/>
          <w:szCs w:val="20"/>
          <w:color w:val="auto"/>
        </w:rPr>
      </w:pPr>
    </w:p>
    <w:p>
      <w:pPr>
        <w:ind w:right="60"/>
        <w:spacing w:after="0" w:line="365" w:lineRule="auto"/>
        <w:rPr>
          <w:sz w:val="20"/>
          <w:szCs w:val="20"/>
          <w:color w:val="auto"/>
        </w:rPr>
      </w:pPr>
      <w:r>
        <w:rPr>
          <w:rFonts w:ascii="Arial" w:cs="Arial" w:eastAsia="Arial" w:hAnsi="Arial"/>
          <w:sz w:val="18"/>
          <w:szCs w:val="18"/>
          <w:color w:val="auto"/>
        </w:rPr>
        <w:t>On August 27, 2021, Sanjay Shah notified Beyond Meat, Inc. (the “Company”) that he is stepping down as the Company’s Chief Operating Officer effective immediately. Mr. Shah’s responsibilities will be performed by Jonathan P. Nelson, the Company’s current Vice President, NA Manufacturing Operations, while the Company conducts a search for Mr. Shah’s replacement.</w:t>
      </w:r>
    </w:p>
    <w:p>
      <w:pPr>
        <w:spacing w:after="0" w:line="149" w:lineRule="exact"/>
        <w:rPr>
          <w:sz w:val="20"/>
          <w:szCs w:val="20"/>
          <w:color w:val="auto"/>
        </w:rPr>
      </w:pPr>
    </w:p>
    <w:p>
      <w:pPr>
        <w:ind w:right="40"/>
        <w:spacing w:after="0" w:line="361" w:lineRule="auto"/>
        <w:rPr>
          <w:sz w:val="20"/>
          <w:szCs w:val="20"/>
          <w:color w:val="auto"/>
        </w:rPr>
      </w:pPr>
      <w:r>
        <w:rPr>
          <w:rFonts w:ascii="Arial" w:cs="Arial" w:eastAsia="Arial" w:hAnsi="Arial"/>
          <w:sz w:val="18"/>
          <w:szCs w:val="18"/>
          <w:color w:val="auto"/>
        </w:rPr>
        <w:t>Mr. Nelson, age 56, has served as the Company's Vice President, NA Manufacturing Operations since May 2021. Prior to joining the Company, from March 2021 to May 2021, Mr. Nelson served as Chief Executive Officer of JP Nelson Consulting, a private consulting firm. From January 2012 to January 2021, Mr. Nelson served in various roles with SunOpta, Inc. (NASDAQ: STKL), a global company focused on plant-based foods and beverages, fruit-based foods and beverages, and organic ingredient sourcing and production, including as Vice President, Operations - Ingredients from January 2012 to March 2016, and Vice President, Operations - Plant Based Food and Beverage from March 2016 to January 2021. Prior to that, Mr. Nelson held various positions with Pactiv Corporation, part of Pactiv Evergreen Inc. (NASDAQ: PTVE), a manufacturer of fresh food and beverage packaging, having served as Operations Manager from June 2000 to June 2002 and Plant Manager II from June 2002 to February 2012. Mr. Nelson began his career with Waldorf Corporation, now part of WestRock Company (NYSE: WRK), a corrugated packaging company, working in continuous improvement, engineering and quality. Mr. Nelson received his BS in Paper Science and Engineering from the University of Minnesota, and his MBA from the University of Mary.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Mr. Nelson's compensation will not change in connection with his increased responsibilities.</w:t>
      </w:r>
    </w:p>
    <w:p>
      <w:pPr>
        <w:spacing w:after="0" w:line="266" w:lineRule="exact"/>
        <w:rPr>
          <w:sz w:val="20"/>
          <w:szCs w:val="20"/>
          <w:color w:val="auto"/>
        </w:rPr>
      </w:pPr>
    </w:p>
    <w:p>
      <w:pPr>
        <w:spacing w:after="0" w:line="362" w:lineRule="auto"/>
        <w:rPr>
          <w:sz w:val="20"/>
          <w:szCs w:val="20"/>
          <w:color w:val="auto"/>
        </w:rPr>
      </w:pPr>
      <w:r>
        <w:rPr>
          <w:rFonts w:ascii="Arial" w:cs="Arial" w:eastAsia="Arial" w:hAnsi="Arial"/>
          <w:sz w:val="18"/>
          <w:szCs w:val="18"/>
          <w:color w:val="auto"/>
        </w:rPr>
        <w:t>In connection with performing this role, Mr. Nelson will enter into the Company’s standard form of indemnification agreement, a copy of which is filed as Exhibit 10.11 to the Company’s Registration Statement on Form S-1/A filed with the SEC on January 9, 2019. Pursuant to the terms of the indemnification agreement, the Company may be required, among other things, to indemnify Mr. Nelson for certain expenses, including attorneys’ fees, judgments, fines and settlement amounts incurred by him in any action or proceeding arising out of his service as an officer of the Company.</w:t>
      </w:r>
    </w:p>
    <w:p>
      <w:pPr>
        <w:spacing w:after="0" w:line="153" w:lineRule="exact"/>
        <w:rPr>
          <w:sz w:val="20"/>
          <w:szCs w:val="20"/>
          <w:color w:val="auto"/>
        </w:rPr>
      </w:pPr>
    </w:p>
    <w:p>
      <w:pPr>
        <w:ind w:right="40"/>
        <w:spacing w:after="0" w:line="365" w:lineRule="auto"/>
        <w:rPr>
          <w:sz w:val="20"/>
          <w:szCs w:val="20"/>
          <w:color w:val="auto"/>
        </w:rPr>
      </w:pPr>
      <w:r>
        <w:rPr>
          <w:rFonts w:ascii="Arial" w:cs="Arial" w:eastAsia="Arial" w:hAnsi="Arial"/>
          <w:sz w:val="18"/>
          <w:szCs w:val="18"/>
          <w:color w:val="auto"/>
        </w:rPr>
        <w:t>There is no arrangement pursuant to which Mr. Nelson was selected as an officer, no family relationships between him and any director or other executive officer of the Company, and no transactions involving him or a member of his immediate family, that would require disclosure by the Company under Item 404(a) of SEC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1094105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BEYOND MEAT, INC.</w:t>
      </w:r>
    </w:p>
    <w:p>
      <w:pPr>
        <w:spacing w:after="0" w:line="30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Teri L Witteman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23495</wp:posOffset>
            </wp:positionV>
            <wp:extent cx="16027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3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Teri L. Witteman</w:t>
      </w:r>
    </w:p>
    <w:p>
      <w:pPr>
        <w:spacing w:after="0" w:line="8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Legal Officer and</w:t>
      </w:r>
    </w:p>
    <w:p>
      <w:pPr>
        <w:spacing w:after="0" w:line="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September 2, 2021</w:t>
      </w:r>
    </w:p>
    <w:sectPr>
      <w:pgSz w:w="11900" w:h="16838" w:orient="portrait"/>
      <w:cols w:equalWidth="0" w:num="1">
        <w:col w:w="10980"/>
      </w:cols>
      <w:pgMar w:left="320" w:top="144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2021-09-02T15:15:50Z</dcterms:created>
  <dcterms:modified xsi:type="dcterms:W3CDTF">2021-09-02T15:15:50Z</dcterms:modified>
</cp:coreProperties>
</file>