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6483d8k.htm"/>
      <w:bookmarkStart w:id="1" w:name="ksd1864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BEYOND MEAT,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001-38879</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26-4087597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80" w:after="0"/>
        <w:jc w:val="center"/>
        <w:rPr>
          <w:rFonts w:ascii="Times New Roman" w:hAnsi="Times New Roman"/>
          <w:b/>
          <w:sz w:val="20"/>
        </w:rPr>
      </w:pPr>
      <w:r>
        <w:rPr>
          <w:rFonts w:ascii="Times New Roman" w:hAnsi="Times New Roman"/>
          <w:b/>
          <w:sz w:val="20"/>
        </w:rPr>
        <w:t>888 N. Douglas Street, Suite 100</w:t>
      </w:r>
    </w:p>
    <w:p>
      <w:pPr>
        <w:pStyle w:val="TextBody"/>
        <w:bidi w:val="0"/>
        <w:spacing w:before="0" w:after="0"/>
        <w:jc w:val="center"/>
        <w:rPr>
          <w:rFonts w:ascii="Times New Roman" w:hAnsi="Times New Roman"/>
          <w:b/>
          <w:sz w:val="20"/>
        </w:rPr>
      </w:pPr>
      <w:r>
        <w:rPr>
          <w:rFonts w:ascii="Times New Roman" w:hAnsi="Times New Roman"/>
          <w:b/>
          <w:sz w:val="20"/>
        </w:rPr>
        <w:t>El Segundo, California 90245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(866) 756-4112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350"/>
        <w:gridCol w:w="60"/>
        <w:gridCol w:w="740"/>
        <w:gridCol w:w="60"/>
        <w:gridCol w:w="305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BYND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in Item 8.01 below is incorporated by reference into this Item 3.02.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23, 2026, Beyond Meat, Inc. (the “Company”) entered into separate, privately negotiated exchange agreements (the “Exchange Agreements”) to exchange an aggregate of approximately $15.0 million principal amount of the Company’s outstanding 0% Convertible Senior Notes due 2027 (the “2027 Notes”) at a purchase price of 96% of the face value of such 2027 Notes for aggregate consideration consisting of a number of shares of common stock, $0.0001 par value per share, of the Company (the “Common Stock”) calculated based on a volume-weighted average price (“VWAP”) calculation over the three trading days starting September 23, 2026 (the “VWAP Trading Days”), and a floor price of $7.4009 (such exchange transactions, collectively, the “Exchange Transactions”). 1,097,444 shares of Common Stock will be issued initially pursuant to the Exchange Transactions on or about the date hereof (the “Initial Settlement”), subject to customary closing conditions set forth in the Exchange Agreements, in exchange for the 2027 Notes. Such shares of Common Stock issued in the Initial Settlement are not subject to adjustment or required to be returned to the Company based on the final VWAP calculation described above. Depending on the final VWAP calculation, any shares required to be issued as a “true up” in addition to the shares issued in the Initial Settlement will be settled on or about September 28, 2026 (the “Final Settlement”), subject to customary closing conditions set forth in the Exchange Agreements. Up to a maximum of 848,265 additional shares of Common Stock may be issued in the Final Settlement if the VWAP calculation results in the floor price applying on each of the three VWAP Trading Days.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the Common Stock pursuant to the Exchange Agreements is being made in reliance upon Section 4(a)(2) of the Securities Act of 1933, as amended, in transactions not involving any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any securities, nor shall there be any sale of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timing and amount of closing of the Exchange Transactions. These forward-looking statements are only predictions, not historical fact, and involve certain risks and uncertainties, as well as assumptions. Actual results, levels of activity, performance, achievements and events could differ materially from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and the Company’s Quarterly Report on Form 10-Q for the fiscal quarter ended June 27, 2026 filed with the SEC on August 6,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80"/>
        <w:gridCol w:w="60"/>
        <w:gridCol w:w="35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pPr>
            <w:r>
              <w:rPr/>
              <w:t>BEYOND MEAT,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23,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1054</Words>
  <Characters>5797</Characters>
  <CharactersWithSpaces>6831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