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3,250,000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106680</wp:posOffset>
            </wp:positionV>
            <wp:extent cx="3164205" cy="1337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64205" cy="1337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Beyond Meat,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83820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83" w:lineRule="exact"/>
        <w:rPr>
          <w:sz w:val="24"/>
          <w:szCs w:val="24"/>
          <w:color w:val="auto"/>
        </w:rPr>
      </w:pPr>
    </w:p>
    <w:p>
      <w:pPr>
        <w:ind w:right="260" w:firstLine="324"/>
        <w:spacing w:after="0" w:line="260" w:lineRule="auto"/>
        <w:rPr>
          <w:sz w:val="20"/>
          <w:szCs w:val="20"/>
          <w:color w:val="auto"/>
        </w:rPr>
      </w:pPr>
      <w:r>
        <w:rPr>
          <w:rFonts w:ascii="Arial" w:cs="Arial" w:eastAsia="Arial" w:hAnsi="Arial"/>
          <w:sz w:val="16"/>
          <w:szCs w:val="16"/>
          <w:color w:val="auto"/>
        </w:rPr>
        <w:t>We are selling 250,000 shares of our common stock and the selling stockholders named in this prospectus are selling 3,000,000 shares of our common stock. We will not receive any proceeds from the sale of shares of our common stock to be offered by the selling stockholders.</w:t>
      </w:r>
    </w:p>
    <w:p>
      <w:pPr>
        <w:spacing w:after="0" w:line="88" w:lineRule="exact"/>
        <w:rPr>
          <w:sz w:val="24"/>
          <w:szCs w:val="24"/>
          <w:color w:val="auto"/>
        </w:rPr>
      </w:pPr>
    </w:p>
    <w:p>
      <w:pPr>
        <w:ind w:right="160" w:firstLine="324"/>
        <w:spacing w:after="0" w:line="260" w:lineRule="auto"/>
        <w:rPr>
          <w:sz w:val="20"/>
          <w:szCs w:val="20"/>
          <w:color w:val="auto"/>
        </w:rPr>
      </w:pPr>
      <w:r>
        <w:rPr>
          <w:rFonts w:ascii="Arial" w:cs="Arial" w:eastAsia="Arial" w:hAnsi="Arial"/>
          <w:sz w:val="16"/>
          <w:szCs w:val="16"/>
          <w:color w:val="auto"/>
        </w:rPr>
        <w:t>Our common stock is listed on the Nasdaq Global Select Market under the symbol “BYND.” On July 31, 2019, the last reported sale price of our common stock as reported on the Nasdaq Global Select Market was $196.51 per share.</w:t>
      </w:r>
    </w:p>
    <w:p>
      <w:pPr>
        <w:spacing w:after="0" w:line="88" w:lineRule="exact"/>
        <w:rPr>
          <w:sz w:val="24"/>
          <w:szCs w:val="24"/>
          <w:color w:val="auto"/>
        </w:rPr>
      </w:pPr>
    </w:p>
    <w:p>
      <w:pPr>
        <w:ind w:right="160" w:firstLine="324"/>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public company reporting requirements for this prospectus and future filings.</w:t>
      </w:r>
    </w:p>
    <w:p>
      <w:pPr>
        <w:spacing w:after="0" w:line="68" w:lineRule="exact"/>
        <w:rPr>
          <w:sz w:val="24"/>
          <w:szCs w:val="24"/>
          <w:color w:val="auto"/>
        </w:rPr>
      </w:pPr>
    </w:p>
    <w:p>
      <w:pPr>
        <w:ind w:right="500" w:firstLine="324"/>
        <w:spacing w:after="0" w:line="286" w:lineRule="auto"/>
        <w:rPr>
          <w:sz w:val="20"/>
          <w:szCs w:val="20"/>
          <w:color w:val="auto"/>
        </w:rPr>
      </w:pPr>
      <w:r>
        <w:rPr>
          <w:rFonts w:ascii="Arial" w:cs="Arial" w:eastAsia="Arial" w:hAnsi="Arial"/>
          <w:sz w:val="16"/>
          <w:szCs w:val="16"/>
          <w:b w:val="1"/>
          <w:bCs w:val="1"/>
          <w:color w:val="auto"/>
        </w:rPr>
        <w:t>Investing in our common stock involves a high degree of risk. See the section entitled “Risk Factors” beginning on page 14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204470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420" w:firstLine="324"/>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 Share</w:t>
            </w:r>
          </w:p>
        </w:tc>
        <w:tc>
          <w:tcPr>
            <w:tcW w:w="380" w:type="dxa"/>
            <w:vAlign w:val="bottom"/>
          </w:tcPr>
          <w:p>
            <w:pPr>
              <w:spacing w:after="0"/>
              <w:rPr>
                <w:sz w:val="19"/>
                <w:szCs w:val="19"/>
                <w:color w:val="auto"/>
              </w:rPr>
            </w:pPr>
          </w:p>
        </w:tc>
        <w:tc>
          <w:tcPr>
            <w:tcW w:w="134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Public offering price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520,000,000</w:t>
            </w:r>
          </w:p>
        </w:tc>
      </w:tr>
      <w:tr>
        <w:trPr>
          <w:trHeight w:val="323"/>
        </w:trPr>
        <w:tc>
          <w:tcPr>
            <w:tcW w:w="7880" w:type="dxa"/>
            <w:vAlign w:val="bottom"/>
          </w:tcPr>
          <w:p>
            <w:pPr>
              <w:ind w:left="4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1"/>
                <w:szCs w:val="21"/>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19,500,000</w:t>
            </w:r>
          </w:p>
        </w:tc>
      </w:tr>
      <w:tr>
        <w:trPr>
          <w:trHeight w:val="217"/>
        </w:trPr>
        <w:tc>
          <w:tcPr>
            <w:tcW w:w="7880" w:type="dxa"/>
            <w:vAlign w:val="bottom"/>
          </w:tcPr>
          <w:p>
            <w:pPr>
              <w:ind w:left="40"/>
              <w:spacing w:after="0"/>
              <w:rPr>
                <w:sz w:val="20"/>
                <w:szCs w:val="20"/>
                <w:color w:val="auto"/>
              </w:rPr>
            </w:pPr>
            <w:r>
              <w:rPr>
                <w:rFonts w:ascii="Arial" w:cs="Arial" w:eastAsia="Arial" w:hAnsi="Arial"/>
                <w:sz w:val="18"/>
                <w:szCs w:val="18"/>
                <w:color w:val="auto"/>
              </w:rPr>
              <w:t>Proceeds, before expenses, to 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18"/>
                <w:szCs w:val="18"/>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38,500,000</w:t>
            </w: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Proceeds, before expenses, to the selling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462,000,000</w:t>
            </w:r>
          </w:p>
        </w:tc>
      </w:tr>
      <w:tr>
        <w:trPr>
          <w:trHeight w:val="204"/>
        </w:trPr>
        <w:tc>
          <w:tcPr>
            <w:tcW w:w="7880" w:type="dxa"/>
            <w:vAlign w:val="bottom"/>
          </w:tcPr>
          <w:p>
            <w:pPr>
              <w:spacing w:after="0"/>
              <w:rPr>
                <w:sz w:val="20"/>
                <w:szCs w:val="20"/>
                <w:color w:val="auto"/>
              </w:rPr>
            </w:pPr>
            <w:r>
              <w:rPr>
                <w:rFonts w:ascii="Arial" w:cs="Arial" w:eastAsia="Arial" w:hAnsi="Arial"/>
                <w:sz w:val="16"/>
                <w:szCs w:val="16"/>
                <w:color w:val="auto"/>
              </w:rPr>
              <w:t>___________________</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6"/>
          <w:szCs w:val="16"/>
          <w:color w:val="auto"/>
        </w:rPr>
        <w:t>(1)  See “Underwriting” for additional disclosure regarding underwriting discounts and commissions and estimated offering expenses.</w:t>
      </w:r>
    </w:p>
    <w:p>
      <w:pPr>
        <w:spacing w:after="0" w:line="113" w:lineRule="exact"/>
        <w:rPr>
          <w:sz w:val="24"/>
          <w:szCs w:val="24"/>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selling stockholders have granted the underwriters a 30-day option to purchase up to 487,500 additional shares of common stock at the public offering price less the underwriting discounts and commissions.</w:t>
      </w:r>
    </w:p>
    <w:p>
      <w:pPr>
        <w:spacing w:after="0" w:line="8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underwriters expect to deliver the shares of common stock to purchasers on or about August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0"/>
        <w:spacing w:after="0"/>
        <w:tabs>
          <w:tab w:leader="none" w:pos="5320" w:val="left"/>
          <w:tab w:leader="none" w:pos="10000" w:val="left"/>
        </w:tabs>
        <w:rPr>
          <w:sz w:val="20"/>
          <w:szCs w:val="20"/>
          <w:color w:val="auto"/>
        </w:rPr>
      </w:pPr>
      <w:r>
        <w:rPr>
          <w:rFonts w:ascii="Arial" w:cs="Arial" w:eastAsia="Arial" w:hAnsi="Arial"/>
          <w:sz w:val="22"/>
          <w:szCs w:val="22"/>
          <w:b w:val="1"/>
          <w:bCs w:val="1"/>
          <w:i w:val="1"/>
          <w:iCs w:val="1"/>
          <w:color w:val="auto"/>
        </w:rPr>
        <w:t>Goldman Sachs &amp; Co. LLC</w:t>
      </w:r>
      <w:r>
        <w:rPr>
          <w:sz w:val="20"/>
          <w:szCs w:val="20"/>
          <w:color w:val="auto"/>
        </w:rPr>
        <w:tab/>
      </w:r>
      <w:r>
        <w:rPr>
          <w:rFonts w:ascii="Arial" w:cs="Arial" w:eastAsia="Arial" w:hAnsi="Arial"/>
          <w:sz w:val="22"/>
          <w:szCs w:val="22"/>
          <w:b w:val="1"/>
          <w:bCs w:val="1"/>
          <w:i w:val="1"/>
          <w:iCs w:val="1"/>
          <w:color w:val="auto"/>
        </w:rPr>
        <w:t>J.P. Morgan</w:t>
      </w:r>
      <w:r>
        <w:rPr>
          <w:sz w:val="20"/>
          <w:szCs w:val="20"/>
          <w:color w:val="auto"/>
        </w:rPr>
        <w:tab/>
      </w:r>
      <w:r>
        <w:rPr>
          <w:rFonts w:ascii="Arial" w:cs="Arial" w:eastAsia="Arial" w:hAnsi="Arial"/>
          <w:sz w:val="21"/>
          <w:szCs w:val="21"/>
          <w:b w:val="1"/>
          <w:bCs w:val="1"/>
          <w:i w:val="1"/>
          <w:iCs w:val="1"/>
          <w:color w:val="auto"/>
        </w:rPr>
        <w:t>Credit Suisse</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980"/>
        <w:spacing w:after="0"/>
        <w:tabs>
          <w:tab w:leader="none" w:pos="8920" w:val="left"/>
        </w:tabs>
        <w:rPr>
          <w:sz w:val="20"/>
          <w:szCs w:val="20"/>
          <w:color w:val="auto"/>
        </w:rPr>
      </w:pPr>
      <w:r>
        <w:rPr>
          <w:rFonts w:ascii="Arial" w:cs="Arial" w:eastAsia="Arial" w:hAnsi="Arial"/>
          <w:sz w:val="20"/>
          <w:szCs w:val="20"/>
          <w:b w:val="1"/>
          <w:bCs w:val="1"/>
          <w:i w:val="1"/>
          <w:iCs w:val="1"/>
          <w:color w:val="auto"/>
        </w:rPr>
        <w:t>BofA Merrill Lynch</w:t>
      </w:r>
      <w:r>
        <w:rPr>
          <w:sz w:val="20"/>
          <w:szCs w:val="20"/>
          <w:color w:val="auto"/>
        </w:rPr>
        <w:tab/>
      </w:r>
      <w:r>
        <w:rPr>
          <w:rFonts w:ascii="Arial" w:cs="Arial" w:eastAsia="Arial" w:hAnsi="Arial"/>
          <w:sz w:val="19"/>
          <w:szCs w:val="19"/>
          <w:b w:val="1"/>
          <w:bCs w:val="1"/>
          <w:i w:val="1"/>
          <w:iCs w:val="1"/>
          <w:color w:val="auto"/>
        </w:rPr>
        <w:t>Jefferies</w:t>
      </w:r>
    </w:p>
    <w:p>
      <w:pPr>
        <w:spacing w:after="0" w:line="391" w:lineRule="exact"/>
        <w:rPr>
          <w:sz w:val="24"/>
          <w:szCs w:val="24"/>
          <w:color w:val="auto"/>
        </w:rPr>
      </w:pPr>
    </w:p>
    <w:p>
      <w:pPr>
        <w:ind w:left="3820"/>
        <w:spacing w:after="0"/>
        <w:tabs>
          <w:tab w:leader="none" w:pos="7760" w:val="left"/>
        </w:tabs>
        <w:rPr>
          <w:sz w:val="20"/>
          <w:szCs w:val="20"/>
          <w:color w:val="auto"/>
        </w:rPr>
      </w:pPr>
      <w:r>
        <w:rPr>
          <w:rFonts w:ascii="Arial" w:cs="Arial" w:eastAsia="Arial" w:hAnsi="Arial"/>
          <w:sz w:val="20"/>
          <w:szCs w:val="20"/>
          <w:b w:val="1"/>
          <w:bCs w:val="1"/>
          <w:i w:val="1"/>
          <w:iCs w:val="1"/>
          <w:color w:val="auto"/>
        </w:rPr>
        <w:t>William Blair</w:t>
      </w:r>
      <w:r>
        <w:rPr>
          <w:sz w:val="20"/>
          <w:szCs w:val="20"/>
          <w:color w:val="auto"/>
        </w:rPr>
        <w:tab/>
      </w:r>
      <w:r>
        <w:rPr>
          <w:rFonts w:ascii="Arial" w:cs="Arial" w:eastAsia="Arial" w:hAnsi="Arial"/>
          <w:sz w:val="19"/>
          <w:szCs w:val="19"/>
          <w:b w:val="1"/>
          <w:bCs w:val="1"/>
          <w:i w:val="1"/>
          <w:iCs w:val="1"/>
          <w:color w:val="auto"/>
        </w:rPr>
        <w:t>Raymond James</w:t>
      </w:r>
    </w:p>
    <w:p>
      <w:pPr>
        <w:sectPr>
          <w:pgSz w:w="11900" w:h="16838" w:orient="portrait"/>
          <w:cols w:equalWidth="0" w:num="1">
            <w:col w:w="11420"/>
          </w:cols>
          <w:pgMar w:left="240" w:top="468" w:right="239" w:bottom="1440" w:gutter="0" w:footer="0" w:header="0"/>
        </w:sect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Prospectus dated July 31, 2019</w:t>
      </w:r>
    </w:p>
    <w:p>
      <w:pPr>
        <w:sectPr>
          <w:pgSz w:w="11900" w:h="16838" w:orient="portrait"/>
          <w:cols w:equalWidth="0" w:num="1">
            <w:col w:w="11420"/>
          </w:cols>
          <w:pgMar w:left="240" w:top="468" w:right="2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3"/>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Page</w:t>
            </w:r>
          </w:p>
        </w:tc>
      </w:tr>
      <w:tr>
        <w:trPr>
          <w:trHeight w:val="527"/>
        </w:trPr>
        <w:tc>
          <w:tcPr>
            <w:tcW w:w="202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Industry and Market Data</w:t>
              </w:r>
            </w:hyperlink>
          </w:p>
        </w:tc>
        <w:tc>
          <w:tcPr>
            <w:tcW w:w="834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237"/>
        </w:trPr>
        <w:tc>
          <w:tcPr>
            <w:tcW w:w="1720" w:type="dxa"/>
            <w:vAlign w:val="bottom"/>
            <w:gridSpan w:val="7"/>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Prospectus Summary</w:t>
              </w:r>
            </w:hyperlink>
          </w:p>
        </w:tc>
        <w:tc>
          <w:tcPr>
            <w:tcW w:w="8640" w:type="dxa"/>
            <w:vAlign w:val="bottom"/>
            <w:gridSpan w:val="1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Risk Factors</w:t>
              </w:r>
            </w:hyperlink>
          </w:p>
        </w:tc>
        <w:tc>
          <w:tcPr>
            <w:tcW w:w="720" w:type="dxa"/>
            <w:vAlign w:val="bottom"/>
            <w:gridSpan w:val="4"/>
          </w:tcPr>
          <w:p>
            <w:pPr>
              <w:spacing w:after="0"/>
              <w:rPr>
                <w:sz w:val="20"/>
                <w:szCs w:val="20"/>
                <w:color w:val="auto"/>
              </w:rPr>
            </w:pPr>
          </w:p>
        </w:tc>
        <w:tc>
          <w:tcPr>
            <w:tcW w:w="8640" w:type="dxa"/>
            <w:vAlign w:val="bottom"/>
            <w:gridSpan w:val="1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Special Note Regarding Forward-Looking Statements</w:t>
              </w:r>
            </w:hyperlink>
          </w:p>
        </w:tc>
        <w:tc>
          <w:tcPr>
            <w:tcW w:w="6100" w:type="dxa"/>
            <w:vAlign w:val="bottom"/>
            <w:gridSpan w:val="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6100" w:type="dxa"/>
            <w:vAlign w:val="bottom"/>
            <w:gridSpan w:val="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2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Dividend Policy</w:t>
              </w:r>
            </w:hyperlink>
          </w:p>
        </w:tc>
        <w:tc>
          <w:tcPr>
            <w:tcW w:w="9040" w:type="dxa"/>
            <w:vAlign w:val="bottom"/>
            <w:gridSpan w:val="1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Capitalization</w:t>
              </w:r>
            </w:hyperlink>
          </w:p>
        </w:tc>
        <w:tc>
          <w:tcPr>
            <w:tcW w:w="140" w:type="dxa"/>
            <w:vAlign w:val="bottom"/>
          </w:tcPr>
          <w:p>
            <w:pPr>
              <w:spacing w:after="0"/>
              <w:rPr>
                <w:sz w:val="20"/>
                <w:szCs w:val="20"/>
                <w:color w:val="auto"/>
              </w:rPr>
            </w:pPr>
          </w:p>
        </w:tc>
        <w:tc>
          <w:tcPr>
            <w:tcW w:w="9140" w:type="dxa"/>
            <w:vAlign w:val="bottom"/>
            <w:gridSpan w:val="15"/>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Dilution</w:t>
              </w:r>
            </w:hyperlink>
          </w:p>
        </w:tc>
        <w:tc>
          <w:tcPr>
            <w:tcW w:w="480" w:type="dxa"/>
            <w:vAlign w:val="bottom"/>
            <w:gridSpan w:val="3"/>
          </w:tcPr>
          <w:p>
            <w:pPr>
              <w:spacing w:after="0"/>
              <w:rPr>
                <w:sz w:val="20"/>
                <w:szCs w:val="20"/>
                <w:color w:val="auto"/>
              </w:rPr>
            </w:pPr>
          </w:p>
        </w:tc>
        <w:tc>
          <w:tcPr>
            <w:tcW w:w="9280" w:type="dxa"/>
            <w:vAlign w:val="bottom"/>
            <w:gridSpan w:val="1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00" w:type="dxa"/>
            <w:vAlign w:val="bottom"/>
            <w:gridSpan w:val="8"/>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Selected Financial Data</w:t>
              </w:r>
            </w:hyperlink>
          </w:p>
        </w:tc>
        <w:tc>
          <w:tcPr>
            <w:tcW w:w="8460" w:type="dxa"/>
            <w:vAlign w:val="bottom"/>
            <w:gridSpan w:val="1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80" w:type="dxa"/>
            <w:vAlign w:val="bottom"/>
            <w:gridSpan w:val="18"/>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Management’s Discussion and Analysis of Financial Condition and Results of Operations</w:t>
              </w:r>
            </w:hyperlink>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8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Business</w:t>
              </w:r>
            </w:hyperlink>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Management</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109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Certain Relationships and Related-Party Transactions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26">
              <w:r>
                <w:rPr>
                  <w:rFonts w:ascii="Arial" w:cs="Arial" w:eastAsia="Arial" w:hAnsi="Arial"/>
                  <w:sz w:val="18"/>
                  <w:szCs w:val="18"/>
                  <w:color w:val="0000EE"/>
                </w:rPr>
                <w:t>122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720" w:type="dxa"/>
            <w:vAlign w:val="bottom"/>
            <w:gridSpan w:val="14"/>
          </w:tcPr>
          <w:p>
            <w:pPr>
              <w:spacing w:after="0"/>
              <w:rPr>
                <w:rFonts w:ascii="Arial" w:cs="Arial" w:eastAsia="Arial" w:hAnsi="Arial"/>
                <w:sz w:val="18"/>
                <w:szCs w:val="18"/>
                <w:color w:val="0000EE"/>
                <w:w w:val="99"/>
              </w:rPr>
            </w:pPr>
            <w:hyperlink w:anchor="page134">
              <w:r>
                <w:rPr>
                  <w:rFonts w:ascii="Arial" w:cs="Arial" w:eastAsia="Arial" w:hAnsi="Arial"/>
                  <w:sz w:val="18"/>
                  <w:szCs w:val="18"/>
                  <w:color w:val="0000EE"/>
                  <w:w w:val="99"/>
                </w:rPr>
                <w:t>Principal and Selling Stockholders</w:t>
              </w:r>
            </w:hyperlink>
          </w:p>
        </w:tc>
        <w:tc>
          <w:tcPr>
            <w:tcW w:w="1560" w:type="dxa"/>
            <w:vAlign w:val="bottom"/>
            <w:gridSpan w:val="3"/>
          </w:tcPr>
          <w:p>
            <w:pPr>
              <w:spacing w:after="0"/>
              <w:rPr>
                <w:sz w:val="20"/>
                <w:szCs w:val="20"/>
                <w:color w:val="auto"/>
              </w:rPr>
            </w:pPr>
          </w:p>
        </w:tc>
        <w:tc>
          <w:tcPr>
            <w:tcW w:w="6080" w:type="dxa"/>
            <w:vAlign w:val="bottom"/>
            <w:gridSpan w:val="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720" w:type="dxa"/>
            <w:vAlign w:val="bottom"/>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Description of Capital Stock</w:t>
              </w:r>
            </w:hyperlink>
          </w:p>
        </w:tc>
        <w:tc>
          <w:tcPr>
            <w:tcW w:w="7640" w:type="dxa"/>
            <w:vAlign w:val="bottom"/>
            <w:gridSpan w:val="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500" w:type="dxa"/>
            <w:vAlign w:val="bottom"/>
            <w:gridSpan w:val="13"/>
          </w:tcPr>
          <w:p>
            <w:pPr>
              <w:spacing w:after="0"/>
              <w:rPr>
                <w:rFonts w:ascii="Arial" w:cs="Arial" w:eastAsia="Arial" w:hAnsi="Arial"/>
                <w:sz w:val="18"/>
                <w:szCs w:val="18"/>
                <w:color w:val="0000EE"/>
                <w:w w:val="99"/>
              </w:rPr>
            </w:pPr>
            <w:hyperlink w:anchor="page147">
              <w:r>
                <w:rPr>
                  <w:rFonts w:ascii="Arial" w:cs="Arial" w:eastAsia="Arial" w:hAnsi="Arial"/>
                  <w:sz w:val="18"/>
                  <w:szCs w:val="18"/>
                  <w:color w:val="0000EE"/>
                  <w:w w:val="99"/>
                </w:rPr>
                <w:t>Shares Eligible For Future Sale</w:t>
              </w:r>
            </w:hyperlink>
          </w:p>
        </w:tc>
        <w:tc>
          <w:tcPr>
            <w:tcW w:w="7860" w:type="dxa"/>
            <w:vAlign w:val="bottom"/>
            <w:gridSpan w:val="7"/>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47">
              <w:r>
                <w:rPr>
                  <w:rFonts w:ascii="Arial" w:cs="Arial" w:eastAsia="Arial" w:hAnsi="Arial"/>
                  <w:sz w:val="18"/>
                  <w:szCs w:val="18"/>
                  <w:color w:val="0000EE"/>
                </w:rPr>
                <w:t>143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19"/>
          </w:tcPr>
          <w:p>
            <w:pPr>
              <w:spacing w:after="0"/>
              <w:rPr>
                <w:rFonts w:ascii="Arial" w:cs="Arial" w:eastAsia="Arial" w:hAnsi="Arial"/>
                <w:sz w:val="18"/>
                <w:szCs w:val="18"/>
                <w:color w:val="0000EE"/>
                <w:w w:val="99"/>
              </w:rPr>
            </w:pPr>
            <w:hyperlink w:anchor="page150">
              <w:r>
                <w:rPr>
                  <w:rFonts w:ascii="Arial" w:cs="Arial" w:eastAsia="Arial" w:hAnsi="Arial"/>
                  <w:sz w:val="18"/>
                  <w:szCs w:val="18"/>
                  <w:color w:val="0000EE"/>
                  <w:w w:val="99"/>
                </w:rPr>
                <w:t>Material U.S. Federal Income Tax Considerations for Non-U.S. Holders of Common Stock</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0">
              <w:r>
                <w:rPr>
                  <w:rFonts w:ascii="Arial" w:cs="Arial" w:eastAsia="Arial" w:hAnsi="Arial"/>
                  <w:sz w:val="18"/>
                  <w:szCs w:val="18"/>
                  <w:color w:val="0000EE"/>
                </w:rPr>
                <w:t>146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19"/>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Underwriting</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5">
              <w:r>
                <w:rPr>
                  <w:rFonts w:ascii="Arial" w:cs="Arial" w:eastAsia="Arial" w:hAnsi="Arial"/>
                  <w:sz w:val="18"/>
                  <w:szCs w:val="18"/>
                  <w:color w:val="0000EE"/>
                </w:rPr>
                <w:t>151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Legal Matters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66">
              <w:r>
                <w:rPr>
                  <w:rFonts w:ascii="Arial" w:cs="Arial" w:eastAsia="Arial" w:hAnsi="Arial"/>
                  <w:sz w:val="18"/>
                  <w:szCs w:val="18"/>
                  <w:color w:val="0000EE"/>
                </w:rPr>
                <w:t>162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Experts</w:t>
              </w:r>
            </w:hyperlink>
          </w:p>
        </w:tc>
        <w:tc>
          <w:tcPr>
            <w:tcW w:w="9280" w:type="dxa"/>
            <w:vAlign w:val="bottom"/>
            <w:gridSpan w:val="1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66">
              <w:r>
                <w:rPr>
                  <w:rFonts w:ascii="Arial" w:cs="Arial" w:eastAsia="Arial" w:hAnsi="Arial"/>
                  <w:sz w:val="18"/>
                  <w:szCs w:val="18"/>
                  <w:color w:val="0000EE"/>
                </w:rPr>
                <w:t>162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Where You Can Find More Information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66">
              <w:r>
                <w:rPr>
                  <w:rFonts w:ascii="Arial" w:cs="Arial" w:eastAsia="Arial" w:hAnsi="Arial"/>
                  <w:sz w:val="18"/>
                  <w:szCs w:val="18"/>
                  <w:color w:val="0000EE"/>
                </w:rPr>
                <w:t>162</w:t>
              </w:r>
            </w:hyperlink>
          </w:p>
        </w:tc>
      </w:tr>
      <w:tr>
        <w:trPr>
          <w:trHeight w:val="237"/>
        </w:trPr>
        <w:tc>
          <w:tcPr>
            <w:tcW w:w="3060" w:type="dxa"/>
            <w:vAlign w:val="bottom"/>
            <w:tcBorders>
              <w:top w:val="single" w:sz="8" w:color="0000EE"/>
            </w:tcBorders>
            <w:gridSpan w:val="15"/>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Index to Financial Statements</w:t>
              </w:r>
            </w:hyperlink>
          </w:p>
        </w:tc>
        <w:tc>
          <w:tcPr>
            <w:tcW w:w="7300" w:type="dxa"/>
            <w:vAlign w:val="bottom"/>
            <w:gridSpan w:val="5"/>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96"/>
              </w:rPr>
            </w:pPr>
            <w:hyperlink w:anchor="page167">
              <w:r>
                <w:rPr>
                  <w:rFonts w:ascii="Arial" w:cs="Arial" w:eastAsia="Arial" w:hAnsi="Arial"/>
                  <w:sz w:val="18"/>
                  <w:szCs w:val="18"/>
                  <w:color w:val="0000EE"/>
                  <w:w w:val="96"/>
                </w:rPr>
                <w:t>F-1</w:t>
              </w:r>
            </w:hyperlink>
          </w:p>
        </w:tc>
        <w:tc>
          <w:tcPr>
            <w:tcW w:w="2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the selling stockholders and the underwriters have not authorized anyone to provide any information or to make any representations other than those contained in this prospectus or in any free writing prospectuses we have prepared. We, the selling stockholders and the underwriters do not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investors outside of the United States: We, the selling stockholders and the underwriters have not done anything that would permit this offering or possession or distribution of this prospectus in any jurisdiction where action for that purpose is required, other than in the United States. You are required to inform yourself about, and to observe any restrictions relating to, this offering and the distribution of this prospectus outside of the United States.</w:t>
      </w:r>
    </w:p>
    <w:p>
      <w:pPr>
        <w:sectPr>
          <w:pgSz w:w="11900" w:h="16838" w:orient="portrait"/>
          <w:cols w:equalWidth="0" w:num="1">
            <w:col w:w="11420"/>
          </w:cols>
          <w:pgMar w:left="240" w:top="85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products. The number of retail and restaurant and food service outlets are derived from data from June and July 2019. Some market data and statistical information contained in this prospectus are also based on management’s estimates and calculations, which are derived from our review and interpretation of the independent sources listed below, our internal research and knowledge of the meat industry and plant-based protein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sections titled “Risk Factors” and “Cautionary Note Regarding Forward-Looking Statements.” These and other factors could cause results to differ materially from those expressed in the projections and estimates made by the independent third parties and us.</w:t>
      </w:r>
    </w:p>
    <w:p>
      <w:pPr>
        <w:spacing w:after="0" w:line="15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Fitch Solutions Macro Research, a division of Fitch Solutions (“Fitch Research”), research data, August 6,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Fitch Research, research data, August 13,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Mintel Group Ltd., US Non-Dairy Milk Market Report, September 2017 (the “Mintel Report”);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World Resources Institute, Creating a Sustainable Food Future, 2013 (the “WRI Report”);</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Meat consumption (indicator). doi: 10.1787/fa290fd0-en (Accessed on 13 October 2018);</w:t>
      </w:r>
    </w:p>
    <w:p>
      <w:pPr>
        <w:spacing w:after="0" w:line="14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World Health Organization (“WHO”), Q&amp;A on the carcinogenicity of the consumption of red meat and processed meat, October 2015;</w:t>
      </w:r>
    </w:p>
    <w:p>
      <w:pPr>
        <w:spacing w:after="0" w:line="14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Climate Change 2014: Synthesis Report. Contribution of Working Groups I, II and III to the Fifth Assessment Report of the Intergovernmental Panel on Climate Change (Core Writing Team, R.K. Pachauri and L.A. Meyer (eds.)). Intergovernmental Panel on Climate Change (“IPCC”), Geneva, Switzerland, 151 pp. (the “IPCC Report”);</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Livestock’s Long Shadow-Environmental Issues and Options, Food and Agriculture Organization (“FAO”), 2006;</w:t>
      </w:r>
    </w:p>
    <w:p>
      <w:pPr>
        <w:spacing w:after="0" w:line="171" w:lineRule="exact"/>
        <w:rPr>
          <w:rFonts w:ascii="Arial" w:cs="Arial" w:eastAsia="Arial" w:hAnsi="Arial"/>
          <w:sz w:val="18"/>
          <w:szCs w:val="18"/>
          <w:color w:val="auto"/>
        </w:rPr>
      </w:pPr>
    </w:p>
    <w:p>
      <w:pPr>
        <w:ind w:left="660" w:right="480" w:hanging="328"/>
        <w:spacing w:after="0" w:line="291"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Key, Timothy J. et al., Diet, nutrition and the prevention of cancer, Scientific background papers of the joint WHO/FAO expert consultation, Geneva, 28 January - 1 February 2002, Public Health Nutrition, Vol 7, No. 1(A), Supplement 1001, February 2004;</w:t>
      </w:r>
    </w:p>
    <w:p>
      <w:pPr>
        <w:spacing w:after="0" w:line="12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Plant Based Foods Association, 2018 Retail Sales Data for Plant-Based Foods (the “PBFA Report”);</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Plant Based Diet Associated with Less Heart Failure Risk Report, presented at the American Heart Association scientific meeting, November 13, 2017;</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Bureau of Labor Statistics, Unemployment Rate for Columbia, Missouri (April 2019);</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40" w:top="468" w:right="379" w:bottom="1440" w:gutter="0" w:footer="0" w:header="0"/>
        </w:sectPr>
      </w:pPr>
    </w:p>
    <w:bookmarkStart w:id="3" w:name="page4"/>
    <w:bookmarkEnd w:id="3"/>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Heller, Martin C. and Keoleian, Gregory A. (2018) “Beyond Meat’s Beyond Burger Life Cycle Assessment: A detailed comparison</w:t>
      </w:r>
    </w:p>
    <w:p>
      <w:pPr>
        <w:spacing w:after="0" w:line="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between a plant-based and an animal-based protein source.” CSS Report no.18-10, University of Michigan: Ann Arbor 1-38; and</w:t>
      </w:r>
    </w:p>
    <w:p>
      <w:pPr>
        <w:spacing w:after="0" w:line="171" w:lineRule="exact"/>
        <w:rPr>
          <w:rFonts w:ascii="Arial" w:cs="Arial" w:eastAsia="Arial" w:hAnsi="Arial"/>
          <w:sz w:val="18"/>
          <w:szCs w:val="18"/>
          <w:color w:val="auto"/>
        </w:rPr>
      </w:pPr>
    </w:p>
    <w:p>
      <w:pPr>
        <w:ind w:left="328" w:hanging="328"/>
        <w:spacing w:after="0" w:line="256"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Reprinted from Water Resources and Industry, Volumes 1–2, March–June 2013, P.W. Gerbens-Leenes, M.M. Mekonnen, A.Y. Hoekstra, The water footprint of poultry, pork and beef: A comparative study in different countries and production systems, Page No. 26, Copyright (2013), with permission from Elsevier (the “WRI Water Report”).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8"/>
          </w:cols>
          <w:pgMar w:left="572" w:top="38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198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198995"/>
                    </a:xfrm>
                    <a:prstGeom prst="rect">
                      <a:avLst/>
                    </a:prstGeom>
                    <a:noFill/>
                  </pic:spPr>
                </pic:pic>
              </a:graphicData>
            </a:graphic>
          </wp:anchor>
        </w:drawing>
        <w:t>PROSPECTUS SUMMARY</w:t>
      </w:r>
    </w:p>
    <w:p>
      <w:pPr>
        <w:spacing w:after="0" w:line="175" w:lineRule="exact"/>
        <w:rPr>
          <w:sz w:val="20"/>
          <w:szCs w:val="20"/>
          <w:color w:val="auto"/>
        </w:rPr>
      </w:pPr>
    </w:p>
    <w:p>
      <w:pPr>
        <w:ind w:right="320" w:firstLine="324"/>
        <w:spacing w:after="0" w:line="258" w:lineRule="auto"/>
        <w:rPr>
          <w:sz w:val="20"/>
          <w:szCs w:val="20"/>
          <w:color w:val="auto"/>
        </w:rPr>
      </w:pPr>
      <w:r>
        <w:rPr>
          <w:rFonts w:ascii="Arial" w:cs="Arial" w:eastAsia="Arial" w:hAnsi="Arial"/>
          <w:sz w:val="18"/>
          <w:szCs w:val="18"/>
          <w:i w:val="1"/>
          <w:iCs w:val="1"/>
          <w:color w:val="auto"/>
        </w:rPr>
        <w:t>This summary highlights certain significant aspects of our business and this offering and is a summary of information contained elsewhere in this prospectus. This summary does not contain all the information that you should consider before deciding to invest in our common stock. You should read the entire prospectus carefully, including “Risk Factors,” “Management’s Discussion and Analysis of Financial Condition and Results of Operations,” “Business” and our financial statements and related notes thereto included in this prospectus, before making an investment decision.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our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$32.6 million in 2017 and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30, 2018, our net revenues were $30.1 million compared to $107.5 million for the six months ended June 29, 2019. We have generated losses since inception. Net loss in 2016, 2017 and 2018 was $ 25.1 million, $30.4 million and $29.9 million, respectively, and $16.1 million for the six months ended June 29, 2019 compared to $13.1 million for the six months ended June 30, 2018, as we invested in innovation and growth of our business. Going forward, we intend to continue to invest in innovation, supply chain capabilities, manufacturing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40"/>
          </w:cols>
          <w:pgMar w:left="920" w:top="967" w:right="939" w:bottom="1440" w:gutter="0" w:footer="0" w:header="0"/>
        </w:sectPr>
      </w:pPr>
    </w:p>
    <w:bookmarkStart w:id="5" w:name="page6"/>
    <w:bookmarkEnd w:id="5"/>
    <w:p>
      <w:pPr>
        <w:ind w:right="1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23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233285"/>
                    </a:xfrm>
                    <a:prstGeom prst="rect">
                      <a:avLst/>
                    </a:prstGeom>
                    <a:noFill/>
                  </pic:spPr>
                </pic:pic>
              </a:graphicData>
            </a:graphic>
          </wp:anchor>
        </w:drawing>
        <w:t>marketing initiatives as we believe the demand for our products will continue to accelerate across both retail and foodservice channels as well as internationally.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279"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texture and aroma as the animal-based meats we seek to replicate. In our Manhattan Beach Project Innovation Center, our scientists and engineers continuously improve our products to replicate the sensory experience of animal-based meat. Through our investment in innovation, we have grown our portfolio to include new products across our platforms including Beyond Beef and Beyond Breakfast Sausage, as well as a new version of the flagship Beyond Burger, designed to have a meatier taste and texture. Each product is designed to not only closely replicate the taste and sensory experience of its animal protein equivalent, but to also provide the nutritional and environmental benefits of plant-based meat.</w:t>
      </w:r>
    </w:p>
    <w:p>
      <w:pPr>
        <w:spacing w:after="0" w:line="239"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curious and enthusiastic pull from mainstream consumers for delicious and satisfying yet better-for-you plant-based meats. At one of the nation’s largest conventional grocers, Kroger, 93% of Beyond Burger buyers over the 26-week period ended June 30, 2018 also purchased animal protein during the same period, which evidences Beyond Meat’s appeal to meat-loving consumers.</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Instead of marketing and merchandising the Beyond Burger to vegans and vegetarians (who represent less than 5% of the U.S. population), we request that the product be sold in the meat case at grocery retailers, where meat-loving consumers are accustomed to shopping for center-of-plate proteins. We believe merchandising in the meat case in the retail channel has helped drive greater brand awareness with our end consumers. The Beyond Burger is now carried by all of our approximately 20,000 grocery store customers across the United States and approximately 1,000 grocery store customers in Canada.</w:t>
      </w:r>
    </w:p>
    <w:p>
      <w:pPr>
        <w:spacing w:after="0" w:line="1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their venue. We believe that we have established our brand as one with “halo” benefits to our partners, as evidenced by the speed of adoption by key partners. For example, Beyond Meat was one of the fastest product launches in Del Taco’s history, with the brand selling more than 2 million Beyond Tacos in the first two months of the partnership. It was also the fastest new-product launch in the history of both A&amp;W Canada and TGI Fridays. Our products are now carried by approximately 25,000 restaurant and foodservice outlets across the United States and Canada.</w:t>
      </w:r>
    </w:p>
    <w:p>
      <w:pPr>
        <w:spacing w:after="0" w:line="14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recent expansion in Canada in both retail and with key foodservice customers such as Tim Hortons illustrates the growing international demand for our products. We launched in Europe in August 2018 through contracts with three major distributors and have also received strong expressions of interest from some of Europe’s largest grocery and restaurant chains. In the second quarter of 2019, we expanded our international retail presence with distribution at several retail chains throughout Europe, including Albert Heijn, Delhaize, Metro and Rema 1000. In May 2019, we expanded our partnership with a distributor to produce our innovative plant-based meats at a new manufacturing facility being constructed by this distributor in the Netherlands. Upon completion of the facility, which is expected in the first quarter of 2020, the manufacturing partnership will mark our first co-manufacturing capability outside the United States. Additionally, for several years we have maintained a presence and generated brand awareness in Hong Kong through our local distributor and expect further expansion in Asia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60"/>
          </w:cols>
          <w:pgMar w:left="920" w:top="881" w:right="919" w:bottom="1440" w:gutter="0" w:footer="0" w:header="0"/>
        </w:sectPr>
      </w:pPr>
    </w:p>
    <w:bookmarkStart w:id="6" w:name="page7"/>
    <w:bookmarkEnd w:id="6"/>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05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405370"/>
                    </a:xfrm>
                    <a:prstGeom prst="rect">
                      <a:avLst/>
                    </a:prstGeom>
                    <a:noFill/>
                  </pic:spPr>
                </pic:pic>
              </a:graphicData>
            </a:graphic>
          </wp:anchor>
        </w:drawing>
        <w:t>Unique Approach to Our Brand</w:t>
      </w:r>
    </w:p>
    <w:p>
      <w:pPr>
        <w:spacing w:after="0" w:line="193" w:lineRule="exact"/>
        <w:rPr>
          <w:sz w:val="20"/>
          <w:szCs w:val="20"/>
          <w:color w:val="auto"/>
        </w:rPr>
      </w:pPr>
    </w:p>
    <w:p>
      <w:pPr>
        <w:ind w:right="200" w:firstLine="324"/>
        <w:spacing w:after="0" w:line="250"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Consumers and the media are enthusiastic about the concept of an authentically meaty tasting plant-based burger and drove more than</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4.0 billion earned media impressions in 2017, 9.9 billion earned media impressions in 2018, and 21 billion earned media impressions from January to July 2019. See “Business—The Beyond Meat Strategic Difference—Unique Approach to Our Brand” for more information on “earned media impressions” and the limitations of this metric.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A key analogy for both the approach to and the scale of our opportunity is the strategy by which the plant-based dairy industry captured significant market share of the dairy industry. In the United States, the current size of the non-dairy milk category is equivalent to approximately 13% of the size of the dairy milk category. According to the Mintel Report, the non-dairy milk category in the United States was estimated to be approximately $2 billion in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approximately $270 billion meat category in the United States, which over time would represent a category size of $35 billion in the United States alone. As a market leader in the plant-based meats category, we believe we are well-positioned to capture and drive a significant amount of this category growth. We also believe there is a significant international market opportunity for our products.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industry.</w:t>
      </w:r>
    </w:p>
    <w:p>
      <w:pPr>
        <w:spacing w:after="0" w:line="12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Dedicated Focus on Innovation. </w:t>
      </w:r>
      <w:r>
        <w:rPr>
          <w:rFonts w:ascii="Arial" w:cs="Arial" w:eastAsia="Arial" w:hAnsi="Arial"/>
          <w:sz w:val="18"/>
          <w:szCs w:val="18"/>
          <w:color w:val="auto"/>
        </w:rPr>
        <w:t>We invest significant resources in our innovation capabilities to develop plant-based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meat alternatives to popular animal-based meat products. Our innovation team, comprised of approximately 71 scientists, engineers, researchers, technicians and chefs, as of June 29, 2019, has delivered several unique plant-based meat breakthroughs, as well as continuous improvements to existing products. We are able to leverage what we learn about taste, texture and aroma across our platform and apply this knowledge to each of our product offerings. In addition, in July 2018, we opened our 30,000-square-foot Manhattan Beach Project Innovation Center in El Segundo, California, which is 10 times the size of our previous lab space. In our new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After introducing a new version of the Beyond Burger in restaurants in the first half of 2019, we further advanced the product and launched this newer version, designed to have an even meatier taste and texture, at retailers across the U.S. in June 2019. In tandem with this launch, we unveiled Beyond Beef, a bulk plant-based ground meat, to select retailers nationwide,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60"/>
          </w:cols>
          <w:pgMar w:left="920" w:top="967" w:right="919" w:bottom="1440" w:gutter="0" w:footer="0" w:header="0"/>
        </w:sectPr>
      </w:pPr>
    </w:p>
    <w:bookmarkStart w:id="7" w:name="page8"/>
    <w:bookmarkEnd w:id="7"/>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05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405370"/>
                    </a:xfrm>
                    <a:prstGeom prst="rect">
                      <a:avLst/>
                    </a:prstGeom>
                    <a:noFill/>
                  </pic:spPr>
                </pic:pic>
              </a:graphicData>
            </a:graphic>
          </wp:anchor>
        </w:drawing>
        <w:t>including Kroger, Whole Foods Market, Sprouts, Wegmans, Jewel-Osco and Harris Teeter. We expect this faster pace of product introductions and meaningful enhancements to existing products to continue as we innovate within our core plant-based platforms of beef, pork and poultry.</w:t>
      </w:r>
    </w:p>
    <w:p>
      <w:pPr>
        <w:spacing w:after="0" w:line="12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Brand Mission Aligned with Consumer Trends. </w:t>
      </w:r>
      <w:r>
        <w:rPr>
          <w:rFonts w:ascii="Arial" w:cs="Arial" w:eastAsia="Arial" w:hAnsi="Arial"/>
          <w:sz w:val="18"/>
          <w:szCs w:val="18"/>
          <w:color w:val="auto"/>
        </w:rPr>
        <w:t>Our brand is uniquely positioned to capitalize on growing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great-tasting, nutritious, convenient, higher protein content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 We have built a powerful brand with broad demographic appeal and a passionate consumer base. Our brand awareness is driven by strong social marketing, with over 1.5 million combined social media and newsletter followers as of July 2019, more than 9.9 billion earned media impressions in 2018 and 21 billion earned media impressions from January to July 2019. Our audience continues to grow from the attention generated by our large following of celebrities, influencers and brand ambassadors who identify with our mission.</w:t>
      </w:r>
    </w:p>
    <w:p>
      <w:pPr>
        <w:spacing w:after="0" w:line="1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Product Portfolio Generates Significant Demand from Retail and Restaurant Customers. </w:t>
      </w:r>
      <w:r>
        <w:rPr>
          <w:rFonts w:ascii="Arial" w:cs="Arial" w:eastAsia="Arial" w:hAnsi="Arial"/>
          <w:sz w:val="18"/>
          <w:szCs w:val="18"/>
          <w:color w:val="auto"/>
        </w:rPr>
        <w:t>Rapidly growing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Our restaurant customers are excited by the opportunity to differentiate their menu offering and attract new customers by partnering with Beyond Meat, and are seeking new ways to further promote our product. In the first half of 2019 both Carl’s Jr. and Del Taco ran mass media advertising campaigns inclusive of TV, radio, out of home and digital channels. We believe their choice to feature the Beyond Burger demonstrates the marketing power of our brand and overall consumer excitement for our product.</w:t>
      </w:r>
    </w:p>
    <w:p>
      <w:pPr>
        <w:spacing w:after="0" w:line="12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Experienced and Passionate Executive Management Team. </w:t>
      </w:r>
      <w:r>
        <w:rPr>
          <w:rFonts w:ascii="Arial" w:cs="Arial" w:eastAsia="Arial" w:hAnsi="Arial"/>
          <w:sz w:val="18"/>
          <w:szCs w:val="18"/>
          <w:color w:val="auto"/>
        </w:rPr>
        <w:t>We are led by a proven and experienced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Ethan Brown, our founder, President and Chief Executive Officer, has significant experience in clean tech and a natural appreciation for animal agriculture. Seth Goldman, our Executive Chair, has extensive experience working at fast-growing brands in the food and beverage industry. The other members of our executive management team have an average of 21 years of industry experience, having driven growth at both consumer packaged goods companies and high growth businesses. We believe this blend of talent gives us tremendous insights and capabilities to create demand and fulfill it in a scalable, profitable and sustainable way.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b w:val="1"/>
          <w:bCs w:val="1"/>
          <w:i w:val="1"/>
          <w:iCs w:val="1"/>
          <w:color w:val="auto"/>
        </w:rPr>
        <w:t xml:space="preserve">Pursue Top-line Growth Across our Distribution Channels. </w:t>
      </w:r>
      <w:r>
        <w:rPr>
          <w:rFonts w:ascii="Arial" w:cs="Arial" w:eastAsia="Arial" w:hAnsi="Arial"/>
          <w:sz w:val="18"/>
          <w:szCs w:val="18"/>
          <w:color w:val="auto"/>
        </w:rPr>
        <w:t>We believe there is a significant opportunity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Meat well beyond our current retail and restaurant and foodservice footprint of approximately 53,000 points of distribution across the United States and abroad.</w:t>
      </w:r>
    </w:p>
    <w:p>
      <w:pPr>
        <w:spacing w:after="0" w:line="118" w:lineRule="exact"/>
        <w:rPr>
          <w:sz w:val="20"/>
          <w:szCs w:val="20"/>
          <w:color w:val="auto"/>
        </w:rPr>
      </w:pPr>
    </w:p>
    <w:p>
      <w:pPr>
        <w:ind w:left="640" w:hanging="322"/>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have a significant opportunity to grow our sales within U.S. retail by focusing on increasing sales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points of distribution, as well as increasing sales of new products. We also expect to grow our U.S. retail distribution by establishing commercial relationships with new customers. In March 2019, we introduced Beyond Beef, which is designed to have the meaty taste and texture, and replicate the versatility, of ground beef. In May 2019, we began selling the Beyond Burger in retail stores across Canada. In June 2019, we introduced the new Beyond Burger and Beyond Beef at retailers across the U.S.</w:t>
      </w:r>
    </w:p>
    <w:p>
      <w:pPr>
        <w:spacing w:after="0" w:line="128" w:lineRule="exact"/>
        <w:rPr>
          <w:rFonts w:ascii="Arial" w:cs="Arial" w:eastAsia="Arial" w:hAnsi="Arial"/>
          <w:sz w:val="18"/>
          <w:szCs w:val="18"/>
          <w:color w:val="auto"/>
        </w:rPr>
      </w:pPr>
    </w:p>
    <w:p>
      <w:pPr>
        <w:ind w:left="640" w:right="120" w:hanging="322"/>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The Beyond Burger is currently being served in approximately 17,000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outlets in the United States and Canada. After first launching the Beyond Burger on-menu in 2018, A&amp;W Canada expanded their Beyond Meat menu offerings in March 2019 with the addition of Beyond Breakfast Sausage. In addition, after the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920" w:top="881" w:right="959" w:bottom="1440" w:gutter="0" w:footer="0" w:header="0"/>
        </w:sectPr>
      </w:pPr>
    </w:p>
    <w:bookmarkStart w:id="8" w:name="page9"/>
    <w:bookmarkEnd w:id="8"/>
    <w:p>
      <w:pPr>
        <w:ind w:left="640" w:right="20"/>
        <w:spacing w:after="0" w:line="29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13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413625"/>
                    </a:xfrm>
                    <a:prstGeom prst="rect">
                      <a:avLst/>
                    </a:prstGeom>
                    <a:noFill/>
                  </pic:spPr>
                </pic:pic>
              </a:graphicData>
            </a:graphic>
          </wp:anchor>
        </w:drawing>
        <w:t>launch of the Beyond Tacos at Del Taco in April 2019, the brand announced a menu line extension for Beyond Burritos in June 2019. Also in that month, Tim Hortons added the Beyond Breakfast Sausage to its menus across Canada and in July 2019 announced it had expanded Beyond Meat offerings to include the Beyond Burger at its nearly 4,000 locations across Canada. On July 24, 2019, Dunkin’ announced that it is adding Beyond Breakfast Sausage to its menus at certain locations in Manhattan, New York on a limited, test basis. In addition, the Beyond Burger is currently being sold at more than 1,100 Carl’s Jr. locations nationwide. We plan to continue to aggressively expand our network of restaurant and foodservice partners.</w:t>
      </w:r>
    </w:p>
    <w:p>
      <w:pPr>
        <w:spacing w:after="0" w:line="108" w:lineRule="exact"/>
        <w:rPr>
          <w:sz w:val="20"/>
          <w:szCs w:val="20"/>
          <w:color w:val="auto"/>
        </w:rPr>
      </w:pPr>
    </w:p>
    <w:p>
      <w:pPr>
        <w:ind w:left="640" w:hanging="322"/>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across the globe in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We launched in Europe in August 2018 through contracts with three major distributors. Our products are currently in approximately 5,000 international retail and foodservice outlets. We are increasing production for sales in Canada and Europe and have established and seek to establish additional relationships with distributors in other geographies for future expansion.</w:t>
      </w:r>
    </w:p>
    <w:p>
      <w:pPr>
        <w:spacing w:after="0" w:line="12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Invest in Infrastructure and Capabilities. </w:t>
      </w:r>
      <w:r>
        <w:rPr>
          <w:rFonts w:ascii="Arial" w:cs="Arial" w:eastAsia="Arial" w:hAnsi="Arial"/>
          <w:sz w:val="18"/>
          <w:szCs w:val="18"/>
          <w:color w:val="auto"/>
        </w:rPr>
        <w:t>We are committed to prioritizing investment in our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in order to support our strategic expansion plans. In 2018, we commenced production at a new state-of-the-art manufacturing facility and entered into relationships with several co-manufacturers to significantly increase our production capacity. In the first quarter of 2019, our monthly production capacity was triple our monthly capacity at the end of the second quarter of 2018.</w:t>
      </w:r>
    </w:p>
    <w:p>
      <w:pPr>
        <w:spacing w:after="0" w:line="14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plans to unlock additional capacity both domestically and internationally. For example, in May 2019, we expanded our partnership with a distributor to produce our innovative plant-based meats at a new manufacturing facility being constructed by this distributor in the Netherlands. Completion of the facility is expected in the first quarter of 2020. Additionally, we are continuing to hire experienced employees in our sales, marketing, operations, innovation and finance teams to support our rapid growth.</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Expand Our Product Offerings. </w:t>
      </w:r>
      <w:r>
        <w:rPr>
          <w:rFonts w:ascii="Arial" w:cs="Arial" w:eastAsia="Arial" w:hAnsi="Arial"/>
          <w:sz w:val="17"/>
          <w:szCs w:val="17"/>
          <w:color w:val="auto"/>
        </w:rPr>
        <w:t>The successes of the Beyond Burger and Beyond Sausage products have confirmed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belief that there is significant demand for additional plant-based meat products. We intend to strengthen our product offerings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In 2018, we developed a new version of the Beyond Burger with improved taste, texture and aroma attributes, which recently launched in retailers nationwide. In March 2019, we introduced Beyond Beef, which is designed to have the meaty taste and texture, and replicate the versatility, of ground beef. Also in March 2019, we launched the Beyond Sausage patty at A&amp;W (Canada). New product launches in the first half of 2019 include the new Beyond Burger, Beyond Beef and Beyond Breakfast Sausage.</w:t>
      </w:r>
    </w:p>
    <w:p>
      <w:pPr>
        <w:spacing w:after="0" w:line="116"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Continue to Grow Our Brand. </w:t>
      </w:r>
      <w:r>
        <w:rPr>
          <w:rFonts w:ascii="Arial" w:cs="Arial" w:eastAsia="Arial" w:hAnsi="Arial"/>
          <w:sz w:val="18"/>
          <w:szCs w:val="18"/>
          <w:color w:val="auto"/>
        </w:rPr>
        <w:t>We plan to continue to create relevant content with our network of celebrities, influencers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ambassadors, who have successfully built significant brand awareness for us by supporting our mission and products. We also intend to expand our field marketing efforts to sample products directly with consumers in stores and at relevant events.</w:t>
      </w:r>
    </w:p>
    <w:p>
      <w:pPr>
        <w:spacing w:after="0" w:line="12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Remain Mission Focused and True to Our Values. </w:t>
      </w:r>
      <w:r>
        <w:rPr>
          <w:rFonts w:ascii="Arial" w:cs="Arial" w:eastAsia="Arial" w:hAnsi="Arial"/>
          <w:sz w:val="18"/>
          <w:szCs w:val="18"/>
          <w:color w:val="auto"/>
        </w:rPr>
        <w:t>We are a mission-driven business with long-standing core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strive to operate in an honest, socially responsible and environmentally sustainable manner and are committed to help solve the major health and global environmental issues which we believe are caused by an animal -based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60"/>
          </w:cols>
          <w:pgMar w:left="920" w:top="908" w:right="9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611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611110"/>
                    </a:xfrm>
                    <a:prstGeom prst="rect">
                      <a:avLst/>
                    </a:prstGeom>
                    <a:noFill/>
                  </pic:spPr>
                </pic:pic>
              </a:graphicData>
            </a:graphic>
          </wp:anchor>
        </w:drawing>
        <w:t>Risks Associated with Our Business</w:t>
      </w:r>
    </w:p>
    <w:p>
      <w:pPr>
        <w:spacing w:after="0" w:line="19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Investing in our common stock involves substantial risk. You should carefully consider all of the information in this prospectus prior to investing in our common stock. There are several risks related to our business that are described under “Risk Factors” elsewhere in this prospectus. Among these important risks are the following:</w:t>
      </w:r>
    </w:p>
    <w:p>
      <w:pPr>
        <w:spacing w:after="0" w:line="148" w:lineRule="exact"/>
        <w:rPr>
          <w:sz w:val="20"/>
          <w:szCs w:val="20"/>
          <w:color w:val="auto"/>
        </w:rPr>
      </w:pPr>
    </w:p>
    <w:p>
      <w:pPr>
        <w:ind w:left="640" w:right="20" w:hanging="322"/>
        <w:spacing w:after="0" w:line="29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history of losses, and we may be unable to achieve or sustain profitability. We have experienced net losses in each year since our inception and we may therefore not be able to achieve or sustain profitability in the future.</w:t>
      </w:r>
    </w:p>
    <w:p>
      <w:pPr>
        <w:spacing w:after="0" w:line="120" w:lineRule="exact"/>
        <w:rPr>
          <w:rFonts w:ascii="Arial" w:cs="Arial" w:eastAsia="Arial" w:hAnsi="Arial"/>
          <w:sz w:val="17"/>
          <w:szCs w:val="17"/>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share price has been and may continue to be highly volatile, and you could lose all or part of your investment.</w:t>
      </w:r>
    </w:p>
    <w:p>
      <w:pPr>
        <w:spacing w:after="0" w:line="171" w:lineRule="exact"/>
        <w:rPr>
          <w:rFonts w:ascii="Arial" w:cs="Arial" w:eastAsia="Arial" w:hAnsi="Arial"/>
          <w:sz w:val="18"/>
          <w:szCs w:val="18"/>
          <w:color w:val="auto"/>
        </w:rPr>
      </w:pPr>
    </w:p>
    <w:p>
      <w:pPr>
        <w:ind w:left="640" w:right="12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effectively expand our manufacturing and production capacity, our business and operating results and our brand reputation could be harmed.</w:t>
      </w:r>
    </w:p>
    <w:p>
      <w:pPr>
        <w:spacing w:after="0" w:line="142" w:lineRule="exact"/>
        <w:rPr>
          <w:rFonts w:ascii="Arial" w:cs="Arial" w:eastAsia="Arial" w:hAnsi="Arial"/>
          <w:sz w:val="18"/>
          <w:szCs w:val="18"/>
          <w:color w:val="auto"/>
        </w:rPr>
      </w:pPr>
    </w:p>
    <w:p>
      <w:pPr>
        <w:ind w:left="640" w:right="80" w:hanging="322"/>
        <w:spacing w:after="0" w:line="25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we rely on a limited number of raw materials to create our products and a limited number of third-party suppliers to supply our raw materials, we may not be able to obtain raw materials on a timely basis, at cost effective pricing or in sufficient quantities to produce our products and we may not be able to produce our products or meet the demand for our products.</w:t>
      </w:r>
    </w:p>
    <w:p>
      <w:pPr>
        <w:spacing w:after="0" w:line="150" w:lineRule="exact"/>
        <w:rPr>
          <w:rFonts w:ascii="Arial" w:cs="Arial" w:eastAsia="Arial" w:hAnsi="Arial"/>
          <w:sz w:val="18"/>
          <w:szCs w:val="18"/>
          <w:color w:val="auto"/>
        </w:rPr>
      </w:pPr>
    </w:p>
    <w:p>
      <w:pPr>
        <w:ind w:left="640" w:right="42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business, results of operations and financial condition may be adversely affected by reduced or limited availability of pea protein that meets our standards.</w:t>
      </w:r>
    </w:p>
    <w:p>
      <w:pPr>
        <w:spacing w:after="0" w:line="142" w:lineRule="exact"/>
        <w:rPr>
          <w:rFonts w:ascii="Arial" w:cs="Arial" w:eastAsia="Arial" w:hAnsi="Arial"/>
          <w:sz w:val="18"/>
          <w:szCs w:val="18"/>
          <w:color w:val="auto"/>
        </w:rPr>
      </w:pPr>
    </w:p>
    <w:p>
      <w:pPr>
        <w:ind w:left="640" w:right="20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a limited number of distributors for the substantial majority of our sales, and if we experience the loss of one or more such distributors and cannot replace them in a timely manner or at all, our results of operations may be adversely affected.</w:t>
      </w:r>
    </w:p>
    <w:p>
      <w:pPr>
        <w:spacing w:after="0" w:line="147" w:lineRule="exact"/>
        <w:rPr>
          <w:rFonts w:ascii="Arial" w:cs="Arial" w:eastAsia="Arial" w:hAnsi="Arial"/>
          <w:sz w:val="18"/>
          <w:szCs w:val="18"/>
          <w:color w:val="auto"/>
        </w:rPr>
      </w:pPr>
    </w:p>
    <w:p>
      <w:pPr>
        <w:ind w:left="640" w:right="14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currently have any written contracts with co-manufacturers in the United States. The loss of these co-manufacturers or the inability of these co-manufacturers to fulfill our orders would adversely affect our ability to make timely deliveries of our products and would have a material adverse effect on our business.</w:t>
      </w:r>
    </w:p>
    <w:p>
      <w:pPr>
        <w:spacing w:after="0" w:line="147" w:lineRule="exact"/>
        <w:rPr>
          <w:rFonts w:ascii="Arial" w:cs="Arial" w:eastAsia="Arial" w:hAnsi="Arial"/>
          <w:sz w:val="18"/>
          <w:szCs w:val="18"/>
          <w:color w:val="auto"/>
        </w:rPr>
      </w:pPr>
    </w:p>
    <w:p>
      <w:pPr>
        <w:ind w:left="640" w:right="56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intense competition in our market from our competitors, including manufacturers of animal-based meat products and other brands that produce plant-based protein products.</w:t>
      </w:r>
    </w:p>
    <w:p>
      <w:pPr>
        <w:spacing w:after="0" w:line="142" w:lineRule="exact"/>
        <w:rPr>
          <w:rFonts w:ascii="Arial" w:cs="Arial" w:eastAsia="Arial" w:hAnsi="Arial"/>
          <w:sz w:val="18"/>
          <w:szCs w:val="18"/>
          <w:color w:val="auto"/>
        </w:rPr>
      </w:pPr>
    </w:p>
    <w:p>
      <w:pPr>
        <w:ind w:left="640" w:right="16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47" w:lineRule="exact"/>
        <w:rPr>
          <w:rFonts w:ascii="Arial" w:cs="Arial" w:eastAsia="Arial" w:hAnsi="Arial"/>
          <w:sz w:val="18"/>
          <w:szCs w:val="18"/>
          <w:color w:val="auto"/>
        </w:rPr>
      </w:pPr>
    </w:p>
    <w:p>
      <w:pPr>
        <w:ind w:left="640" w:right="6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and reputation may be diminished due to real or perceived quality or health issues with our products, which could have an adverse effect on our business, reputation, operating results and financial condition.</w:t>
      </w:r>
    </w:p>
    <w:p>
      <w:pPr>
        <w:spacing w:after="0" w:line="142"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revenue growth rate may slow over time and may not be indicative of future performance.</w:t>
      </w:r>
    </w:p>
    <w:p>
      <w:pPr>
        <w:spacing w:after="0" w:line="279" w:lineRule="exact"/>
        <w:rPr>
          <w:rFonts w:ascii="Arial" w:cs="Arial" w:eastAsia="Arial" w:hAnsi="Arial"/>
          <w:sz w:val="18"/>
          <w:szCs w:val="18"/>
          <w:color w:val="auto"/>
        </w:rPr>
      </w:pPr>
    </w:p>
    <w:p>
      <w:pPr>
        <w:jc w:val="both"/>
        <w:ind w:left="64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47" w:lineRule="exact"/>
        <w:rPr>
          <w:rFonts w:ascii="Arial" w:cs="Arial" w:eastAsia="Arial" w:hAnsi="Arial"/>
          <w:sz w:val="18"/>
          <w:szCs w:val="18"/>
          <w:color w:val="auto"/>
        </w:rPr>
      </w:pPr>
    </w:p>
    <w:p>
      <w:pPr>
        <w:ind w:left="640" w:right="14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47" w:lineRule="exact"/>
        <w:rPr>
          <w:rFonts w:ascii="Arial" w:cs="Arial" w:eastAsia="Arial" w:hAnsi="Arial"/>
          <w:sz w:val="18"/>
          <w:szCs w:val="18"/>
          <w:color w:val="auto"/>
        </w:rPr>
      </w:pPr>
    </w:p>
    <w:p>
      <w:pPr>
        <w:ind w:left="640" w:right="14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the Beyond Burger contribute a significant portion of our revenue. A reduction in sales of the Beyond Burger would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60"/>
          </w:cols>
          <w:pgMar w:left="920" w:top="967" w:right="919" w:bottom="1440" w:gutter="0" w:footer="0" w:header="0"/>
        </w:sectPr>
      </w:pPr>
    </w:p>
    <w:bookmarkStart w:id="10" w:name="page11"/>
    <w:bookmarkEnd w:id="10"/>
    <w:p>
      <w:pPr>
        <w:ind w:left="640" w:hanging="322"/>
        <w:spacing w:after="0" w:line="25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36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136005"/>
                    </a:xfrm>
                    <a:prstGeom prst="rect">
                      <a:avLst/>
                    </a:prstGeom>
                    <a:noFill/>
                  </pic:spPr>
                </pic:pic>
              </a:graphicData>
            </a:graphic>
          </wp:anchor>
        </w:drawing>
        <w:t>Failure to introduce new products or successfully improve existing products may adversely affect our ability to continue to grow. In addition, if we fail to cost-effectively acquire new customers or retain our existing customers, or if we fail to derive revenue from our existing customers consistent with our historical performance, our business could be materially adversely affected.</w:t>
      </w:r>
    </w:p>
    <w:p>
      <w:pPr>
        <w:spacing w:after="0" w:line="150" w:lineRule="exact"/>
        <w:rPr>
          <w:rFonts w:ascii="Arial" w:cs="Arial" w:eastAsia="Arial" w:hAnsi="Arial"/>
          <w:sz w:val="18"/>
          <w:szCs w:val="18"/>
          <w:color w:val="auto"/>
        </w:rPr>
      </w:pPr>
    </w:p>
    <w:p>
      <w:pPr>
        <w:ind w:left="640" w:right="30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future growth effectively, our business could be materially adversely affected. We may also face difficulties as we expand our operations into countries in which we have no prior operating experience.</w:t>
      </w:r>
    </w:p>
    <w:p>
      <w:pPr>
        <w:spacing w:after="0" w:line="142" w:lineRule="exact"/>
        <w:rPr>
          <w:rFonts w:ascii="Arial" w:cs="Arial" w:eastAsia="Arial" w:hAnsi="Arial"/>
          <w:sz w:val="18"/>
          <w:szCs w:val="18"/>
          <w:color w:val="auto"/>
        </w:rPr>
      </w:pPr>
    </w:p>
    <w:p>
      <w:pPr>
        <w:ind w:left="640" w:right="20" w:hanging="322"/>
        <w:spacing w:after="0" w:line="25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operations are subject to U.S. Food and Drug Administration, or FDA, regulation and state regulation, and there is no assurance that we will be in compliance with all regulations. 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151"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or will be subject to international regulations that could adversely affect our business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 On May 6, 2019, we completed our initial public offering, or IPO, of 11,068,750 shares of our common stock at a public offering price of $25.00 per share, which included 1,443,750 shares issued pursuant to the underwriters’ option to purchase additional shares of our common stock. We received approximately $252.4 million in proceeds, net of underwriting discounts and commissions and estimated offering expenses.</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principal executive offices are located at 119 Standard St., El Segundo, CA 90245, and our telephone number is (866) 756-4112. Our website address is www.beyondmeat.com. The information contained on or accessible through our website is not part of this prospectus or the registration statement of which this prospectus forms a part, and potential investors should not rely on such information in making a decision to purchase our common stock in this offering.</w:t>
      </w:r>
    </w:p>
    <w:p>
      <w:pPr>
        <w:spacing w:after="0" w:line="1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In this prospectus, the terms “Beyond Meat,” “we,” “us,” “our” and “the company” refer to Beyond Meat, Inc., a Delaware corporation.</w:t>
      </w:r>
    </w:p>
    <w:p>
      <w:pPr>
        <w:spacing w:after="0" w:line="142" w:lineRule="exact"/>
        <w:rPr>
          <w:sz w:val="20"/>
          <w:szCs w:val="20"/>
          <w:color w:val="auto"/>
        </w:rPr>
      </w:pPr>
    </w:p>
    <w:p>
      <w:pPr>
        <w:ind w:right="60" w:firstLine="324"/>
        <w:spacing w:after="0" w:line="262" w:lineRule="auto"/>
        <w:rPr>
          <w:sz w:val="20"/>
          <w:szCs w:val="20"/>
          <w:color w:val="auto"/>
        </w:rPr>
      </w:pPr>
      <w:r>
        <w:rPr>
          <w:rFonts w:ascii="Arial" w:cs="Arial" w:eastAsia="Arial" w:hAnsi="Arial"/>
          <w:sz w:val="17"/>
          <w:szCs w:val="17"/>
          <w:color w:val="auto"/>
        </w:rPr>
        <w:t xml:space="preserve">“The Beyond Burger,” ”Beyond Beef,” “Beyond Chicken,” “Beyond Meat,” “Beyond Sausage,” “Beyond Breakfast Sausage,” “The Cookout Classic,” “The Future of Protein” and “The Future of Protein Beyond Meat” and design are registered trademarks of Beyond Meat, Inc. in the United States and, in some cases, in certain other countries. All other brand names or trademarks appearing in this prospectus are the property of their respective holders. Solely for convenience, the trademarks and trade names in this prospectus are referred to without the ® and </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60"/>
          </w:cols>
          <w:pgMar w:left="920" w:top="881" w:right="9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586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586730"/>
                    </a:xfrm>
                    <a:prstGeom prst="rect">
                      <a:avLst/>
                    </a:prstGeom>
                    <a:noFill/>
                  </pic:spPr>
                </pic:pic>
              </a:graphicData>
            </a:graphic>
          </wp:anchor>
        </w:drawing>
        <w:t>Implications of Being an Emerging Growth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48" w:lineRule="exact"/>
        <w:rPr>
          <w:sz w:val="20"/>
          <w:szCs w:val="20"/>
          <w:color w:val="auto"/>
        </w:rPr>
      </w:pPr>
    </w:p>
    <w:p>
      <w:pPr>
        <w:ind w:left="640" w:right="40" w:hanging="322"/>
        <w:spacing w:after="0" w:line="26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and only two years of related Management’s Discussion and Analysis of Financial Condition and Results of Operations disclosure;</w:t>
      </w:r>
    </w:p>
    <w:p>
      <w:pPr>
        <w:spacing w:after="0" w:line="142"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rFonts w:ascii="Arial" w:cs="Arial" w:eastAsia="Arial" w:hAnsi="Arial"/>
          <w:sz w:val="18"/>
          <w:szCs w:val="18"/>
          <w:color w:val="auto"/>
        </w:rPr>
      </w:pPr>
    </w:p>
    <w:p>
      <w:pPr>
        <w:ind w:left="640" w:right="180" w:hanging="322"/>
        <w:spacing w:after="0" w:line="26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controls over financial reporting pursuant to Section 404(b) of the Sarbanes-Oxley Act of 2002, or the Sarbanes-Oxley Act; and</w:t>
      </w:r>
    </w:p>
    <w:p>
      <w:pPr>
        <w:spacing w:after="0" w:line="142" w:lineRule="exact"/>
        <w:rPr>
          <w:rFonts w:ascii="Arial" w:cs="Arial" w:eastAsia="Arial" w:hAnsi="Arial"/>
          <w:sz w:val="18"/>
          <w:szCs w:val="18"/>
          <w:color w:val="auto"/>
        </w:rPr>
      </w:pPr>
    </w:p>
    <w:p>
      <w:pPr>
        <w:ind w:left="640" w:right="240" w:hanging="322"/>
        <w:spacing w:after="0" w:line="256"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complying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Further, pursuant to Section 107 of the JOBS Act, as an emerging growth company, we have elected to use the extended transition period for complying with new or revised accounting standards until those standards would otherwise apply to private companies. Accordingly, the information contained herein may be different than the information you receive from other public companies in which you hold stock, and our financial statements may not be comparable to the financial statements of issuers who are required to comply with the effective dates for new or revised accounting standards that are applicable to public companies. See “Risk Factors—Risks Related to Being a Public Company” which describes that we are an emerging growth company, and we cannot be certain if the reduced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60"/>
          </w:cols>
          <w:pgMar w:left="920" w:top="967" w:right="9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327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327900"/>
                    </a:xfrm>
                    <a:prstGeom prst="rect">
                      <a:avLst/>
                    </a:prstGeom>
                    <a:noFill/>
                  </pic:spPr>
                </pic:pic>
              </a:graphicData>
            </a:graphic>
          </wp:anchor>
        </w:drawing>
        <w:t>The Offering</w:t>
      </w:r>
    </w:p>
    <w:p>
      <w:pPr>
        <w:sectPr>
          <w:pgSz w:w="11900" w:h="16838" w:orient="portrait"/>
          <w:cols w:equalWidth="0" w:num="1">
            <w:col w:w="10080"/>
          </w:cols>
          <w:pgMar w:left="920" w:top="967" w:right="89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offered by us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offered by the selling stockholders</w:t>
      </w:r>
    </w:p>
    <w:p>
      <w:pPr>
        <w:spacing w:after="0" w:line="171" w:lineRule="exact"/>
        <w:rPr>
          <w:sz w:val="20"/>
          <w:szCs w:val="20"/>
          <w:color w:val="auto"/>
        </w:rPr>
      </w:pPr>
    </w:p>
    <w:p>
      <w:pPr>
        <w:ind w:left="180" w:hanging="161"/>
        <w:spacing w:after="0" w:line="271" w:lineRule="auto"/>
        <w:rPr>
          <w:sz w:val="20"/>
          <w:szCs w:val="20"/>
          <w:color w:val="auto"/>
        </w:rPr>
      </w:pPr>
      <w:r>
        <w:rPr>
          <w:rFonts w:ascii="Arial" w:cs="Arial" w:eastAsia="Arial" w:hAnsi="Arial"/>
          <w:sz w:val="18"/>
          <w:szCs w:val="18"/>
          <w:b w:val="1"/>
          <w:bCs w:val="1"/>
          <w:color w:val="auto"/>
        </w:rPr>
        <w:t>Options exercised in connection with shares to be sold in the offering</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to be outstanding after the offering</w:t>
      </w:r>
    </w:p>
    <w:p>
      <w:pPr>
        <w:spacing w:after="0" w:line="374" w:lineRule="exact"/>
        <w:rPr>
          <w:sz w:val="20"/>
          <w:szCs w:val="20"/>
          <w:color w:val="auto"/>
        </w:rPr>
      </w:pPr>
    </w:p>
    <w:p>
      <w:pPr>
        <w:ind w:left="180" w:right="220" w:hanging="161"/>
        <w:spacing w:after="0" w:line="271" w:lineRule="auto"/>
        <w:rPr>
          <w:sz w:val="20"/>
          <w:szCs w:val="20"/>
          <w:color w:val="auto"/>
        </w:rPr>
      </w:pPr>
      <w:r>
        <w:rPr>
          <w:rFonts w:ascii="Arial" w:cs="Arial" w:eastAsia="Arial" w:hAnsi="Arial"/>
          <w:sz w:val="18"/>
          <w:szCs w:val="18"/>
          <w:b w:val="1"/>
          <w:bCs w:val="1"/>
          <w:color w:val="auto"/>
        </w:rPr>
        <w:t>Option to purchase additional shares of common stock granted by the selling stockholders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250,000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3,000,000 shares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75,443 shares</w:t>
      </w:r>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60,492,964 shares (including 75,443 shares to be sold in the offering upon exercise of vested options)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487,500 shares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intend to use the net proceeds received by us (i) to continue to increase our production and supply capabilities, (ii) to pay for marketing and promotional activities, and (iii) for general working capital purposes.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selling stockholders will sell 92% of the shares sold in this offering (excluding shares sold if the underwriters exercise their option to purchase additional shares from the selling stockholders). We will not receive any proceeds from the sale of shares by the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for more information.</w:t>
      </w:r>
    </w:p>
    <w:p>
      <w:pPr>
        <w:spacing w:after="0" w:line="17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Investing in our common stock involves a high degree of risk. You should carefully read and consider the information set forth under “Risk Factors” and all other information in this prospectus before investing in our common stock.</w:t>
      </w:r>
    </w:p>
    <w:p>
      <w:pPr>
        <w:spacing w:after="0" w:line="135" w:lineRule="exact"/>
        <w:rPr>
          <w:sz w:val="20"/>
          <w:szCs w:val="20"/>
          <w:color w:val="auto"/>
        </w:rPr>
      </w:pPr>
    </w:p>
    <w:p>
      <w:pPr>
        <w:sectPr>
          <w:pgSz w:w="11900" w:h="16838" w:orient="portrait"/>
          <w:cols w:equalWidth="0" w:num="2">
            <w:col w:w="4960" w:space="100"/>
            <w:col w:w="5020"/>
          </w:cols>
          <w:pgMar w:left="920" w:top="967" w:right="899" w:bottom="1440" w:gutter="0" w:footer="0" w:header="0"/>
          <w:type w:val="continuous"/>
        </w:sectPr>
      </w:pPr>
    </w:p>
    <w:p>
      <w:pPr>
        <w:ind w:left="20"/>
        <w:spacing w:after="0"/>
        <w:tabs>
          <w:tab w:leader="none" w:pos="504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Our common stock is listed on the Nasdaq Global Select</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Market under the symbol “BYND.”</w:t>
      </w:r>
    </w:p>
    <w:p>
      <w:pPr>
        <w:spacing w:after="0" w:line="18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is based on 60,167,521 shares of common stock (including 140,560 unvested shares of restricted common stock subject to our repurchase right) outstanding as of June 29, 2019, plus 75,443 shares to be sold upon exercise of options in connection with this offering, and excludes:</w:t>
      </w:r>
    </w:p>
    <w:p>
      <w:pPr>
        <w:spacing w:after="0" w:line="148" w:lineRule="exact"/>
        <w:rPr>
          <w:sz w:val="20"/>
          <w:szCs w:val="20"/>
          <w:color w:val="auto"/>
        </w:rPr>
      </w:pPr>
    </w:p>
    <w:p>
      <w:pPr>
        <w:ind w:left="640" w:right="60" w:hanging="322"/>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6,169,660 shares of common stock issuable upon exercise of stock options outstanding as of June 29, 2019, having a weighted-average exercise price of $11.12 per share (which excludes 75,443 shares of our common stock to be sold in this offering by certain selling stockholders upon the exercise of vested options prior to the closing of this offering);</w:t>
      </w:r>
    </w:p>
    <w:p>
      <w:pPr>
        <w:spacing w:after="0" w:line="147" w:lineRule="exact"/>
        <w:rPr>
          <w:rFonts w:ascii="Arial" w:cs="Arial" w:eastAsia="Arial" w:hAnsi="Arial"/>
          <w:sz w:val="18"/>
          <w:szCs w:val="18"/>
          <w:color w:val="auto"/>
        </w:rPr>
      </w:pPr>
    </w:p>
    <w:p>
      <w:pPr>
        <w:ind w:left="640" w:right="220" w:hanging="322"/>
        <w:spacing w:after="0" w:line="26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70,360 shares of common stock issuable upon the vesting of restricted stock units, or RSUs, outstanding as of June 29, 2019;</w:t>
      </w:r>
    </w:p>
    <w:p>
      <w:pPr>
        <w:spacing w:after="0" w:line="142" w:lineRule="exact"/>
        <w:rPr>
          <w:rFonts w:ascii="Arial" w:cs="Arial" w:eastAsia="Arial" w:hAnsi="Arial"/>
          <w:sz w:val="18"/>
          <w:szCs w:val="18"/>
          <w:color w:val="auto"/>
        </w:rPr>
      </w:pPr>
    </w:p>
    <w:p>
      <w:pPr>
        <w:jc w:val="both"/>
        <w:ind w:left="640" w:right="120" w:hanging="322"/>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our 2018 Equity Incentive Plan, or the 2018 Plan, as of June 29, 2019, plus shares that will automatically be added to the share reserve each year, as more fully described in “Executive Compensation—Employee Benefit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80"/>
          </w:cols>
          <w:pgMar w:left="920" w:top="967" w:right="899" w:bottom="1440" w:gutter="0" w:footer="0" w:header="0"/>
          <w:type w:val="continuous"/>
        </w:sectPr>
      </w:pPr>
    </w:p>
    <w:bookmarkStart w:id="13" w:name="page14"/>
    <w:bookmarkEnd w:id="13"/>
    <w:p>
      <w:pPr>
        <w:ind w:left="322" w:right="20" w:hanging="322"/>
        <w:spacing w:after="0" w:line="256"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2379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379345"/>
                    </a:xfrm>
                    <a:prstGeom prst="rect">
                      <a:avLst/>
                    </a:prstGeom>
                    <a:noFill/>
                  </pic:spPr>
                </pic:pic>
              </a:graphicData>
            </a:graphic>
          </wp:anchor>
        </w:drawing>
        <w:t>804,195 shares of common stock reserved for issuance under our 2018 Employee Stock Purchase Plan, plus shares that will automatically be added to the share reserve each year, as more fully described in “Executive Compensation— Employee Stock Purchase Plan.”</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71" w:lineRule="exact"/>
        <w:rPr>
          <w:sz w:val="20"/>
          <w:szCs w:val="20"/>
          <w:color w:val="auto"/>
        </w:rPr>
      </w:pPr>
    </w:p>
    <w:p>
      <w:pPr>
        <w:ind w:left="322" w:hanging="322"/>
        <w:spacing w:after="0" w:line="262"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or termination of outstanding stock options after June 29, 2019 (other than the shares being exercised and sold in this offering); and</w:t>
      </w:r>
    </w:p>
    <w:p>
      <w:pPr>
        <w:spacing w:after="0" w:line="142" w:lineRule="exact"/>
        <w:rPr>
          <w:rFonts w:ascii="Arial" w:cs="Arial" w:eastAsia="Arial" w:hAnsi="Arial"/>
          <w:sz w:val="18"/>
          <w:szCs w:val="18"/>
          <w:color w:val="auto"/>
        </w:rPr>
      </w:pPr>
    </w:p>
    <w:p>
      <w:pPr>
        <w:ind w:left="322" w:right="260" w:hanging="322"/>
        <w:spacing w:after="0" w:line="262"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487,500 shares of our common stock from the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742"/>
          </w:cols>
          <w:pgMar w:left="1238" w:top="881" w:right="9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307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t>Summary Financial Data</w:t>
      </w:r>
    </w:p>
    <w:p>
      <w:pPr>
        <w:spacing w:after="0" w:line="193" w:lineRule="exact"/>
        <w:rPr>
          <w:sz w:val="20"/>
          <w:szCs w:val="20"/>
          <w:color w:val="auto"/>
        </w:rPr>
      </w:pPr>
    </w:p>
    <w:p>
      <w:pPr>
        <w:ind w:left="20" w:right="100" w:firstLine="324"/>
        <w:spacing w:after="0" w:line="252" w:lineRule="auto"/>
        <w:rPr>
          <w:sz w:val="20"/>
          <w:szCs w:val="20"/>
          <w:color w:val="auto"/>
        </w:rPr>
      </w:pPr>
      <w:r>
        <w:rPr>
          <w:rFonts w:ascii="Arial" w:cs="Arial" w:eastAsia="Arial" w:hAnsi="Arial"/>
          <w:sz w:val="18"/>
          <w:szCs w:val="18"/>
          <w:color w:val="auto"/>
        </w:rPr>
        <w:t>The following tables set forth summary financial data for the periods and at the dates indicated. The statements of operations data for the years ended December 31, 2016, 2017 and 2018 have been derived from our audited financial statements included elsewhere in this prospectus. The statements of operations data for the six months ended June 30, 2018 and June 29, 2019 and the summary balance sheet data as of June 29, 2019 have been derived from our unaudited interim condensed financial statements included elsewhere in this prospectus. In our opinion, this unaudited interim condensed financial data has been prepared on a basis consistent with our audited financial statements and contains all adjustments, consisting only of normal and recurring adjustments, necessary for a fair presentation of such financial data.</w:t>
      </w:r>
    </w:p>
    <w:p>
      <w:pPr>
        <w:spacing w:after="0" w:line="153" w:lineRule="exact"/>
        <w:rPr>
          <w:sz w:val="20"/>
          <w:szCs w:val="20"/>
          <w:color w:val="auto"/>
        </w:rPr>
      </w:pPr>
    </w:p>
    <w:p>
      <w:pPr>
        <w:ind w:left="20" w:right="80" w:firstLine="324"/>
        <w:spacing w:after="0" w:line="252" w:lineRule="auto"/>
        <w:rPr>
          <w:sz w:val="20"/>
          <w:szCs w:val="20"/>
          <w:color w:val="auto"/>
        </w:rPr>
      </w:pPr>
      <w:r>
        <w:rPr>
          <w:rFonts w:ascii="Arial" w:cs="Arial" w:eastAsia="Arial" w:hAnsi="Arial"/>
          <w:sz w:val="18"/>
          <w:szCs w:val="18"/>
          <w:color w:val="auto"/>
        </w:rPr>
        <w:t>Our historical results are not necessarily indicative of the results to be expected for any future periods and our operating results for the six-month period ended June 29, 2019 are not necessarily indicative of the results that may be expected for the fiscal year ending December 31, 2019 or any other interim periods or any future year or period. You should read the following financial information together with the information under “Capitalization,” “Management’s Discussion and Analysis of Financial Condition and Results of Operations,” “Selected Financial Data” and our financial statements and related notes included elsewhere in this prospectus.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2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rPr>
              <w:t>June 30, 2018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78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Operations Data:</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87,934</w:t>
            </w:r>
          </w:p>
        </w:tc>
        <w:tc>
          <w:tcPr>
            <w:tcW w:w="100" w:type="dxa"/>
            <w:vAlign w:val="bottom"/>
          </w:tcPr>
          <w:p>
            <w:pPr>
              <w:spacing w:after="0"/>
              <w:rPr>
                <w:sz w:val="22"/>
                <w:szCs w:val="22"/>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30,143</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107,457</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25,474</w:t>
            </w: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73,945</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4,669</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33,512</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642</w:t>
            </w: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45,563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17,524</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36,643</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(12,938)</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r>
      <w:tr>
        <w:trPr>
          <w:trHeight w:val="226"/>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loss per common share—basic and</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40" w:type="dxa"/>
            <w:vAlign w:val="bottom"/>
          </w:tcPr>
          <w:p>
            <w:pPr>
              <w:spacing w:after="0"/>
              <w:rPr>
                <w:sz w:val="20"/>
                <w:szCs w:val="20"/>
                <w:color w:val="auto"/>
              </w:rPr>
            </w:pPr>
          </w:p>
        </w:tc>
        <w:tc>
          <w:tcPr>
            <w:tcW w:w="350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diluted</w:t>
            </w:r>
            <w:r>
              <w:rPr>
                <w:rFonts w:ascii="Arial" w:cs="Arial" w:eastAsia="Arial" w:hAnsi="Arial"/>
                <w:sz w:val="21"/>
                <w:szCs w:val="21"/>
                <w:color w:val="auto"/>
                <w:vertAlign w:val="superscript"/>
              </w:rPr>
              <w:t>(1)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(0.69)</w:t>
            </w:r>
          </w:p>
        </w:tc>
      </w:tr>
    </w:tbl>
    <w:p>
      <w:pPr>
        <w:ind w:left="20"/>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240" w:hanging="326"/>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per share amounts have been adjusted retrospectively to reflect the 3-for-2 reverse stock split of our common stock on January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80"/>
          </w:cols>
          <w:pgMar w:left="900" w:top="967" w:right="9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69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282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As of June 29, 2019</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40" w:type="dxa"/>
            <w:vAlign w:val="bottom"/>
          </w:tcPr>
          <w:p>
            <w:pPr>
              <w:spacing w:after="0"/>
              <w:rPr>
                <w:sz w:val="19"/>
                <w:szCs w:val="19"/>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19"/>
                <w:szCs w:val="19"/>
                <w:color w:val="auto"/>
              </w:rPr>
            </w:pPr>
          </w:p>
        </w:tc>
        <w:tc>
          <w:tcPr>
            <w:tcW w:w="1340" w:type="dxa"/>
            <w:vAlign w:val="bottom"/>
          </w:tcPr>
          <w:p>
            <w:pPr>
              <w:jc w:val="right"/>
              <w:ind w:right="131"/>
              <w:spacing w:after="0" w:line="223" w:lineRule="exact"/>
              <w:rPr>
                <w:sz w:val="20"/>
                <w:szCs w:val="20"/>
                <w:color w:val="auto"/>
              </w:rPr>
            </w:pPr>
            <w:r>
              <w:rPr>
                <w:rFonts w:ascii="Arial" w:cs="Arial" w:eastAsia="Arial" w:hAnsi="Arial"/>
                <w:sz w:val="16"/>
                <w:szCs w:val="16"/>
                <w:b w:val="1"/>
                <w:bCs w:val="1"/>
                <w:color w:val="auto"/>
                <w:w w:val="99"/>
              </w:rPr>
              <w:t>As Adjusted</w:t>
            </w:r>
            <w:r>
              <w:rPr>
                <w:rFonts w:ascii="Arial" w:cs="Arial" w:eastAsia="Arial" w:hAnsi="Arial"/>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61"/>
        </w:trPr>
        <w:tc>
          <w:tcPr>
            <w:tcW w:w="69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9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276,987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313,759</w:t>
            </w:r>
          </w:p>
        </w:tc>
        <w:tc>
          <w:tcPr>
            <w:tcW w:w="0" w:type="dxa"/>
            <w:vAlign w:val="bottom"/>
          </w:tcPr>
          <w:p>
            <w:pPr>
              <w:spacing w:after="0"/>
              <w:rPr>
                <w:sz w:val="1"/>
                <w:szCs w:val="1"/>
                <w:color w:val="auto"/>
              </w:rPr>
            </w:pPr>
          </w:p>
        </w:tc>
      </w:tr>
      <w:tr>
        <w:trPr>
          <w:trHeight w:val="270"/>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321,393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358,165</w:t>
            </w:r>
          </w:p>
        </w:tc>
        <w:tc>
          <w:tcPr>
            <w:tcW w:w="0" w:type="dxa"/>
            <w:vAlign w:val="bottom"/>
          </w:tcPr>
          <w:p>
            <w:pPr>
              <w:spacing w:after="0"/>
              <w:rPr>
                <w:sz w:val="1"/>
                <w:szCs w:val="1"/>
                <w:color w:val="auto"/>
              </w:rPr>
            </w:pPr>
          </w:p>
        </w:tc>
      </w:tr>
      <w:tr>
        <w:trPr>
          <w:trHeight w:val="270"/>
        </w:trPr>
        <w:tc>
          <w:tcPr>
            <w:tcW w:w="6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397,061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433,833</w:t>
            </w:r>
          </w:p>
        </w:tc>
        <w:tc>
          <w:tcPr>
            <w:tcW w:w="0" w:type="dxa"/>
            <w:vAlign w:val="bottom"/>
          </w:tcPr>
          <w:p>
            <w:pPr>
              <w:spacing w:after="0"/>
              <w:rPr>
                <w:sz w:val="1"/>
                <w:szCs w:val="1"/>
                <w:color w:val="auto"/>
              </w:rPr>
            </w:pPr>
          </w:p>
        </w:tc>
      </w:tr>
      <w:tr>
        <w:trPr>
          <w:trHeight w:val="26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77"/>
        </w:trPr>
        <w:tc>
          <w:tcPr>
            <w:tcW w:w="6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331,785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368,557</w:t>
            </w:r>
          </w:p>
        </w:tc>
        <w:tc>
          <w:tcPr>
            <w:tcW w:w="0" w:type="dxa"/>
            <w:vAlign w:val="bottom"/>
          </w:tcPr>
          <w:p>
            <w:pPr>
              <w:spacing w:after="0"/>
              <w:rPr>
                <w:sz w:val="1"/>
                <w:szCs w:val="1"/>
                <w:color w:val="auto"/>
              </w:rPr>
            </w:pPr>
          </w:p>
        </w:tc>
      </w:tr>
      <w:tr>
        <w:trPr>
          <w:trHeight w:val="191"/>
        </w:trPr>
        <w:tc>
          <w:tcPr>
            <w:tcW w:w="6920" w:type="dxa"/>
            <w:vAlign w:val="bottom"/>
            <w:gridSpan w:val="3"/>
          </w:tcPr>
          <w:p>
            <w:pPr>
              <w:jc w:val="right"/>
              <w:ind w:right="5200"/>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26"/>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04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044690"/>
                    </a:xfrm>
                    <a:prstGeom prst="rect">
                      <a:avLst/>
                    </a:prstGeom>
                    <a:noFill/>
                  </pic:spPr>
                </pic:pic>
              </a:graphicData>
            </a:graphic>
          </wp:anchor>
        </w:drawing>
        <w:t>The as adjusted balance sheet gives effect to the sale of shares of common stock by us in this offering at the public offering price of</w:t>
      </w:r>
    </w:p>
    <w:p>
      <w:pPr>
        <w:spacing w:after="0" w:line="5" w:lineRule="exact"/>
        <w:rPr>
          <w:rFonts w:ascii="Arial" w:cs="Arial" w:eastAsia="Arial" w:hAnsi="Arial"/>
          <w:sz w:val="16"/>
          <w:szCs w:val="16"/>
          <w:color w:val="auto"/>
        </w:rPr>
      </w:pPr>
    </w:p>
    <w:p>
      <w:pPr>
        <w:ind w:left="340" w:right="100"/>
        <w:spacing w:after="0" w:line="246" w:lineRule="auto"/>
        <w:rPr>
          <w:rFonts w:ascii="Arial" w:cs="Arial" w:eastAsia="Arial" w:hAnsi="Arial"/>
          <w:sz w:val="16"/>
          <w:szCs w:val="16"/>
          <w:color w:val="auto"/>
        </w:rPr>
      </w:pPr>
      <w:r>
        <w:rPr>
          <w:rFonts w:ascii="Arial" w:cs="Arial" w:eastAsia="Arial" w:hAnsi="Arial"/>
          <w:sz w:val="16"/>
          <w:szCs w:val="16"/>
          <w:color w:val="auto"/>
        </w:rPr>
        <w:t>$160.00 per share, after deducting the estimated underwriting discounts and commissions and estimated offering expenses payable by us.</w:t>
      </w:r>
    </w:p>
    <w:p>
      <w:pPr>
        <w:ind w:left="340" w:hanging="326"/>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6"/>
                <w:szCs w:val="16"/>
                <w:color w:val="auto"/>
              </w:rPr>
            </w:pPr>
          </w:p>
        </w:tc>
        <w:tc>
          <w:tcPr>
            <w:tcW w:w="3080" w:type="dxa"/>
            <w:vAlign w:val="bottom"/>
            <w:gridSpan w:val="6"/>
          </w:tcPr>
          <w:p>
            <w:pPr>
              <w:jc w:val="center"/>
              <w:ind w:left="656"/>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Six Months Ended</w:t>
            </w: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Non-GAAP Financial Data:</w:t>
            </w:r>
          </w:p>
        </w:tc>
        <w:tc>
          <w:tcPr>
            <w:tcW w:w="320" w:type="dxa"/>
            <w:vAlign w:val="bottom"/>
          </w:tcPr>
          <w:p>
            <w:pPr>
              <w:spacing w:after="0"/>
              <w:rPr>
                <w:sz w:val="22"/>
                <w:szCs w:val="22"/>
                <w:color w:val="auto"/>
              </w:rPr>
            </w:pPr>
          </w:p>
        </w:tc>
        <w:tc>
          <w:tcPr>
            <w:tcW w:w="1100" w:type="dxa"/>
            <w:vAlign w:val="bottom"/>
          </w:tcPr>
          <w:p>
            <w:pPr>
              <w:jc w:val="right"/>
              <w:ind w:right="45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2"/>
                <w:szCs w:val="22"/>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June 29, 2019</w:t>
            </w:r>
          </w:p>
        </w:tc>
      </w:tr>
      <w:tr>
        <w:trPr>
          <w:trHeight w:val="257"/>
        </w:trPr>
        <w:tc>
          <w:tcPr>
            <w:tcW w:w="20" w:type="dxa"/>
            <w:vAlign w:val="bottom"/>
            <w:tcBorders>
              <w:top w:val="single" w:sz="8" w:color="CCEEFF"/>
            </w:tcBorders>
            <w:shd w:val="clear" w:color="auto" w:fill="CCEEFF"/>
          </w:tcPr>
          <w:p>
            <w:pPr>
              <w:spacing w:after="0"/>
              <w:rPr>
                <w:sz w:val="22"/>
                <w:szCs w:val="22"/>
                <w:color w:val="auto"/>
              </w:rPr>
            </w:pPr>
          </w:p>
        </w:tc>
        <w:tc>
          <w:tcPr>
            <w:tcW w:w="2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4,745</w:t>
            </w:r>
          </w:p>
        </w:tc>
      </w:tr>
      <w:tr>
        <w:trPr>
          <w:trHeight w:val="191"/>
        </w:trPr>
        <w:tc>
          <w:tcPr>
            <w:tcW w:w="25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340" w:right="60" w:hanging="326"/>
        <w:spacing w:after="0" w:line="24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generally accepted accounting principles in the United States, or GAAP. We define Adjusted EBITDA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148" w:lineRule="exact"/>
        <w:rPr>
          <w:sz w:val="20"/>
          <w:szCs w:val="20"/>
          <w:color w:val="auto"/>
        </w:rPr>
      </w:pPr>
    </w:p>
    <w:p>
      <w:pPr>
        <w:ind w:left="20" w:right="18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GAAP. There are a number of limitations related to the use of Adjusted EBITDA rather than net loss, which is the most directly comparable GAAP measure. Some of these limitations are:</w:t>
      </w:r>
    </w:p>
    <w:p>
      <w:pPr>
        <w:spacing w:after="0" w:line="148" w:lineRule="exact"/>
        <w:rPr>
          <w:sz w:val="20"/>
          <w:szCs w:val="20"/>
          <w:color w:val="auto"/>
        </w:rPr>
      </w:pPr>
    </w:p>
    <w:p>
      <w:pPr>
        <w:ind w:left="660" w:right="240" w:hanging="32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2" w:lineRule="exact"/>
        <w:rPr>
          <w:rFonts w:ascii="Arial" w:cs="Arial" w:eastAsia="Arial" w:hAnsi="Arial"/>
          <w:sz w:val="18"/>
          <w:szCs w:val="18"/>
          <w:color w:val="auto"/>
        </w:rPr>
      </w:pPr>
    </w:p>
    <w:p>
      <w:pPr>
        <w:ind w:left="660" w:right="480" w:hanging="32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42" w:lineRule="exact"/>
        <w:rPr>
          <w:rFonts w:ascii="Arial" w:cs="Arial" w:eastAsia="Arial" w:hAnsi="Arial"/>
          <w:sz w:val="18"/>
          <w:szCs w:val="18"/>
          <w:color w:val="auto"/>
        </w:rPr>
      </w:pPr>
    </w:p>
    <w:p>
      <w:pPr>
        <w:ind w:left="660" w:hanging="32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right="400" w:hanging="32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42" w:lineRule="exact"/>
        <w:rPr>
          <w:rFonts w:ascii="Arial" w:cs="Arial" w:eastAsia="Arial" w:hAnsi="Arial"/>
          <w:sz w:val="18"/>
          <w:szCs w:val="18"/>
          <w:color w:val="auto"/>
        </w:rPr>
      </w:pPr>
    </w:p>
    <w:p>
      <w:pPr>
        <w:ind w:left="660" w:hanging="32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60" w:right="260" w:hanging="32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00"/>
          </w:cols>
          <w:pgMar w:left="900" w:top="1022" w:right="899" w:bottom="1440" w:gutter="0" w:footer="0" w:header="0"/>
        </w:sectPr>
      </w:pPr>
    </w:p>
    <w:bookmarkStart w:id="16" w:name="page17"/>
    <w:bookmarkEnd w:id="16"/>
    <w:p>
      <w:pPr>
        <w:ind w:left="6" w:right="140" w:firstLine="32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432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432425"/>
                    </a:xfrm>
                    <a:prstGeom prst="rect">
                      <a:avLst/>
                    </a:prstGeom>
                    <a:noFill/>
                  </pic:spPr>
                </pic:pic>
              </a:graphicData>
            </a:graphic>
          </wp:anchor>
        </w:drawing>
        <w:t>These non-GAAP financial measures should not be considered in isolation or as a substitute for financial information provided in accordance with GAAP. Below we have provided a reconciliation of Adjusted EBITDA to net loss, as reported, the most directly comparable financial measure calculated and presented in accordance with GAAP, for each of the periods presented.</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2"/>
                <w:szCs w:val="22"/>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June 29, 2019</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63"/>
        </w:trPr>
        <w:tc>
          <w:tcPr>
            <w:tcW w:w="3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63"/>
        </w:trPr>
        <w:tc>
          <w:tcPr>
            <w:tcW w:w="3160" w:type="dxa"/>
            <w:vAlign w:val="bottom"/>
          </w:tcPr>
          <w:p>
            <w:pPr>
              <w:ind w:left="20"/>
              <w:spacing w:after="0"/>
              <w:rPr>
                <w:sz w:val="20"/>
                <w:szCs w:val="20"/>
                <w:color w:val="auto"/>
              </w:rPr>
            </w:pPr>
            <w:r>
              <w:rPr>
                <w:rFonts w:ascii="Arial" w:cs="Arial" w:eastAsia="Arial" w:hAnsi="Arial"/>
                <w:sz w:val="18"/>
                <w:szCs w:val="18"/>
                <w:color w:val="auto"/>
              </w:rPr>
              <w:t>Remeasurement of warrant liability</w:t>
            </w:r>
          </w:p>
        </w:tc>
        <w:tc>
          <w:tcPr>
            <w:tcW w:w="2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losses from termination of</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exclusive supply agreement</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Costs of termination of exclusive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tcPr>
          <w:p>
            <w:pPr>
              <w:ind w:left="180"/>
              <w:spacing w:after="0" w:line="233" w:lineRule="exact"/>
              <w:rPr>
                <w:sz w:val="20"/>
                <w:szCs w:val="20"/>
                <w:color w:val="auto"/>
              </w:rPr>
            </w:pPr>
            <w:r>
              <w:rPr>
                <w:rFonts w:ascii="Arial" w:cs="Arial" w:eastAsia="Arial" w:hAnsi="Arial"/>
                <w:sz w:val="18"/>
                <w:szCs w:val="18"/>
                <w:color w:val="auto"/>
              </w:rPr>
              <w:t>supply agreement</w:t>
            </w:r>
            <w:r>
              <w:rPr>
                <w:rFonts w:ascii="Arial" w:cs="Arial" w:eastAsia="Arial" w:hAnsi="Arial"/>
                <w:sz w:val="21"/>
                <w:szCs w:val="21"/>
                <w:color w:val="auto"/>
                <w:vertAlign w:val="superscript"/>
              </w:rPr>
              <w:t>(c)</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21"/>
                <w:szCs w:val="21"/>
                <w:color w:val="auto"/>
                <w:vertAlign w:val="superscript"/>
              </w:rPr>
              <w:t>(d)</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6"/>
                <w:szCs w:val="16"/>
                <w:color w:val="auto"/>
              </w:rPr>
              <w:t>___________________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6" w:right="80" w:hanging="326"/>
        <w:spacing w:after="0" w:line="246" w:lineRule="auto"/>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26" w:right="40" w:hanging="326"/>
        <w:spacing w:after="0" w:line="246" w:lineRule="auto"/>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26" w:right="520" w:hanging="326"/>
        <w:spacing w:after="0" w:line="246" w:lineRule="auto"/>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26" w:hanging="326"/>
        <w:spacing w:after="0"/>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expenses associated with the conversion of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86"/>
          </w:cols>
          <w:pgMar w:left="914" w:top="881" w:right="89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as well as the other information in this prospectus, before deciding whether to invest in shares of our common stock. If any of the following risks actually occurs, our business, results of operations, financial condition and/or growth prospects could be materially adversely affected. In this case, the trading price of our common stock would likely decline and you might lose part or all your investment in our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Brand, Our Products and Our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experienced net losses in almost every period since our inception. In the six months ended June 29, 2019, we incurred a net loss of $16.1 million. In the years ended December 31, 2016, 2017 and 2018, we incurred net losses of $25.1 million, $30.4 million and $29.9 million, respectively. We anticipate that our operating expenses and capital expenditures will increase substantially in the foreseeable future as we continue to invest to increase our customer base, supplier network and co-manufacturing partners, expand our marketing channels, invest in our distribution and manufacturing facilities, hire additional employees and enhance our technology and production capabilities. Our expansion efforts may prove more expensive than we anticipate, and we may not succeed in increasing our revenues and margins sufficiently to offset the anticipated higher expenses. We incur significant expenses in developing our innovative products, building out our manufacturing facilities, obtaining and storing ingredients and other products and marketing the products we offer. In addition, many of our expenses, including the costs associated with our existing and any future manufacturing facilities, are fixed. Accordingly, we may not be able to achieve or sustain profitability, and we may incur significant losses for the foreseeable future.</w:t>
      </w:r>
    </w:p>
    <w:p>
      <w:pPr>
        <w:spacing w:after="0" w:line="24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our business and operating results and our brand reputation could be harmed.</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we will need to expand our operations, supply and manufacturing capabilities. However, there is risk in our ability to effectively scale production processes and effectively manage our supply chain requirements. We must accurately forecast demand for our products in order to ensure we have adequate available manufacturing capacity. Our forecasts are based on multiple assumptions which may cause our estimates to be inaccurate and affect our ability to obtain adequate manufacturing capacity (whether our own manufacturing capacity or co-manufacturing capacity) in order to meet the demand for our products, which could prevent us from meeting increased customer demand and harm our brand and our business and in some cases may result in fines we must pay customers or distributors if we are unable to fulfill orders placed by them in a timely manner or at all.</w:t>
      </w:r>
    </w:p>
    <w:p>
      <w:pPr>
        <w:spacing w:after="0" w:line="15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However, if we overestimate our demand and overbuild our capacity, we may have significantly underutilized assets and may experience reduced margins. If we do not accurately align our manufacturing capabilities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23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rely on a limited number of vendors to supply us with raw materials. Our financial performance depends in large part on our ability to arrange for the purchase of raw materials in sufficient quantities at competitive prices. We are not assured of continued supply or pricing of raw materials. Any of our suppliers could discontinue or seek to alter their relationship with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68" w:right="239" w:bottom="1440" w:gutter="0" w:footer="0" w:header="0"/>
        </w:sectPr>
      </w:pPr>
    </w:p>
    <w:bookmarkStart w:id="18" w:name="page19"/>
    <w:bookmarkEnd w:id="18"/>
    <w:p>
      <w:pPr>
        <w:ind w:right="40" w:firstLine="324"/>
        <w:spacing w:after="0" w:line="253" w:lineRule="auto"/>
        <w:rPr>
          <w:sz w:val="20"/>
          <w:szCs w:val="20"/>
          <w:color w:val="auto"/>
        </w:rPr>
      </w:pPr>
      <w:r>
        <w:rPr>
          <w:rFonts w:ascii="Arial" w:cs="Arial" w:eastAsia="Arial" w:hAnsi="Arial"/>
          <w:sz w:val="18"/>
          <w:szCs w:val="18"/>
          <w:color w:val="auto"/>
        </w:rPr>
        <w:t>We currently have two suppliers for the pea protein used in our fresh products. We have in the past experienced interruptions in the supply of pea protein from one supplier that resulted in delays in delivery to us. We could experience similar delays in the future from either or both of these suppliers. Any disruption in the supply of pea protein from these suppliers would have a material adverse effect on our business if we cannot replace these suppliers in a timely manner or at all. For more information regarding contract terms, see the section of this prospectus captioned “Business—Supply Agreements.”</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net product sales and have a material adverse effect on our business and financial condition.</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Events that adversely affect our suppliers of pea protein and other raw materials could impair our ability to obtain raw material inventory in the quantities that we desire. Such events include problems with our suppliers’ businesses, finances, labor relations, ability to import raw materials, costs, production, insurance and reputation, as well as natural disasters, fires or other catastrophic occurrences. We continuously seek alternative sources of protein to use in our products, but we may not be successful in diversifying the raw materials we use in our products.</w:t>
      </w:r>
    </w:p>
    <w:p>
      <w:pPr>
        <w:spacing w:after="0" w:line="15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2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pea protein that meets our standards.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and European yellow peas, the vagaries of these farming businesses (including poor harvests impacting the quality of the peas grown), changes in national and world economic conditions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France and Canada.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24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We use a limited number of distributors for the substantial majority of our sales, and if we experience the loss of one or more distributors and cannot replace them in a timely manner, our results of operations may be adversely affected.</w:t>
      </w:r>
    </w:p>
    <w:p>
      <w:pPr>
        <w:spacing w:after="0" w:line="1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Many retailers purchase our products through food distributors which purchase, store, sell, and deliver our products to retailers. In the six months ended June 29, 2019, our largest distributors in terms of their respective percentage of our gross revenues included the following: DOT Foods, Inc. (“DOT”), 22% and United Natural Foods, Inc. (“UNFI”), 21%. In 2018, our largest distributors in terms of their</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82" w:right="279" w:bottom="1440" w:gutter="0" w:footer="0" w:header="0"/>
        </w:sectPr>
      </w:pPr>
    </w:p>
    <w:bookmarkStart w:id="19" w:name="page20"/>
    <w:bookmarkEnd w:id="19"/>
    <w:p>
      <w:pPr>
        <w:spacing w:after="0" w:line="252" w:lineRule="auto"/>
        <w:rPr>
          <w:sz w:val="20"/>
          <w:szCs w:val="20"/>
          <w:color w:val="auto"/>
        </w:rPr>
      </w:pPr>
      <w:r>
        <w:rPr>
          <w:rFonts w:ascii="Arial" w:cs="Arial" w:eastAsia="Arial" w:hAnsi="Arial"/>
          <w:sz w:val="18"/>
          <w:szCs w:val="18"/>
          <w:color w:val="auto"/>
        </w:rPr>
        <w:t>respective percentage of our gross revenues included the following: UNFI, 32%; DOT, 21%; and Sysco Merchandising and Supply Chain Services, Inc., 13%. We expect that most of our sales will be made through a core number of distributors for the foreseeable future. Since these distributors act as intermediaries between us and the retail grocers or restaurants and foodservice providers, we do not have short-term or long-term commitments or minimum purchase volumes in our contracts with them that ensure future sales of our products. If we lose one or more of our significant distributors and cannot replace the distributor in a timely manner or at all, our business, results of operation and financial condition may be materially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52"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The loss of any large customer, the reduction of purchasing levels or the cancellation of any business from a large customer for an extended length of time could negatively impact our sales and profitability.</w:t>
      </w:r>
    </w:p>
    <w:p>
      <w:pPr>
        <w:spacing w:after="0" w:line="142"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w:t>
      </w:r>
    </w:p>
    <w:p>
      <w:pPr>
        <w:spacing w:after="0" w:line="24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We do not currently have any written contracts with our co-manufacturers in the United States. Loss of one or more of our co-manufacturers or our failure to timely identify and establish relationships with new co-manufacturers could harm our business and impede our growth.</w:t>
      </w:r>
    </w:p>
    <w:p>
      <w:pPr>
        <w:spacing w:after="0" w:line="136"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We do not currently have written manufacturing contracts with our co-manufacturers in the United States. Because of the absence of such contracts, any of such co-manufacturers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5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 Therefore, the loss of one or more co-manufacturers, any disruption or delay at a co-manufacturer or any failure to identify and engage co-manufacturers for new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82" w:right="259" w:bottom="1440" w:gutter="0" w:footer="0" w:header="0"/>
        </w:sectPr>
      </w:pPr>
    </w:p>
    <w:bookmarkStart w:id="20" w:name="page21"/>
    <w:bookmarkEnd w:id="20"/>
    <w:p>
      <w:pPr>
        <w:ind w:right="20"/>
        <w:spacing w:after="0" w:line="262" w:lineRule="auto"/>
        <w:rPr>
          <w:sz w:val="20"/>
          <w:szCs w:val="20"/>
          <w:color w:val="auto"/>
        </w:rPr>
      </w:pPr>
      <w:r>
        <w:rPr>
          <w:rFonts w:ascii="Arial" w:cs="Arial" w:eastAsia="Arial" w:hAnsi="Arial"/>
          <w:sz w:val="18"/>
          <w:szCs w:val="18"/>
          <w:color w:val="auto"/>
        </w:rPr>
        <w:t>products and product extensions could delay, postpone or reduce production of our products, which could have a material adverse effect on our business,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our highly competitive market.</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operate in a highly competitive market. Numerous brands and products compete for limited retailer shelf space, foodservice and restaurant customers and consumers. In our market, competition is based on, among other things, product quality and taste, brand recognition and loyalty, product variety, interesting or unique product names, product packaging and package design, shelf space, reputation, price, advertising, promotion and nutritional claims.</w:t>
      </w:r>
    </w:p>
    <w:p>
      <w:pPr>
        <w:spacing w:after="0" w:line="15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compete with conventional animal-protein companies such as Cargill, Hormel, JBS, Tyson and WH Group (including its Smithfield division),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1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also compete with other food brands that develop and sell plant-based protein products, including, but not limited to, Boca Foods, Field Roast Grain Meat Co., Gardein, Impossible Foods, Lightlife, Morningstar Farms and Tofurky, and with companies which may be more innovative, have more resources and be able to bring new products to market faster and to more quickly exploit and serve niche markets such as lab-grown or “clean meat.” We compete with these competitors for foodservice and restaurant customers, retailer shelf space and consumers.</w:t>
      </w:r>
    </w:p>
    <w:p>
      <w:pPr>
        <w:spacing w:after="0" w:line="15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 See “Business—Competition” in this prospectus.</w:t>
      </w:r>
    </w:p>
    <w:p>
      <w:pPr>
        <w:spacing w:after="0" w:line="244"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the Beyond Burger, the build-out and equipping of our Manhattan Beach Project Innovation Center, and manufacturing facility improvements and purchases of manufacturing equipment.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53"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As of June 29, 2019, we had cash and cash equivalents of $277.0 million. Our operating plan may change because of factors currently unknown to us, and we may need to seek additional funds sooner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8"/>
          <w:szCs w:val="18"/>
          <w:color w:val="auto"/>
        </w:rPr>
        <w:t>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71" w:lineRule="exact"/>
        <w:rPr>
          <w:sz w:val="20"/>
          <w:szCs w:val="20"/>
          <w:color w:val="auto"/>
        </w:rPr>
      </w:pPr>
    </w:p>
    <w:p>
      <w:pPr>
        <w:ind w:left="660" w:right="1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42"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42"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1"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For example, although we strive to keep our products free of pathogenic organisms, they may not be easily detected and cross-contamination can occur. In addition,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5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22" w:name="page23"/>
    <w:bookmarkEnd w:id="22"/>
    <w:p>
      <w:pPr>
        <w:ind w:firstLine="324"/>
        <w:spacing w:after="0" w:line="254"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23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3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could result in the discontinuance of sales of these products or our relationships with such suppliers,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5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and comparable state laws.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5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Recently issued FDA regulations will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2" w:right="259" w:bottom="1440" w:gutter="0" w:footer="0" w:header="0"/>
        </w:sectPr>
      </w:pPr>
    </w:p>
    <w:bookmarkStart w:id="23" w:name="page24"/>
    <w:bookmarkEnd w:id="23"/>
    <w:p>
      <w:pPr>
        <w:ind w:right="40"/>
        <w:spacing w:after="0" w:line="287"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12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Beyond Burger accounted for approximately 48% and 70% of our gross revenues in 2017 and 2018, respectively, and approximately 56% of our gross revenues in the six months ended June 29, 2019. The Beyond Burger is our flagship product and has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136"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 significant portion of our operations are located in our two Columbia, Missouri facilities. A natural disaster, fire, power interruption, work stoppage or other calamity at one or both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plans for addressing our rapid growth include expanding operations at our Columbia, Missouri facilities and/or seeking an alternative or additional facility. In this tight labor market, we may be unable to hire and retain skilled employees, which will severely hamper our expansion plans, product development and manufacturing efforts. As of April 2019, the Columbia area had an unemployment rate of 2.0%. As a result of this tight labor market, we currently rely on temporary workers in addition to full-time employees, and in the future, we may be unable to attract and retain employees with the skills we require, which could impact our ability to expand our operations.</w:t>
      </w:r>
    </w:p>
    <w:p>
      <w:pPr>
        <w:spacing w:after="0" w:line="23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may not successfully ramp up operations at our new Columbia, Missouri facility or this facility may not operate in accordance with our expectations.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June 2018, we commenced manufacturing operations in our new Columbia, Missouri facility and expect to add more production capacity through 2021. Any substantial delay in bringing this facility up to full production on our current schedule may hinder our ability to produce all of the product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In addition, we have hired and will need to hire and retain more skilled employees to operate the expanded facility in this tight labor market. Even if our new Columbia, Missouri facility is brought up to full production according to our current schedule, it may not provide us with all of the operational and financial benefits we expect to receive.</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Columbia, Missouri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68" w:right="259" w:bottom="1440" w:gutter="0" w:footer="0" w:header="0"/>
        </w:sectPr>
      </w:pPr>
    </w:p>
    <w:bookmarkStart w:id="24" w:name="page25"/>
    <w:bookmarkEnd w:id="24"/>
    <w:p>
      <w:pPr>
        <w:ind w:right="40"/>
        <w:spacing w:after="0" w:line="254" w:lineRule="auto"/>
        <w:rPr>
          <w:sz w:val="20"/>
          <w:szCs w:val="20"/>
          <w:color w:val="auto"/>
        </w:rPr>
      </w:pPr>
      <w:r>
        <w:rPr>
          <w:rFonts w:ascii="Arial" w:cs="Arial" w:eastAsia="Arial" w:hAnsi="Arial"/>
          <w:sz w:val="18"/>
          <w:szCs w:val="18"/>
          <w:color w:val="auto"/>
        </w:rPr>
        <w:t>regulatory issues, equipment failure or delays in raw material deliveries.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our Columbia, Missouri facilities; however, such insurance coverage may not be sufficient to cover all of our potential losses and may not continue to be available to us on acceptable terms, or at all.</w:t>
      </w:r>
    </w:p>
    <w:p>
      <w:pPr>
        <w:spacing w:after="0" w:line="236"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i w:val="1"/>
          <w:iCs w:val="1"/>
          <w:color w:val="auto"/>
        </w:rPr>
        <w:t>Failure to introduce new products or successfully improve existing products may adversely affect our ability to continue to grow.</w:t>
      </w:r>
    </w:p>
    <w:p>
      <w:pPr>
        <w:spacing w:after="0" w:line="20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and the success of our management and sales and marketing teams in introducing and marketing new products. Our innovation staff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and market new products that appeal to consumers may lead to a decrease in our growth, sales and profitability.</w:t>
      </w:r>
    </w:p>
    <w:p>
      <w:pPr>
        <w:spacing w:after="0" w:line="15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success, and our ability to increase revenue and operate profitably, depends in part on our ability to cost-effectively acquire new customers, to retain existing customers, and to keep existing customers engaged so that they continue to purchase products from us. If we are unable to cost-effectively acquire new customers, retain our existing customers or keep existing customers engaged, our business, financial condition and operating results would be materially adversely affected. Further, if customers do not perceive our product offerings to be of sufficient value and quality, or if we fail to offer new and relevant product offerings, we may not be able to attract or retain customers or engage existing customers so that they continue to purchase products from us. We may lose loyal customers to our competitors if we are unable to meet customers’ orders in a timely manner.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our business could be materially adversely affected.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grown rapidly since inception and anticipate further growth. For example, our net revenues increased from $16.2 million at December 31, 2016 to $32.6 million at December 31, 2017 and to $ 87.9 million at December 31, 2018. Net revenues in the six months ended June 29, 2019 were $107.5 million. Our full-time employee count at June 29, 2019 (including contract employees) has more than doubled since December 31, 2016.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82" w:right="259" w:bottom="1440" w:gutter="0" w:footer="0" w:header="0"/>
        </w:sectPr>
      </w:pPr>
    </w:p>
    <w:bookmarkStart w:id="25" w:name="page26"/>
    <w:bookmarkEnd w:id="25"/>
    <w:p>
      <w:pPr>
        <w:ind w:right="20"/>
        <w:spacing w:after="0" w:line="262" w:lineRule="auto"/>
        <w:rPr>
          <w:sz w:val="20"/>
          <w:szCs w:val="20"/>
          <w:color w:val="auto"/>
        </w:rPr>
      </w:pPr>
      <w:r>
        <w:rPr>
          <w:rFonts w:ascii="Arial" w:cs="Arial" w:eastAsia="Arial" w:hAnsi="Arial"/>
          <w:sz w:val="18"/>
          <w:szCs w:val="18"/>
          <w:color w:val="auto"/>
        </w:rPr>
        <w:t>opportunities, satisfy customer requirements or maintain high-quality product offerings, any of which could harm our business, brand, results of operations and financial condition.</w:t>
      </w:r>
    </w:p>
    <w:p>
      <w:pPr>
        <w:spacing w:after="0" w:line="228"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may lack sufficient financial or other resources to compete successfully.</w:t>
      </w:r>
    </w:p>
    <w:p>
      <w:pPr>
        <w:spacing w:after="0" w:line="13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Our ability to implement this growth strategy depends, among other things, on our ability to:</w:t>
      </w:r>
    </w:p>
    <w:p>
      <w:pPr>
        <w:spacing w:after="0" w:line="148" w:lineRule="exact"/>
        <w:rPr>
          <w:sz w:val="20"/>
          <w:szCs w:val="20"/>
          <w:color w:val="auto"/>
        </w:rPr>
      </w:pPr>
    </w:p>
    <w:p>
      <w:pPr>
        <w:ind w:left="660" w:right="2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and customers into our fulfillment operations;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compete in the retail channel and the restaurant and foodservice channel;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and maintain brand loyalty;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new product lines and extensions.</w:t>
      </w:r>
    </w:p>
    <w:p>
      <w:pPr>
        <w:spacing w:after="0" w:line="17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may not be able to implement our growth strategy successfully. Our sales and operating results will be adversely affected if we fail to implement our growth strategy or if we invest resources in a growth strategy that ultimately proves unsuccessful.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intend to continue to expand our global footprint in order to enter into new markets. This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new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impact the profitability of our business.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purchase large quantities of raw materials, including ingredients derived from Canadian and European yellow peas, mung beans, sunflower seeds, rice,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82" w:right="299" w:bottom="1440" w:gutter="0" w:footer="0" w:header="0"/>
        </w:sectPr>
      </w:pPr>
    </w:p>
    <w:bookmarkStart w:id="26" w:name="page27"/>
    <w:bookmarkEnd w:id="26"/>
    <w:p>
      <w:pPr>
        <w:ind w:right="400"/>
        <w:spacing w:after="0" w:line="262" w:lineRule="auto"/>
        <w:rPr>
          <w:sz w:val="20"/>
          <w:szCs w:val="20"/>
          <w:color w:val="auto"/>
        </w:rPr>
      </w:pPr>
      <w:r>
        <w:rPr>
          <w:rFonts w:ascii="Arial" w:cs="Arial" w:eastAsia="Arial" w:hAnsi="Arial"/>
          <w:sz w:val="18"/>
          <w:szCs w:val="18"/>
          <w:color w:val="auto"/>
        </w:rPr>
        <w:t>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23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may slow over time and may not be indicative of future performance.</w:t>
      </w:r>
    </w:p>
    <w:p>
      <w:pPr>
        <w:spacing w:after="0" w:line="28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Although we have grown rapidly over the last several years, our revenue growth rates may slow over time due to a number of reasons, including increasing competition, market saturation, slowing demand for our offerings, increasing regulatory costs and challenges, and failure to capitalize on growth opportunities.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93"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occasionally result in reduced margins. These programs include rebates, temporary on shelf price reductions, off-invoice discounts, retailer advertisements, product coupons and other trade activities. We anticipate that, at times, these promotional activities may adversely impact our net revenues and results of operations.</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Historically, we have realized a higher portion of our net revenues, net income and operating cash flows in our second and third quarters due to weather and related increase in outdoor activities such as barbecues. Any factors that harm our second and third quarter operating results, including disruptions in our supply chain, adverse weather or unfavorable economic conditions, may have a disproportionate effect on our results of operations for the entire year.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example, on May 25, 2017, following our termination of our supply agreement with Don Lee Farms, a co-manufacturer, Don Lee Farms filed a lawsuit against us in California state court claiming that we wrongfully terminated the parties’ contract and that we misappropriated their trade secrets principally by sharing with subsequent co-manufacturers the processes for manufacturing our products—processes which they claim to have developed. On July 27, 2017 we filed a cross-complaint, alleging that Don Lee Farms (1) breached the supply agreement, including by failing to provide saleable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Don Lee Farms is seeking from us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 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w:t>
      </w:r>
    </w:p>
    <w:p>
      <w:pPr>
        <w:spacing w:after="0" w:line="1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intend to vigorously defend ourselves against the claims and prosecute our own. However,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68" w:right="259" w:bottom="1440" w:gutter="0" w:footer="0" w:header="0"/>
        </w:sectPr>
      </w:pPr>
    </w:p>
    <w:bookmarkStart w:id="28" w:name="page29"/>
    <w:bookmarkEnd w:id="28"/>
    <w:p>
      <w:pPr>
        <w:ind w:right="80"/>
        <w:spacing w:after="0" w:line="256" w:lineRule="auto"/>
        <w:rPr>
          <w:sz w:val="20"/>
          <w:szCs w:val="20"/>
          <w:color w:val="auto"/>
        </w:rPr>
      </w:pPr>
      <w:r>
        <w:rPr>
          <w:rFonts w:ascii="Arial" w:cs="Arial" w:eastAsia="Arial" w:hAnsi="Arial"/>
          <w:sz w:val="18"/>
          <w:szCs w:val="18"/>
          <w:color w:val="auto"/>
        </w:rPr>
        <w:t>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4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government investigations or other regulatory enforcement actions could subject us to civil and criminal penalties.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and employee strikes and inclement weather, which may impact the ability of providers to provide delivery services that adequately meet our shipping needs.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23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2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9" w:name="page30"/>
    <w:bookmarkEnd w:id="29"/>
    <w:p>
      <w:pPr>
        <w:ind w:right="540"/>
        <w:spacing w:after="0" w:line="256" w:lineRule="auto"/>
        <w:rPr>
          <w:sz w:val="20"/>
          <w:szCs w:val="20"/>
          <w:color w:val="auto"/>
        </w:rPr>
      </w:pPr>
      <w:r>
        <w:rPr>
          <w:rFonts w:ascii="Arial" w:cs="Arial" w:eastAsia="Arial" w:hAnsi="Arial"/>
          <w:sz w:val="18"/>
          <w:szCs w:val="18"/>
          <w:color w:val="auto"/>
        </w:rPr>
        <w:t>market size and expected growth of our market were made in good faith and are based on assumptions and estimates we believe to be reasonable, these estimates may not prove to be accurate. Even if the market in which we compete meets the size estimates and growth forecast in this prospectus, our business could fail to grow at the rate we anticipate, if at all.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train and retain employees, we may not be able to grow or successfully operate our business.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are employed by professional employer organizations.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contract with a professional employer organization, or US PEO, that administers our human resources, payroll and employee benefits functions for our employees in the United States. We also contract with non-US PEOs to perform the same functions as the US PEO for employees outside the United States. Although we recruit and select our workers, each of our workers is also an employee of record of the relevant PEO. As a result, our workers are compensated through the relevant PEO, are governed by the work policies created by the relevant PEO and receive their annual wage statements and other payroll or labor related reports from the relevant PEO (e.g., W-2s from the US PEO for employees in the United States, T-4s for employees in Canada). This relationship permits management to focus on operations and profitability rather than payroll administration, but this relationship also exposes us to some risks. Among other risks, if the US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US PEO, if applicable, may not be sufficient to insulate us from those liabilities.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30" w:name="page31"/>
    <w:bookmarkEnd w:id="30"/>
    <w:p>
      <w:pPr>
        <w:ind w:right="400"/>
        <w:spacing w:after="0" w:line="287"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Any such damage or interruption could have a material adverse effect on our business.</w:t>
      </w:r>
    </w:p>
    <w:p>
      <w:pPr>
        <w:spacing w:after="0" w:line="23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A cybersecurity incident or other technology disruptions could negatively impact our business and our relationships with customers.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a strategy to grow through acquisitions and to pursue new initiatives that improve our operations and cost structure, we will also be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Adverse and uncertain economic conditions may impact distributor, retailer, foodservice and consumer demand for our products. In addition, our ability to manage normal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Prolonged unfavorable economic conditions may have an adverse effect on our sales and profitability.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6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 major earthquake, tsunami, tornado or other natural disaster could seriously disrupt our entire business.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corporate offices and research and development functions are located in El Segundo, California, and our industrial manufacturing facilities are located in Columbia, Missouri. The impact of a major earthquake or tsunami, or both, or other natural disasters in the Los Angeles area, or a tornado or other natural disaster in the Columbia area, on our facilities and overall operations is difficult to predict, but such a natural disaster could seriously disrupt our entire business. Our insurance may not adequately cover our losses and expenses in the event of such a natural disaster. As a result, natural disasters, such as a major earthquake, tsunami or tornado in the Los Angeles or Columbia areas or in areas where our co-manufacturers are located, could lead to substantial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Canadian and European yellow peas, mung beans, sunflowers, rice,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7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state regulation, and there is no assurance that we will be in compliance with all regulations.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operations are subject to extensive regulation by the FDA, and other federal, state and local authorities. Specifically,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preventative controls regulations, current good manufacturing practices, or cGMPs, and supplier verification requirements. Our processing facilities, including those of our co-manufacturers, are subject to periodic inspection by federal, state and local authorities. We do not control the manufacturing processes of, and rely upon, our co-manufacturers for compliance with cGMPs for the manufacturing of our products that is conducted by our co-manufacturers. If we or our co-manufacturers cannot successfully manufacture products that conform to our specifications and the strict regulatory requirements of the FDA or others, we or they may be subject to adverse inspectional findings or enforcement actions, which could materially impact our ability to market our products, could result in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foreign regulatory authority determines that we or these co-manufacturers have not complied with the applicable regulatory requirements, our business may be materially impacted.</w:t>
      </w:r>
    </w:p>
    <w:p>
      <w:pPr>
        <w:spacing w:after="0" w:line="15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68" w:right="299" w:bottom="1440" w:gutter="0" w:footer="0" w:header="0"/>
        </w:sectPr>
      </w:pPr>
    </w:p>
    <w:bookmarkStart w:id="32" w:name="page33"/>
    <w:bookmarkEnd w:id="32"/>
    <w:p>
      <w:pPr>
        <w:spacing w:after="0" w:line="262" w:lineRule="auto"/>
        <w:rPr>
          <w:sz w:val="20"/>
          <w:szCs w:val="20"/>
          <w:color w:val="auto"/>
        </w:rPr>
      </w:pPr>
      <w:r>
        <w:rPr>
          <w:rFonts w:ascii="Arial" w:cs="Arial" w:eastAsia="Arial" w:hAnsi="Arial"/>
          <w:sz w:val="18"/>
          <w:szCs w:val="18"/>
          <w:color w:val="auto"/>
        </w:rPr>
        <w:t>or export of products, as well as potential criminal sanctions, which could result in increased operating costs resulting in a material effect on our operating results and business. See “Business—Government Regulation” in this 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will be subject to international regulations that could adversely affect our business and results of operations.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or will be subject to extensive regulations internationally where we manufacture, distribute and/or sell our products. Our products are subject to numerous food safety and other laws and regulations relating to the sourcing, manufacturing,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and have not heard more from regulators in Canada. We have continued to export to Canada without further inquiry from Canadian officials. However,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w:t>
      </w:r>
    </w:p>
    <w:p>
      <w:pPr>
        <w:spacing w:after="0" w:line="15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with our expanding international operations, we could be adversely affected by violations of the U.S. Foreign Corrupt Practices Act, or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 of such violations, could disrupt our business and result in a material adverse effect on our results of operations, cash flows and financial condition.</w:t>
      </w:r>
    </w:p>
    <w:p>
      <w:pPr>
        <w:spacing w:after="0" w:line="24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121"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manufacture and marketing of food products is highly regulated. We, our suppliers and co-manufacturers are subject to a variety of laws and regulations. These laws and regulations apply to many aspects of our business, including the manufacture, packaging, labeling, distribution, advertising, sale, quality and safety of our products, as well as the health and safety of our employees and the protection of the environment.</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United States, we are subject to regulation by various government agencies, including the FDA, Federal Trade Commission, or FTC, Occupational Safety and Health Administration and the Environmental Protection Agency, as well as various state and local agencies. We are also regulated outside the United States by various international regulatory bodies. In addition, we are subject to certain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82" w:right="259" w:bottom="1440" w:gutter="0" w:footer="0" w:header="0"/>
        </w:sectPr>
      </w:pPr>
    </w:p>
    <w:bookmarkStart w:id="33" w:name="page34"/>
    <w:bookmarkEnd w:id="33"/>
    <w:p>
      <w:pPr>
        <w:ind w:right="20" w:firstLine="324"/>
        <w:spacing w:after="0" w:line="252" w:lineRule="auto"/>
        <w:rPr>
          <w:sz w:val="20"/>
          <w:szCs w:val="20"/>
          <w:color w:val="auto"/>
        </w:rPr>
      </w:pPr>
      <w:r>
        <w:rPr>
          <w:rFonts w:ascii="Arial" w:cs="Arial" w:eastAsia="Arial" w:hAnsi="Arial"/>
          <w:sz w:val="18"/>
          <w:szCs w:val="18"/>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results of operations and financial condition. In particular, recent federal, state and foreign attention to the naming of plant-based meat products could result in standards or requirements that mandate changes to our current labeling.</w:t>
      </w:r>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13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Canadian Food Inspection Agency, or the CFIA, could take action to impact our ability to use the term “meat” or similar words (such as “beef”) to describe our products. For example, in 2018, the state of Missouri passed a law prohibiting any person engaged in advertising, offering for sale, or sale of food products from misrepresenting a product as meat that is not derived from harvested production livestock or poultry. While the state of Missouri Department of Agriculture clarified its interpretation that products which include prominent disclosure that the product is “made from plants,” or comparable disclosure such as through the use of the phrase “plant-based,” are not misrepresented under the Missouri law, additional states have recently passed similar laws, and other regulators could always take a different position. Canadian Food and Drug Regulations also provide requirements for “simulated meat” products, including requirements around composition and naming.</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a food may be deemed misbranded if its labeling is false or misleading in any particular way, and the FDA , CFIA or other regulators could interpret the use of the term “meat” or any similar phrase(s) to describe our plant-based protein products as false or misleading or likely to create an erroneous impression regarding their composition. Recently, the FDA announced that it will reexamine its enforcement of the standard of identity for milk, the official definition of which involves “lacteal secretion,” which may result in the restriction of the use of the term “milk” to only those products that are animal-based (we note there is no comparable FDA standard of identity for “meat” or other terms that we use to label our products). The USDA has also received a petition from industry requesting that the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However,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and our business, prospects, results of operations or financial condition could be adversely affected.</w:t>
      </w:r>
    </w:p>
    <w:p>
      <w:pPr>
        <w:spacing w:after="0" w:line="243"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3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4" w:name="page35"/>
    <w:bookmarkEnd w:id="34"/>
    <w:p>
      <w:pPr>
        <w:ind w:right="20"/>
        <w:spacing w:after="0" w:line="251" w:lineRule="auto"/>
        <w:rPr>
          <w:sz w:val="20"/>
          <w:szCs w:val="20"/>
          <w:color w:val="auto"/>
        </w:rPr>
      </w:pPr>
      <w:r>
        <w:rPr>
          <w:rFonts w:ascii="Arial" w:cs="Arial" w:eastAsia="Arial" w:hAnsi="Arial"/>
          <w:sz w:val="18"/>
          <w:szCs w:val="18"/>
          <w:color w:val="auto"/>
        </w:rPr>
        <w:t>specifications.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and while we require them to process our products in separate designated quarters in their facilities, cross-contamination may occur and result in genetically modified organisms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trademarks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July 15, 2019, we had one issued U.S. patent and 18 pending patent applications, including five in the United States and 13 international patent applications.</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5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Moreover, in the United States, the Leahy-Smith America Invents Act, or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82" w:right="259" w:bottom="1440" w:gutter="0" w:footer="0" w:header="0"/>
        </w:sectPr>
      </w:pPr>
    </w:p>
    <w:bookmarkStart w:id="35" w:name="page36"/>
    <w:bookmarkEnd w:id="35"/>
    <w:p>
      <w:pPr>
        <w:jc w:val="both"/>
        <w:ind w:right="320"/>
        <w:spacing w:after="0" w:line="256" w:lineRule="auto"/>
        <w:rPr>
          <w:sz w:val="20"/>
          <w:szCs w:val="20"/>
          <w:color w:val="auto"/>
        </w:rPr>
      </w:pPr>
      <w:r>
        <w:rPr>
          <w:rFonts w:ascii="Arial" w:cs="Arial" w:eastAsia="Arial" w:hAnsi="Arial"/>
          <w:sz w:val="18"/>
          <w:szCs w:val="18"/>
          <w:color w:val="auto"/>
        </w:rPr>
        <w:t>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the Beyond Burger, Beyond Beef, Beyond Chicken, Beyond Meat, Beyond Sausage, Beyond Breakfast Sausage,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5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82" w:right="259" w:bottom="1440" w:gutter="0" w:footer="0" w:header="0"/>
        </w:sectPr>
      </w:pPr>
    </w:p>
    <w:bookmarkStart w:id="36" w:name="page37"/>
    <w:bookmarkEnd w:id="36"/>
    <w:p>
      <w:pPr>
        <w:ind w:right="40"/>
        <w:spacing w:after="0" w:line="254" w:lineRule="auto"/>
        <w:rPr>
          <w:sz w:val="20"/>
          <w:szCs w:val="20"/>
          <w:color w:val="auto"/>
        </w:rPr>
      </w:pPr>
      <w:r>
        <w:rPr>
          <w:rFonts w:ascii="Arial" w:cs="Arial" w:eastAsia="Arial" w:hAnsi="Arial"/>
          <w:sz w:val="18"/>
          <w:szCs w:val="18"/>
          <w:color w:val="auto"/>
        </w:rPr>
        <w:t>rapid growth of our operations and the IPO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50"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If we cease to be an “emerging growth company” as defined in the JOBS Act, commencing with our second annual report on Form 10-K that we will file after becoming a public reporting company, we must perform system and process evaluation and testing of our internal control over financial reporting to allow management to report on the effectiveness of our internal control over financial reporting in our Form 10</w:t>
      </w:r>
      <w:r>
        <w:rPr>
          <w:rFonts w:ascii="MS PGothic" w:cs="MS PGothic" w:eastAsia="MS PGothic" w:hAnsi="MS PGothic"/>
          <w:sz w:val="18"/>
          <w:szCs w:val="18"/>
          <w:color w:val="auto"/>
        </w:rPr>
        <w:t>‑</w:t>
      </w:r>
      <w:r>
        <w:rPr>
          <w:rFonts w:ascii="Arial" w:cs="Arial" w:eastAsia="Arial" w:hAnsi="Arial"/>
          <w:sz w:val="18"/>
          <w:szCs w:val="18"/>
          <w:color w:val="auto"/>
        </w:rPr>
        <w:t>K filing for that year, as required by Section 404 of the Sarbanes Oxley Act. The rules governing the standards that must be met for management to assess our internal control over financial reporting are complex and require significant documentation, testing and possible remediation.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w:t>
      </w:r>
    </w:p>
    <w:p>
      <w:pPr>
        <w:spacing w:after="0" w:line="16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3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82" w:right="259" w:bottom="1440" w:gutter="0" w:footer="0" w:header="0"/>
        </w:sectPr>
      </w:pPr>
    </w:p>
    <w:bookmarkStart w:id="37" w:name="page38"/>
    <w:bookmarkEnd w:id="37"/>
    <w:p>
      <w:pPr>
        <w:ind w:right="80"/>
        <w:spacing w:after="0" w:line="262" w:lineRule="auto"/>
        <w:rPr>
          <w:sz w:val="20"/>
          <w:szCs w:val="20"/>
          <w:color w:val="auto"/>
        </w:rPr>
      </w:pPr>
      <w:r>
        <w:rPr>
          <w:rFonts w:ascii="Arial" w:cs="Arial" w:eastAsia="Arial" w:hAnsi="Arial"/>
          <w:sz w:val="18"/>
          <w:szCs w:val="18"/>
          <w:color w:val="auto"/>
        </w:rPr>
        <w:t>result, our financial statements may not be comparable to companies that comply with new or revised accounting pronouncements as of public company effective dates.</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also intend to take advantage of certain other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23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under the Dodd-Frank Wall Street Reform and Consumer Protection Act, or the Dodd-Frank Act, the SEC adopted rules and regulations related to corporate governance and executive compensation, such as “say on pay” and proxy access. Emerging growth companies are permitted to implement many of these requirements over a longer period and up to five years following the completion of its initial public offering. We intend to take advantage of this legislation for as long as we are permitted to do so. Once we become required to implement these requirements, we will incur additional compliance-related expenses. Additionally,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8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market price of our common stock following our IPO has been and is likely to continue to be highly volatile and could be subject to wide fluctuations in response to many factors discussed in this “Risk Factors” section, including:</w:t>
      </w:r>
    </w:p>
    <w:p>
      <w:pPr>
        <w:spacing w:after="0" w:line="142" w:lineRule="exact"/>
        <w:rPr>
          <w:sz w:val="20"/>
          <w:szCs w:val="20"/>
          <w:color w:val="auto"/>
        </w:rPr>
      </w:pPr>
    </w:p>
    <w:p>
      <w:pPr>
        <w:ind w:left="660" w:right="3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stockholders;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68" w:right="419" w:bottom="1440" w:gutter="0" w:footer="0" w:header="0"/>
        </w:sectPr>
      </w:pPr>
    </w:p>
    <w:bookmarkStart w:id="39" w:name="page40"/>
    <w:bookmarkEnd w:id="39"/>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market and political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and adversely affect our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You may not be able to sell your shares quickly or at a recently reported market price if trading in our common stock does not remain active.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Subject to the restrictions set forth in the 180-day lock-up agreements entered into by each of our directors and officers and substantially all of our stockholders in connection with our IPO, as described elsewhere in this prospectus under the heading “Underwriting” (which restrictions may be waived, with or without notice, by Goldman Sachs &amp; Co. LLC and J.P. Morgan Securities LLC), outstanding shares of our common stock may be freely sold in the public market at any time to the extent permitted by Rules 144 and 701 under the Securities Act, or to the extent that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the Company in this offering and may not use the net proceeds effectively.</w:t>
      </w:r>
    </w:p>
    <w:p>
      <w:pPr>
        <w:spacing w:after="0" w:line="121"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received by us in this offering. We cannot specify with certainty the uses to which we will apply these net proceeds. The failure by our management to apply these funds effectively could adversely affect our ability to continue maintaining and expanding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8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incur immediate and substantial dilution.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offering price of our common stock is substantially higher than the net tangible book value per share of our common stock, which on an adjusted basis was $6.09 per share of our common stock as of June 29, 2019. As a result, you will incur immediate and substantial dilution in net tangible book value when you buy our common stock in this offering. This means that you will pay a higher price per share than the amount of our total tangible assets, less our total liabilities, divided by the number of shares of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3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do not publish research or publish unfavorable research about our business, our stock price and trading volume could decline.</w:t>
      </w:r>
    </w:p>
    <w:p>
      <w:pPr>
        <w:spacing w:after="0" w:line="1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our stock price or trading volume to decline.</w:t>
      </w:r>
    </w:p>
    <w:p>
      <w:pPr>
        <w:spacing w:after="0" w:line="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234"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9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2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68"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and removal of directors without the required approval of at least 66.67% of the shares entitled to vote at an election of directors;</w:t>
      </w:r>
    </w:p>
    <w:p>
      <w:pPr>
        <w:spacing w:after="0" w:line="18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5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directors and executive officers and their affiliates and our stockholders holding more than 10% of our shares beneficially own, in the aggregate, approximately 29% of our outstanding capital stock as of July 10, 2019. As a result, these stockholders may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09" w:right="279" w:bottom="1440" w:gutter="0" w:footer="0" w:header="0"/>
        </w:sectPr>
      </w:pPr>
    </w:p>
    <w:bookmarkStart w:id="42" w:name="page43"/>
    <w:bookmarkEnd w:id="42"/>
    <w:p>
      <w:pPr>
        <w:ind w:firstLine="324"/>
        <w:spacing w:after="0" w:line="251"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determined in December 2018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2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of 1986, as amended, or the Code.</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net operating losses and other tax attributes to offset taxable income. In addition,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8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This prospectus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w:t>
      </w:r>
    </w:p>
    <w:p>
      <w:pPr>
        <w:spacing w:after="0" w:line="171" w:lineRule="exact"/>
        <w:rPr>
          <w:rFonts w:ascii="Arial" w:cs="Arial" w:eastAsia="Arial" w:hAnsi="Arial"/>
          <w:sz w:val="18"/>
          <w:szCs w:val="18"/>
          <w:color w:val="auto"/>
        </w:rPr>
      </w:pPr>
    </w:p>
    <w:p>
      <w:pPr>
        <w:ind w:left="660" w:right="98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enter new markets, manage our international expansion and comply with any applicable laws and regulations;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effectively expand our relationships with key strategic restaurant and foodservice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procure sufficient high quality, raw materials to manufacture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pea protein that meets our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tastes and preferences of our consumers;</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FDA governmental regulation and state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regulations or policies of governmental agencies or regulators relating to the labeling of our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68" w:right="239" w:bottom="1440" w:gutter="0" w:footer="0" w:header="0"/>
        </w:sectPr>
      </w:pPr>
    </w:p>
    <w:bookmarkStart w:id="44" w:name="page45"/>
    <w:bookmarkEnd w:id="44"/>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suppliers and co-manufacturers to comply with food safety, environmental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outcomes of legal or administrative proceedings;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and intellectual property adequately.</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in this prospectus, the words “believe,” “may,” “will,” “will continue,” “could,” “will likely result,” “estimate,” “continue,” “anticipate,” “intend,” “plan,” “predict,” “project,” “expect,”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82"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net proceeds to us from our sale of 250,000 shares in this offering will be approximately $36.8 million, based on the public offering price of $160.00 per share, and after deducting estimated underwriting discounts and commissions and estimated offering expenses payable by us. The principal purpose of this offering is to facilitate an orderly distribution of shares for the selling stockholders in the offering. In addition, we intend to use the net proceeds received by us (i) to continue to increase our production and supply capabilities, (ii) to pay for marketing and promotional activities, and (iii) for general working capital purposes.</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will not receive any proceeds from the sale of our common stock by the selling stockholders in this offering. We will, however, bear the costs, other than underwriting discounts and commissions, associated with the sale of these shares. The selling stockholders may include certain entities affiliated with or controlled by members of our board of directors.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68" w:right="259" w:bottom="1440" w:gutter="0" w:footer="0" w:header="0"/>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 In addition, the terms of our current credit facilities contain restrictions on our ability to declare and pay cash dividends.</w:t>
      </w:r>
    </w:p>
    <w:p>
      <w:pPr>
        <w:spacing w:after="0" w:line="3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240" w:top="468" w:right="559" w:bottom="1440" w:gutter="0" w:footer="0" w:header="0"/>
        </w:sectPr>
      </w:pPr>
    </w:p>
    <w:bookmarkStart w:id="47" w:name="page48"/>
    <w:bookmarkEnd w:id="47"/>
    <w:p>
      <w:pPr>
        <w:ind w:left="4980"/>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June 29, 2019 on:</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71" w:lineRule="exact"/>
        <w:rPr>
          <w:rFonts w:ascii="Arial" w:cs="Arial" w:eastAsia="Arial" w:hAnsi="Arial"/>
          <w:sz w:val="18"/>
          <w:szCs w:val="18"/>
          <w:color w:val="auto"/>
        </w:rPr>
      </w:pPr>
    </w:p>
    <w:p>
      <w:pPr>
        <w:ind w:left="660" w:right="32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 adjusted basis, giving effect to the sale and issuance of shares of our common stock by us in this offering (including 75,443 shares to be sold in the offering upon exercise of vested options but excluding proceeds from the exercise of these options) at the public offering price of $</w:t>
      </w:r>
      <w:r>
        <w:rPr>
          <w:rFonts w:ascii="Arial" w:cs="Arial" w:eastAsia="Arial" w:hAnsi="Arial"/>
          <w:sz w:val="16"/>
          <w:szCs w:val="16"/>
          <w:color w:val="auto"/>
        </w:rPr>
        <w:t>160.00</w:t>
      </w:r>
      <w:r>
        <w:rPr>
          <w:rFonts w:ascii="Arial" w:cs="Arial" w:eastAsia="Arial" w:hAnsi="Arial"/>
          <w:sz w:val="18"/>
          <w:szCs w:val="18"/>
          <w:color w:val="auto"/>
        </w:rPr>
        <w:t xml:space="preserve"> per share, after deducting estimated underwriting discounts and commissions and estimated offering expenses payable by us.</w:t>
      </w:r>
    </w:p>
    <w:p>
      <w:pPr>
        <w:spacing w:after="0" w:line="15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appearing at the end of this prospectus, the information set forth under the headings "Use of Proceeds," "Selected Financial Data" and "Management's Discussion and Analysis of Financial Condition and Results of Operations" and the other financial information contained in this prospectus.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6"/>
                <w:szCs w:val="16"/>
                <w:b w:val="1"/>
                <w:bCs w:val="1"/>
                <w:color w:val="auto"/>
              </w:rPr>
              <w:t>As of June 29, 2019</w:t>
            </w:r>
          </w:p>
        </w:tc>
      </w:tr>
      <w:tr>
        <w:trPr>
          <w:trHeight w:val="216"/>
        </w:trPr>
        <w:tc>
          <w:tcPr>
            <w:tcW w:w="78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38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Actual</w:t>
            </w:r>
          </w:p>
        </w:tc>
        <w:tc>
          <w:tcPr>
            <w:tcW w:w="260" w:type="dxa"/>
            <w:vAlign w:val="bottom"/>
          </w:tcPr>
          <w:p>
            <w:pPr>
              <w:spacing w:after="0"/>
              <w:rPr>
                <w:sz w:val="18"/>
                <w:szCs w:val="18"/>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As Adjusted</w:t>
            </w:r>
          </w:p>
        </w:tc>
      </w:tr>
      <w:tr>
        <w:trPr>
          <w:trHeight w:val="34"/>
        </w:trPr>
        <w:tc>
          <w:tcPr>
            <w:tcW w:w="40" w:type="dxa"/>
            <w:vAlign w:val="bottom"/>
            <w:tcBorders>
              <w:bottom w:val="single" w:sz="8" w:color="CCEEFF"/>
            </w:tcBorders>
          </w:tcPr>
          <w:p>
            <w:pPr>
              <w:spacing w:after="0"/>
              <w:rPr>
                <w:sz w:val="2"/>
                <w:szCs w:val="2"/>
                <w:color w:val="auto"/>
              </w:rPr>
            </w:pPr>
          </w:p>
        </w:tc>
        <w:tc>
          <w:tcPr>
            <w:tcW w:w="368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276,987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313,759</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b w:val="1"/>
                <w:bCs w:val="1"/>
                <w:color w:val="auto"/>
              </w:rPr>
              <w:t>Debt:</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Revolving credit facility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r>
      <w:tr>
        <w:trPr>
          <w:trHeight w:val="263"/>
        </w:trPr>
        <w:tc>
          <w:tcPr>
            <w:tcW w:w="40" w:type="dxa"/>
            <w:vAlign w:val="bottom"/>
          </w:tcPr>
          <w:p>
            <w:pPr>
              <w:spacing w:after="0"/>
              <w:rPr>
                <w:sz w:val="22"/>
                <w:szCs w:val="22"/>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Term loan facility</w:t>
            </w:r>
          </w:p>
        </w:tc>
        <w:tc>
          <w:tcPr>
            <w:tcW w:w="3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19,543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19,543</w:t>
            </w: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Equipment financing loan</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4,924</w:t>
            </w:r>
          </w:p>
        </w:tc>
      </w:tr>
      <w:tr>
        <w:trPr>
          <w:trHeight w:val="250"/>
        </w:trPr>
        <w:tc>
          <w:tcPr>
            <w:tcW w:w="40" w:type="dxa"/>
            <w:vAlign w:val="bottom"/>
          </w:tcPr>
          <w:p>
            <w:pPr>
              <w:spacing w:after="0"/>
              <w:rPr>
                <w:sz w:val="21"/>
                <w:szCs w:val="21"/>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30,467</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Preferred stock par value $0.0001 per share (500,000 shares authorized, no shares issued</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840" w:type="dxa"/>
            <w:vAlign w:val="bottom"/>
            <w:gridSpan w:val="2"/>
          </w:tcPr>
          <w:p>
            <w:pPr>
              <w:ind w:left="480"/>
              <w:spacing w:after="0"/>
              <w:rPr>
                <w:sz w:val="20"/>
                <w:szCs w:val="20"/>
                <w:color w:val="auto"/>
              </w:rPr>
            </w:pPr>
            <w:r>
              <w:rPr>
                <w:rFonts w:ascii="Arial" w:cs="Arial" w:eastAsia="Arial" w:hAnsi="Arial"/>
                <w:sz w:val="18"/>
                <w:szCs w:val="18"/>
                <w:color w:val="auto"/>
              </w:rPr>
              <w:t>and outstanding, actual and as adjusted)</w:t>
            </w:r>
          </w:p>
        </w:tc>
        <w:tc>
          <w:tcPr>
            <w:tcW w:w="3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0" w:type="dxa"/>
            <w:vAlign w:val="bottom"/>
            <w:shd w:val="clear" w:color="auto" w:fill="CCEEFF"/>
          </w:tcPr>
          <w:p>
            <w:pPr>
              <w:spacing w:after="0"/>
              <w:rPr>
                <w:sz w:val="20"/>
                <w:szCs w:val="20"/>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par value $0.0001 per share (500,000,000 shares authorized,</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03"/>
        </w:trPr>
        <w:tc>
          <w:tcPr>
            <w:tcW w:w="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60,167,521 shares issued and outstanding, actual; 60,492,964 shares issued and</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outstanding, as adjusted)</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63"/>
        </w:trPr>
        <w:tc>
          <w:tcPr>
            <w:tcW w:w="40" w:type="dxa"/>
            <w:vAlign w:val="bottom"/>
          </w:tcPr>
          <w:p>
            <w:pPr>
              <w:spacing w:after="0"/>
              <w:rPr>
                <w:sz w:val="22"/>
                <w:szCs w:val="22"/>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477,541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514,313</w:t>
            </w: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(145,762)</w:t>
            </w:r>
          </w:p>
        </w:tc>
      </w:tr>
      <w:tr>
        <w:trPr>
          <w:trHeight w:val="250"/>
        </w:trPr>
        <w:tc>
          <w:tcPr>
            <w:tcW w:w="4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331,785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368,557</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362,252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399,024</w:t>
            </w: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The total number of shares of our common stock reflected in the table above is based on 60,167,521 shares of common stock (including 140,560 unvested shares of restricted common stock subject to our repurchase right) outstanding as of June 29, 2019, plus 75,443 shares to be sold upon exercise of options in connection with this offering, and excludes:</w:t>
      </w:r>
    </w:p>
    <w:p>
      <w:pPr>
        <w:spacing w:after="0" w:line="148" w:lineRule="exact"/>
        <w:rPr>
          <w:sz w:val="20"/>
          <w:szCs w:val="20"/>
          <w:color w:val="auto"/>
        </w:rPr>
      </w:pPr>
    </w:p>
    <w:p>
      <w:pPr>
        <w:ind w:left="660" w:right="28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6,169,660 shares of common stock issuable upon exercise of stock options outstanding as of June 29, 2019, having a weighted-average exercise price of $11.12 per share (which excludes 75,443 shares of our common stock to be sold in this offering by certain selling stockholders upon the exercise of vested options prior to the closing of this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68" w:right="239" w:bottom="1440" w:gutter="0" w:footer="0" w:header="0"/>
        </w:sectPr>
      </w:pPr>
    </w:p>
    <w:bookmarkStart w:id="48" w:name="page49"/>
    <w:bookmarkEnd w:id="48"/>
    <w:p>
      <w:pPr>
        <w:ind w:left="8"/>
        <w:spacing w:after="0"/>
        <w:tabs>
          <w:tab w:leader="none" w:pos="307" w:val="left"/>
          <w:tab w:leader="none" w:pos="7827" w:val="left"/>
        </w:tabs>
        <w:rPr>
          <w:sz w:val="20"/>
          <w:szCs w:val="20"/>
          <w:color w:val="auto"/>
        </w:rPr>
      </w:pPr>
      <w:r>
        <w:rPr>
          <w:rFonts w:ascii="Arial" w:cs="Arial" w:eastAsia="Arial" w:hAnsi="Arial"/>
          <w:sz w:val="18"/>
          <w:szCs w:val="18"/>
          <w:color w:val="auto"/>
        </w:rPr>
        <w:t>•</w:t>
        <w:tab/>
        <w:t>70,360 shares of common stock issuable upon the vesting of RSUs outstanding as of</w:t>
      </w:r>
      <w:r>
        <w:rPr>
          <w:sz w:val="20"/>
          <w:szCs w:val="20"/>
          <w:color w:val="auto"/>
        </w:rPr>
        <w:tab/>
      </w:r>
      <w:r>
        <w:rPr>
          <w:rFonts w:ascii="Arial" w:cs="Arial" w:eastAsia="Arial" w:hAnsi="Arial"/>
          <w:sz w:val="18"/>
          <w:szCs w:val="18"/>
          <w:color w:val="auto"/>
        </w:rPr>
        <w:t>June 29, 2019;</w:t>
      </w:r>
    </w:p>
    <w:p>
      <w:pPr>
        <w:spacing w:after="0" w:line="171" w:lineRule="exact"/>
        <w:rPr>
          <w:sz w:val="20"/>
          <w:szCs w:val="20"/>
          <w:color w:val="auto"/>
        </w:rPr>
      </w:pPr>
    </w:p>
    <w:p>
      <w:pPr>
        <w:ind w:left="328" w:hanging="328"/>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our 2018 Plan as of June 29, 2019, plus shares that will automatically be added to the share reserve each year, as more fully described in “Executive Compensation—Employee Benefit Plans”; and</w:t>
      </w:r>
    </w:p>
    <w:p>
      <w:pPr>
        <w:spacing w:after="0" w:line="147" w:lineRule="exact"/>
        <w:rPr>
          <w:rFonts w:ascii="Arial" w:cs="Arial" w:eastAsia="Arial" w:hAnsi="Arial"/>
          <w:sz w:val="18"/>
          <w:szCs w:val="18"/>
          <w:color w:val="auto"/>
        </w:rPr>
      </w:pPr>
    </w:p>
    <w:p>
      <w:pPr>
        <w:ind w:left="328" w:right="680" w:hanging="328"/>
        <w:spacing w:after="0" w:line="256"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the 2018 Employee Stock Purchase Plan, plus shares that will automatically be added to the share reserve each year, as more fully described in “Executive Compensation—Employee Stock Purchase Plan.”</w:t>
      </w:r>
    </w:p>
    <w:p>
      <w:pPr>
        <w:spacing w:after="0" w:line="39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8"/>
          </w:cols>
          <w:pgMar w:left="572" w:top="382"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as adjusted net tangible book value per share of our common stock after this offering. Our historical net tangible book value (deficit) as of June 29, 2019 was $331.8 million, or $5.51 per share of common stock. Our net tangible book value per share represents total tangible assets less total liabilities, divided by the number of shares of common stock outstanding as of June 29, 2019.</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After giving effect to (i) our sale of 250,000 shares of our common stock in this offering at the public offering price of $160.00 per share, and after deducting estimated underwriting discounts and commissions and estimated offering expenses payable by us, and (ii) the issuance of 75,443 shares of our common stock upon the exercise of options in connection with this offering, our as adjusted net tangible book value as of June 29, 2019 would have been approximately $368.5 million, or approximately $6.09 per share (excluding proceeds from the exercise of options in connection with this offering). This represents an immediate increase in net tangible book value of $0.58 per share to our existing stockholders and an immediate dilution of $153.91 per share to new investors purchasing shares of common stock in this offering. The following table illustrates this dilution on a per share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offering price per share</w:t>
            </w:r>
          </w:p>
        </w:tc>
        <w:tc>
          <w:tcPr>
            <w:tcW w:w="64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June 29, 2019</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5"/>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6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r>
      <w:tr>
        <w:trPr>
          <w:trHeight w:val="25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following table summarizes, on an as adjusted basis described above, as of June 29, 2019, the differences between the number of shares purchased from us, the total consideration paid to us in cash and the average price per share that existing stockholders and new investors paid. The calculation below is based on the public offering price of $160.00 per share, before deducting the estimated underwriting discounts and commissions and estimated offering expenses payable by us.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3560" w:type="dxa"/>
            <w:vAlign w:val="bottom"/>
            <w:gridSpan w:val="4"/>
          </w:tcPr>
          <w:p>
            <w:pPr>
              <w:ind w:left="1040"/>
              <w:spacing w:after="0"/>
              <w:rPr>
                <w:sz w:val="20"/>
                <w:szCs w:val="20"/>
                <w:color w:val="auto"/>
              </w:rPr>
            </w:pPr>
            <w:r>
              <w:rPr>
                <w:rFonts w:ascii="Arial" w:cs="Arial" w:eastAsia="Arial" w:hAnsi="Arial"/>
                <w:sz w:val="16"/>
                <w:szCs w:val="16"/>
                <w:b w:val="1"/>
                <w:bCs w:val="1"/>
                <w:color w:val="auto"/>
              </w:rPr>
              <w:t>Shares purchased</w:t>
            </w:r>
          </w:p>
        </w:tc>
        <w:tc>
          <w:tcPr>
            <w:tcW w:w="340" w:type="dxa"/>
            <w:vAlign w:val="bottom"/>
          </w:tcPr>
          <w:p>
            <w:pPr>
              <w:spacing w:after="0"/>
              <w:rPr>
                <w:sz w:val="19"/>
                <w:szCs w:val="19"/>
                <w:color w:val="auto"/>
              </w:rPr>
            </w:pPr>
          </w:p>
        </w:tc>
        <w:tc>
          <w:tcPr>
            <w:tcW w:w="312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9"/>
                <w:szCs w:val="19"/>
                <w:color w:val="auto"/>
              </w:rPr>
            </w:pPr>
          </w:p>
        </w:tc>
        <w:tc>
          <w:tcPr>
            <w:tcW w:w="160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36"/>
        </w:trPr>
        <w:tc>
          <w:tcPr>
            <w:tcW w:w="268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6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 per share</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Existing stockholders</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60,167,521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482,952,380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investors</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40,000,000</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60,417,521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522,952,380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00" w:firstLine="324"/>
        <w:spacing w:after="0" w:line="262" w:lineRule="auto"/>
        <w:rPr>
          <w:sz w:val="20"/>
          <w:szCs w:val="20"/>
          <w:color w:val="auto"/>
        </w:rPr>
      </w:pPr>
      <w:r>
        <w:rPr>
          <w:rFonts w:ascii="Arial" w:cs="Arial" w:eastAsia="Arial" w:hAnsi="Arial"/>
          <w:sz w:val="18"/>
          <w:szCs w:val="18"/>
          <w:color w:val="auto"/>
        </w:rPr>
        <w:t>The total number of shares of our common stock reflected in the discussion and table above excludes 75,443 shares of our common stock to be sold in this offering by certain selling stockholders upon the exercise of vested options and:</w:t>
      </w:r>
    </w:p>
    <w:p>
      <w:pPr>
        <w:spacing w:after="0" w:line="142" w:lineRule="exact"/>
        <w:rPr>
          <w:sz w:val="20"/>
          <w:szCs w:val="20"/>
          <w:color w:val="auto"/>
        </w:rPr>
      </w:pPr>
    </w:p>
    <w:p>
      <w:pPr>
        <w:ind w:left="660" w:right="28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6,169,660 shares of common stock issuable upon exercise of stock options outstanding as of June 29, 2019, having a weighted-average exercise price of $11.12 per share (which excludes 75,443 shares of our common stock to be sold in this offering by certain selling stockholders upon the exercise of vested options prior to the closing of this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68" w:right="239" w:bottom="1440" w:gutter="0" w:footer="0" w:header="0"/>
        </w:sectPr>
      </w:pPr>
    </w:p>
    <w:bookmarkStart w:id="50" w:name="page51"/>
    <w:bookmarkEnd w:id="50"/>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70,360 shares of common stock issuable upon the vesting of RSUs outstanding as of June 29, 2019;</w:t>
      </w:r>
    </w:p>
    <w:p>
      <w:pPr>
        <w:spacing w:after="0" w:line="17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the 2018 Plan as of June 29, 2019, plus shares that will automatically be added to the share reserve each year, as more fully described in “Executive Compensation—Employee Benefit Plans”; and</w:t>
      </w:r>
    </w:p>
    <w:p>
      <w:pPr>
        <w:spacing w:after="0" w:line="147" w:lineRule="exact"/>
        <w:rPr>
          <w:rFonts w:ascii="Arial" w:cs="Arial" w:eastAsia="Arial" w:hAnsi="Arial"/>
          <w:sz w:val="18"/>
          <w:szCs w:val="18"/>
          <w:color w:val="auto"/>
        </w:rPr>
      </w:pPr>
    </w:p>
    <w:p>
      <w:pPr>
        <w:ind w:left="660" w:right="6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our 2018 Employee Stock Purchase Plan, plus shares that will automatically be added to the share reserve each year, as more fully described in “Executive Compensation—Employee Stock Purchase Plan.”</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the extent that any outstanding options described above are exercised, new options are issued under our stock-based compensation plans, any of the outstanding RSUs described above are settled, or we issue additional shares of common stock or other equity or convertible debt securities in the future, there will be further dilution to investors participating in this offering. If all of the 6,245,103 shares of common stock issuable upon exercise of stock options outstanding as June 29, 2019 had been exercised as of June 29, 2019, the as adjusted net tangible book value per share after this offering would be $6.56, and dilution in net tangible book value per share to new investors would be $153.44.</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82"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following tables set forth summary financial data for the periods and at the dates indicated. The statements of operations data for the years ended December 31, 2016, 2017 and 2018 and the balance sheet data as of December 31, 2017 and 2018 have been derived from our audited financial statements included elsewhere in this prospectus. The statements of operations data for the six months ended June 30, 2018 and June 29, 2019 and the balance sheet data as of June 29, 2019 are derived from our unaudited interim condensed financial statements included elsewhere in this prospectus. In our opinion, the unaudited interim condensed financial data has been prepared on a basis consistent with our audited financial statements and contains all adjustments, consisting only of normal and recurring adjustments, necessary for a fair presentation of such financial data.</w:t>
      </w:r>
    </w:p>
    <w:p>
      <w:pPr>
        <w:spacing w:after="0" w:line="15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historical results are not necessarily indicative of the results to be expected for any future periods and our operating results for the six-month period ended June 29, 2019 are not necessarily indicative of the results that may be expected for the fiscal year ending December 31, 2019 or any other interim periods or any future year or period. You should read the following financial information together with the information under “Capitalization,” “Management’s Discussion and Analysis of Financial Condition and Results of Operations,” “Selected Financial Data” and our financial statements and related notes included elsewhere in this prospectus.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June 29, 2019</w:t>
            </w:r>
          </w:p>
        </w:tc>
        <w:tc>
          <w:tcPr>
            <w:tcW w:w="0" w:type="dxa"/>
            <w:vAlign w:val="bottom"/>
          </w:tcPr>
          <w:p>
            <w:pPr>
              <w:spacing w:after="0"/>
              <w:rPr>
                <w:sz w:val="1"/>
                <w:szCs w:val="1"/>
                <w:color w:val="auto"/>
              </w:rPr>
            </w:pPr>
          </w:p>
        </w:tc>
      </w:tr>
      <w:tr>
        <w:trPr>
          <w:trHeight w:val="216"/>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87,934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107,457</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73,945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33,512</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45,563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17,524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36,643</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5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Remeasurement of warrant liability</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tcPr>
          <w:p>
            <w:pPr>
              <w:ind w:left="40"/>
              <w:spacing w:after="0" w:line="237" w:lineRule="exact"/>
              <w:rPr>
                <w:sz w:val="20"/>
                <w:szCs w:val="20"/>
                <w:color w:val="auto"/>
              </w:rPr>
            </w:pPr>
            <w:r>
              <w:rPr>
                <w:rFonts w:ascii="Arial" w:cs="Arial" w:eastAsia="Arial" w:hAnsi="Arial"/>
                <w:sz w:val="18"/>
                <w:szCs w:val="18"/>
                <w:color w:val="auto"/>
              </w:rPr>
              <w:t>Net loss per common share—basic and diluted</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40"/>
              <w:spacing w:after="0" w:line="180" w:lineRule="exact"/>
              <w:rPr>
                <w:sz w:val="20"/>
                <w:szCs w:val="20"/>
                <w:color w:val="auto"/>
              </w:rPr>
            </w:pPr>
            <w:r>
              <w:rPr>
                <w:rFonts w:ascii="Arial" w:cs="Arial" w:eastAsia="Arial" w:hAnsi="Arial"/>
                <w:sz w:val="18"/>
                <w:szCs w:val="18"/>
                <w:color w:val="auto"/>
              </w:rPr>
              <w:t>Weighted average shares of common stock</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5,457,629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6,287,172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5,933,806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23,206,203</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ind w:left="160"/>
              <w:spacing w:after="0" w:line="219" w:lineRule="exact"/>
              <w:rPr>
                <w:sz w:val="20"/>
                <w:szCs w:val="20"/>
                <w:color w:val="auto"/>
              </w:rPr>
            </w:pPr>
            <w:r>
              <w:rPr>
                <w:rFonts w:ascii="Arial" w:cs="Arial" w:eastAsia="Arial" w:hAnsi="Arial"/>
                <w:sz w:val="18"/>
                <w:szCs w:val="18"/>
                <w:color w:val="auto"/>
              </w:rPr>
              <w:t>outstanding—basic and diluted</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0"/>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Balance Sheet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39,035</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276,987</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39,819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77,659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321,393</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30,527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34,473</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66,463</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133,749</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397,061</w:t>
            </w:r>
          </w:p>
        </w:tc>
      </w:tr>
      <w:tr>
        <w:trPr>
          <w:trHeight w:val="277"/>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30,467</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Stock warrant liability</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148,194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199,540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Stockholders’ (deficit) equity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(95,913)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(121,750)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331,785</w:t>
            </w:r>
          </w:p>
        </w:tc>
      </w:tr>
      <w:tr>
        <w:trPr>
          <w:trHeight w:val="204"/>
        </w:trPr>
        <w:tc>
          <w:tcPr>
            <w:tcW w:w="58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ind w:left="340" w:right="600" w:hanging="332"/>
        <w:spacing w:after="0" w:line="24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years ended December 31, 2016, 2017 and 2018 and the six months ended June 30, 2018, all common and per share amounts have been adjusted retrospectively to reflect the 3-for-2 reverse stock split of our common stock on January 2, 2019.</w:t>
      </w: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3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(21,957)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(17,557)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(19,312)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4,745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3,957</w:t>
            </w:r>
          </w:p>
        </w:tc>
      </w:tr>
      <w:tr>
        <w:trPr>
          <w:trHeight w:val="277"/>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(22,228)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9,973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31.2 %</w:t>
            </w:r>
          </w:p>
        </w:tc>
      </w:tr>
      <w:tr>
        <w:trPr>
          <w:trHeight w:val="277"/>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a % of net revenues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Adjusted EBITDA as a % of net revenues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04"/>
        </w:trPr>
        <w:tc>
          <w:tcPr>
            <w:tcW w:w="276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340" w:right="36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GAAP. We define Adjusted EBITDA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2"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EBITDA as a % of net revenues is defined as Adjusted EBITDA divided by net revenues. Adjusted EBITDA as a % of net revenues is a financial measure that is not calculated in accordance with GAAP.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non-GAAP financial measures in assessing our operating performance and in our financial communications:</w:t>
      </w:r>
    </w:p>
    <w:p>
      <w:pPr>
        <w:spacing w:after="0" w:line="153"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is defined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as a % of net revenues</w:t>
      </w:r>
      <w:r>
        <w:rPr>
          <w:rFonts w:ascii="Arial" w:cs="Arial" w:eastAsia="Arial" w:hAnsi="Arial"/>
          <w:sz w:val="18"/>
          <w:szCs w:val="18"/>
          <w:color w:val="auto"/>
        </w:rPr>
        <w:t>” is defined as Adjusted EBITDA divided by net revenues.</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use Adjusted EBITDA and Adjusted EBITDA as a % of net revenues because they are important measures upon which our management assesses our operating performance. We use Adjusted EBITDA and Adjusted EBITDA as a % of net revenues as key performance measures because we believe these measures facilitate operating performance comparison from period-to-period by excluding potential differences primarily caused by the impact of restructuring, asset depreciation and amortization, non-cash share-based compensation and non-operational charges including the impact to cost of goods sold and SG&amp;A expenses related to the termination of an exclusive co-manufacturing agreement, early extinguishment of convertible notes and remeasurement of warrant liability. Because Adjusted EBITDA and Adjusted EBITDA as a % of net revenues facilitate internal comparisons of our historical operating performance on a more consistent basis, we also use those measures for our business planning purposes. In addition, we believe Adjusted EBITDA and Adjusted EBITDA as a % of net revenues are widely used by investors, securities analysts, ratings agencies and other parties in evaluating companies in our industry as a measure of our operational performance.</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GAAP. There are a number of limitations related to the use of Adjusted EBITDA rather than net loss, which is the most directly comparable GAAP measure. Some of these limitations are:</w:t>
      </w:r>
    </w:p>
    <w:p>
      <w:pPr>
        <w:spacing w:after="0" w:line="148" w:lineRule="exact"/>
        <w:rPr>
          <w:sz w:val="20"/>
          <w:szCs w:val="20"/>
          <w:color w:val="auto"/>
        </w:rPr>
      </w:pPr>
    </w:p>
    <w:p>
      <w:pPr>
        <w:ind w:left="660" w:right="46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These non-GAAP financial measures should not be considered in isolation or as a substitute for financial information provided in accordance with GAAP. Below we have provided a reconciliation of Adjusted EBITDA to net loss, as reported, the most directly comparable financial measure calculated and presented in accordance with GAAP, for each of the periods presented.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68" w:right="27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reported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(25,149)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(16,090)</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21</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1,474</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3,957</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1,241</w:t>
            </w:r>
          </w:p>
        </w:tc>
      </w:tr>
      <w:tr>
        <w:trPr>
          <w:trHeight w:val="226"/>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Inventory losses from termination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3560" w:type="dxa"/>
            <w:vAlign w:val="bottom"/>
            <w:gridSpan w:val="2"/>
          </w:tcPr>
          <w:p>
            <w:pPr>
              <w:ind w:left="160"/>
              <w:spacing w:after="0" w:line="233" w:lineRule="exact"/>
              <w:rPr>
                <w:sz w:val="20"/>
                <w:szCs w:val="20"/>
                <w:color w:val="auto"/>
              </w:rPr>
            </w:pPr>
            <w:r>
              <w:rPr>
                <w:rFonts w:ascii="Arial" w:cs="Arial" w:eastAsia="Arial" w:hAnsi="Arial"/>
                <w:sz w:val="18"/>
                <w:szCs w:val="18"/>
                <w:color w:val="auto"/>
              </w:rPr>
              <w:t>exclusive supply agreement</w:t>
            </w:r>
            <w:r>
              <w:rPr>
                <w:rFonts w:ascii="Arial" w:cs="Arial" w:eastAsia="Arial" w:hAnsi="Arial"/>
                <w:sz w:val="21"/>
                <w:szCs w:val="21"/>
                <w:color w:val="auto"/>
                <w:vertAlign w:val="superscript"/>
              </w:rPr>
              <w:t>(2)</w:t>
            </w:r>
          </w:p>
        </w:tc>
        <w:tc>
          <w:tcPr>
            <w:tcW w:w="3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Costs of termination of exclusive supply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ind w:left="160"/>
              <w:spacing w:after="0" w:line="233" w:lineRule="exact"/>
              <w:rPr>
                <w:sz w:val="20"/>
                <w:szCs w:val="20"/>
                <w:color w:val="auto"/>
              </w:rPr>
            </w:pPr>
            <w:r>
              <w:rPr>
                <w:rFonts w:ascii="Arial" w:cs="Arial" w:eastAsia="Arial" w:hAnsi="Arial"/>
                <w:sz w:val="18"/>
                <w:szCs w:val="18"/>
                <w:color w:val="auto"/>
              </w:rPr>
              <w:t>agreement</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2,678</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Remeasurement of warrant liability</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12,503</w:t>
            </w:r>
          </w:p>
        </w:tc>
      </w:tr>
      <w:tr>
        <w:trPr>
          <w:trHeight w:val="270"/>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(1,039)</w:t>
            </w:r>
          </w:p>
        </w:tc>
      </w:tr>
      <w:tr>
        <w:trPr>
          <w:trHeight w:val="250"/>
        </w:trPr>
        <w:tc>
          <w:tcPr>
            <w:tcW w:w="36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4,745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a % of net revenues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Adjusted EBITDA as a % of net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04"/>
        </w:trPr>
        <w:tc>
          <w:tcPr>
            <w:tcW w:w="360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ind w:left="340" w:right="140" w:hanging="332"/>
        <w:spacing w:after="0" w:line="24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for the 2017 and 2018 fiscal years, and primarily comprised of legal and other expenses associated with this dispute in the three and six months ended June 29, 2019.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40" w:right="460" w:hanging="332"/>
        <w:spacing w:after="0" w:line="24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expenses associated with the conversion of our convertible notes.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82"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3" w:lineRule="exact"/>
        <w:rPr>
          <w:sz w:val="20"/>
          <w:szCs w:val="20"/>
          <w:color w:val="auto"/>
        </w:rPr>
      </w:pPr>
    </w:p>
    <w:p>
      <w:pPr>
        <w:jc w:val="both"/>
        <w:ind w:right="180" w:firstLine="324"/>
        <w:spacing w:after="0" w:line="258"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“Risk Factors” and “Special Note Regarding Forward-Looking Statements.” The following discussion of our financial condition and results of operations should be read in conjunction with our financial statements and related notes included elsewhere in this prospectus, as well as the information presented under “Selected Financial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They are offered in ready-to-cook formats (merchandised in the meat case), which we refer to as our “fresh” platform, and ready-to-heat formats (merchandised in the freezer), which we refer to as our “frozen” platform.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May 6, 2019, we completed our initial public offering of common stock, in which we sold 11,068,750 shares, including 1,443,750 shares pursuant to the underwriters’ over-allotment option. The shares began trading on the Nasdaq Global Select Market on May 2, 2019. The shares were sold at an IPO price of $25.00 per share for net proceeds of approximately $252.4 million, after deducting underwriting discounts and commissions of $19.4 million and estimated offering expenses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5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30, 2018, our net revenues were $30.1 million compared to $107.5 million for the six months ended June 29, 2019. The Beyond Burger is our flagship product and has been the focal point of our development and marketing efforts. The Beyond Burger accounted for approximately 70% of our gross revenues in 2018</w:t>
      </w:r>
    </w:p>
    <w:p>
      <w:pPr>
        <w:spacing w:after="0" w:line="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and approximately 56% of our gross revenues for the six months ended June 29, 2019. We believe that sales of the Beyond Burger will continue to constitute a significant portion of our revenues, income and cash flow for the foreseeable future.</w:t>
      </w:r>
    </w:p>
    <w:p>
      <w:pPr>
        <w:spacing w:after="0" w:line="14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generated losses from inception. Net loss in 2016, 2017 and 2018 was $25.1 million, $30.4 million and $29.9 million, respectively, and $16.1 million for the six months ended June 29, 2019 compared to $13.1 million for the six months ended June 30, 2018, respectively, as we invested in innovation and growth of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0" w:right="259" w:bottom="1440" w:gutter="0" w:footer="0" w:header="0"/>
        </w:sectPr>
      </w:pPr>
    </w:p>
    <w:bookmarkStart w:id="56" w:name="page57"/>
    <w:bookmarkEnd w:id="56"/>
    <w:p>
      <w:pPr>
        <w:ind w:right="2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generate net revenues primarily from sales of our products, including the Beyond Burger, Beyond Sausage and other plant-based meat products to our customers, which include mainstream grocery, mass merchandiser and natural retailers, as well as restaurants and other foodservice outlets mainly in the United States.</w:t>
      </w:r>
    </w:p>
    <w:p>
      <w:pPr>
        <w:spacing w:after="0" w:line="14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continue to experience substantial growth in net revenues over the prior periods. The following factors and trends in our business have driven net revenue growth over this period and are expected to be key drivers of our net revenue growth for the foreseeable future:</w:t>
      </w:r>
    </w:p>
    <w:p>
      <w:pPr>
        <w:spacing w:after="0" w:line="142" w:lineRule="exact"/>
        <w:rPr>
          <w:sz w:val="20"/>
          <w:szCs w:val="20"/>
          <w:color w:val="auto"/>
        </w:rPr>
      </w:pPr>
    </w:p>
    <w:p>
      <w:pPr>
        <w:ind w:left="660" w:right="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and natural retailer customers, and our restaurant and foodservice channel, including restaurants, foodservice outlets and schools;</w:t>
      </w:r>
    </w:p>
    <w:p>
      <w:pPr>
        <w:spacing w:after="0" w:line="142"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velocity of our fresh product sales across our channels, by which we mean that the volume of our products sold per outlet has generally increased period-over-period due to greater adoption of and demand for our products;</w:t>
      </w:r>
    </w:p>
    <w:p>
      <w:pPr>
        <w:spacing w:after="0" w:line="142"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continued innovation, including enhancing existing products and introducing new products that appeal to a broad range of consumers, including those who typically eat animal-based meat;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marketing efforts as we continue to build our brand and drive consumer adoption of our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market trends, including growing consumer demand for nutritious, convenient and high protein plant-based foods.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w:t>
      </w:r>
    </w:p>
    <w:p>
      <w:pPr>
        <w:spacing w:after="0" w:line="171" w:lineRule="exact"/>
        <w:rPr>
          <w:sz w:val="20"/>
          <w:szCs w:val="20"/>
          <w:color w:val="auto"/>
        </w:rPr>
      </w:pPr>
    </w:p>
    <w:p>
      <w:pPr>
        <w:ind w:left="660" w:hanging="328"/>
        <w:spacing w:after="0" w:line="29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increased production levels as we scale production to meet demand for our products across our distribution channels both domestically and internationally, including Australia, Europe, Hong Kong, Israel, South Africa, South Korea and parts of the Middle East; and</w:t>
      </w:r>
    </w:p>
    <w:p>
      <w:pPr>
        <w:spacing w:after="0" w:line="120" w:lineRule="exact"/>
        <w:rPr>
          <w:rFonts w:ascii="Arial" w:cs="Arial" w:eastAsia="Arial" w:hAnsi="Arial"/>
          <w:sz w:val="17"/>
          <w:szCs w:val="17"/>
          <w:color w:val="auto"/>
        </w:rPr>
      </w:pPr>
    </w:p>
    <w:p>
      <w:pPr>
        <w:ind w:left="660" w:right="5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desire by restaurant and foodservice establishments to add plant-based products to their menus and to highlight these offerings.</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Net revenues from sales in our retail channel increased by 192.0% from $11.7 million in the three months ended June 30, 2018 to $34.1 million in the three months ended June 29, 2019. Net revenues from sales in our restaurant and foodservice channel increased by 483.0% from $5.7 million in the three months ended June 30, 2018 to $33.1 million in the three months ended June 29,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from sales in our retail channel increased by 156.1% from $21.0 million in the six months ended June 30, 2018 to</w:t>
      </w:r>
    </w:p>
    <w:p>
      <w:pPr>
        <w:spacing w:after="0" w:line="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$53.7 million in the six months ended June 29, 2019. Net revenues from sales in our restaurant and foodservice channel increased by 486.2% from $9.2 million in the three months ended June 30, 2018 to $53.8 million in the six months ended June 29, 2019. We expect further growth in both channels as we increase our production capacity in response to demand and add new customers.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82" w:right="259" w:bottom="1440" w:gutter="0" w:footer="0" w:header="0"/>
        </w:sectPr>
      </w:pPr>
    </w:p>
    <w:bookmarkStart w:id="57" w:name="page58"/>
    <w:bookmarkEnd w:id="57"/>
    <w:p>
      <w:pPr>
        <w:ind w:right="540" w:firstLine="324"/>
        <w:spacing w:after="0" w:line="256" w:lineRule="auto"/>
        <w:rPr>
          <w:sz w:val="20"/>
          <w:szCs w:val="20"/>
          <w:color w:val="auto"/>
        </w:rPr>
      </w:pPr>
      <w:r>
        <w:rPr>
          <w:rFonts w:ascii="Arial" w:cs="Arial" w:eastAsia="Arial" w:hAnsi="Arial"/>
          <w:sz w:val="18"/>
          <w:szCs w:val="18"/>
          <w:color w:val="auto"/>
        </w:rPr>
        <w:t>Net revenues from sales in our retail channel increased by 106.5% in 2017 from $12.3 million in 2016 to $25.5 million in 2017 and by 99.2% to $50.8 million in 2018. Net revenues from sales in our restaurant and foodservice channel increased by 84.7% in 2017 from $3.8 million in 2016 to $7.1 million in 2017 and by 424.0% to $37.1 million in 2018.</w:t>
      </w:r>
    </w:p>
    <w:p>
      <w:pPr>
        <w:spacing w:after="0" w:line="14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the Philippines, Singapore, South Africa, South Korea, Taiwan and the United Kingdom. Our international net revenues (excluding revenues from Canada) are included in our restaurant and foodservice channel and were approximately 3% and 12%, respectively, of our net revenues in the three months ended June 30, 2018 and June 29, 2019 and were approximately 2% and 13%, respectively, of our net revenues in the six months ended June 30, 2018 and June 29, 2019.</w:t>
      </w:r>
    </w:p>
    <w:p>
      <w:pPr>
        <w:spacing w:after="0" w:line="1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2017 and 2018, our international sales represented approximately 1% and 7%, respectively, of our gross revenues. All of our long-lived assets are in the United States and we have no long -lived assets in any international locations. Net revenues from sales to the Canadian market are included with net revenues from sales to the United States market.</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Over the next few years, the main driver of growth in our net revenues is expected to be sales of our fresh products, primarily the Beyond Burger, in both our retail channel and our restaurant and foodservice channel predominantly in the United States, as well as internationally. We also expect net revenues and gross margin to benefit from increased sales of our fresh products due to the higher net selling price per pound of our fresh platform products compared to our frozen platform products.</w:t>
      </w:r>
    </w:p>
    <w:p>
      <w:pPr>
        <w:spacing w:after="0" w:line="150"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As we seek to continue to rapidly grow our net revenues, we face several challenges. In 2017, continuing into 2018, demand for our products exceeded our expectations and production capacity, significantly constraining our net revenue growth relative to our total demand opportunity. While we have significantly expanded our production capacity to address production shortfall, we may experience a lag in production relative to customer demand if our growth rate exceeds our expectations.</w:t>
      </w:r>
    </w:p>
    <w:p>
      <w:pPr>
        <w:spacing w:after="0" w:line="15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We anticipate that these promotional activities could impact our net revenues and that changes in such activities could impact period-over-period results.</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mix of our products sold, particularly between products in our fresh and frozen platforms, and the channels through which our products are sold, causing variability in our results.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(Loss) Profit</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Gross (loss) profit consists of our net revenues less costs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products.In order to keep pace with demand, we have had to very quickly scale production and we have not always been able to meet all demand for our products. As a result, we have had to quickly expand our sources of supply for our core protein inputs such as pea protein. Our growth has also significantly increased facility and warehouse utilization rates. We intend to continue to increase our production capabilities at our two in-house manufacturing facilities in Columbia, Missouri. As a result, we expect our cost of goods sold to increase in absolute dollars to support our growth. However, we expect such expenses to decrease as a percentage of net revenues over time as we continue to scale our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82" w:right="239" w:bottom="1440" w:gutter="0" w:footer="0" w:header="0"/>
        </w:sectPr>
      </w:pPr>
    </w:p>
    <w:bookmarkStart w:id="58" w:name="page59"/>
    <w:bookmarkEnd w:id="58"/>
    <w:p>
      <w:pPr>
        <w:ind w:right="40" w:firstLine="324"/>
        <w:spacing w:after="0" w:line="252" w:lineRule="auto"/>
        <w:rPr>
          <w:sz w:val="20"/>
          <w:szCs w:val="20"/>
          <w:color w:val="auto"/>
        </w:rPr>
      </w:pPr>
      <w:r>
        <w:rPr>
          <w:rFonts w:ascii="Arial" w:cs="Arial" w:eastAsia="Arial" w:hAnsi="Arial"/>
          <w:sz w:val="18"/>
          <w:szCs w:val="18"/>
          <w:color w:val="auto"/>
        </w:rPr>
        <w:t>Gross margin improved by 1,880 basis points from 15.0% in the three months ended June 30, 2018 to 33.8% in the three months ended June 29, 2019, and by 1,570 basis points from 15.5% in the six months ended June 30, 2018 to 31.2% in the six months ended June 29, 2019. Gross margin improved by 323 basis points from (39.0)% in 2016 to (6.7)% in 2017 and by 267 basis points to 20.0% in 2018. Gross margin benefited from an increase in the amount of products sold, improved production efficiencies, and from a greater proportion of revenues from products in our fresh platform which have a higher net selling price per pound. As we continue to expand production and are able to increase manufacturing efficiency and leverage the cost of our fixed production and staff costs, we expect to increase our gross margin. We also expect to continue to increase gross margin through ingredient cost savings achieved through scale of purchasing and through expanding our co-manufacturing network and negotiating lower tolling fees.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Our research and development efforts are focused on enhancements to our product formulations and production processes in addition to the development of new products. We expect to continue to invest substantial amounts in research and development, as most recently evidenced in the build-out of our state-of-the-art Manhattan Beach Project Innovation Center. Research and development and innovation are core elements of our business strategy, as we believe they represent a critical competitive advantage for us. We believe that we need to continue to rapidly innovate in order to be able to continue to capture a larger market share of consumers who typically eat animal-based meats. We expect these expenses to increase somewhat in absolute dollars, but to decrease as a percentage of net revenues as we continue to scale production.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8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SG&amp;A expenses consist primarily of marketing, selling and administrative expenses, including personnel and related expenses, share-based compensation, outbound shipping and handling costs, non-manufacturing rent expense, depreciation and amortization expense on non-manufacturing assets and other miscellaneous operating items. Marketing and selling expenses include advertising costs, costs associated with consumer promotions, product samples and sales aids incurred to acquire new customers, retain existing customers and build our brand awareness. Administrative expenses include the expenses related to management, accounting, IT, and other office functions. We expect SG&amp;A expenses to increase in absolute dollars as we increase our domestic and international expansion efforts to meet our product demand and incur costs related to our status as a public company.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selling and marketing expense is expected to increase, both through a greater focus on marketing and through additions to our sales organizations. We expect to significantly expand our marketing efforts to achieve greater brand awareness, attract new customers and increase market penetration. We have historically had a very small sales force, with only nine full-time sales employees as of December 31, 2017 growing to 28 full-time sales employees as of June 29, 2019. As we continue to grow, we expect to expand our sales force to address additional opportunities, which could substantially increase our selling expense. Our administrative expenses are expected to increase as a public company with increased personnel cost in accounting, IT and compliance-related expenses.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May 2017, management approved a plan to terminate an exclusive supply agreement with one of our co-manufacturers. See “—Results of Operations—Three and Six Months Ended June 29, 2019 Compared to Three and Six Months ended June 30, 2018—Restructuring Expenses” for a discussion of these expenses.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82"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As our business continues to grow, we expect to see additional seasonality effects, with revenue growth tending to be greater in the second and third quarters of the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statements of operations for the periods presented: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11"/>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9"/>
                <w:szCs w:val="19"/>
                <w:color w:val="auto"/>
              </w:rPr>
            </w:pPr>
          </w:p>
        </w:tc>
      </w:tr>
      <w:tr>
        <w:trPr>
          <w:trHeight w:val="216"/>
        </w:trPr>
        <w:tc>
          <w:tcPr>
            <w:tcW w:w="2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June 29, 2019</w:t>
            </w:r>
          </w:p>
        </w:tc>
        <w:tc>
          <w:tcPr>
            <w:tcW w:w="126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30, 2018</w:t>
            </w:r>
          </w:p>
        </w:tc>
        <w:tc>
          <w:tcPr>
            <w:tcW w:w="126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30,143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107,457</w:t>
            </w:r>
          </w:p>
        </w:tc>
        <w:tc>
          <w:tcPr>
            <w:tcW w:w="140" w:type="dxa"/>
            <w:vAlign w:val="bottom"/>
          </w:tcPr>
          <w:p>
            <w:pPr>
              <w:spacing w:after="0"/>
              <w:rPr>
                <w:sz w:val="21"/>
                <w:szCs w:val="21"/>
                <w:color w:val="auto"/>
              </w:rPr>
            </w:pPr>
          </w:p>
        </w:tc>
      </w:tr>
      <w:tr>
        <w:trPr>
          <w:trHeight w:val="264"/>
        </w:trPr>
        <w:tc>
          <w:tcPr>
            <w:tcW w:w="27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22,494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14,755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25,474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73,945</w:t>
            </w:r>
          </w:p>
        </w:tc>
        <w:tc>
          <w:tcPr>
            <w:tcW w:w="140" w:type="dxa"/>
            <w:vAlign w:val="bottom"/>
          </w:tcPr>
          <w:p>
            <w:pPr>
              <w:spacing w:after="0"/>
              <w:rPr>
                <w:sz w:val="22"/>
                <w:szCs w:val="22"/>
                <w:color w:val="auto"/>
              </w:rPr>
            </w:pPr>
          </w:p>
        </w:tc>
      </w:tr>
      <w:tr>
        <w:trPr>
          <w:trHeight w:val="257"/>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4,669</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33,512</w:t>
            </w:r>
          </w:p>
        </w:tc>
        <w:tc>
          <w:tcPr>
            <w:tcW w:w="140" w:type="dxa"/>
            <w:vAlign w:val="bottom"/>
          </w:tcPr>
          <w:p>
            <w:pPr>
              <w:spacing w:after="0"/>
              <w:rPr>
                <w:sz w:val="22"/>
                <w:szCs w:val="22"/>
                <w:color w:val="auto"/>
              </w:rPr>
            </w:pPr>
          </w:p>
        </w:tc>
      </w:tr>
      <w:tr>
        <w:trPr>
          <w:trHeight w:val="209"/>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6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8,710</w:t>
            </w:r>
          </w:p>
        </w:tc>
        <w:tc>
          <w:tcPr>
            <w:tcW w:w="140" w:type="dxa"/>
            <w:vAlign w:val="bottom"/>
          </w:tcPr>
          <w:p>
            <w:pPr>
              <w:spacing w:after="0"/>
              <w:rPr>
                <w:sz w:val="19"/>
                <w:szCs w:val="19"/>
                <w:color w:val="auto"/>
              </w:rPr>
            </w:pPr>
          </w:p>
        </w:tc>
      </w:tr>
      <w:tr>
        <w:trPr>
          <w:trHeight w:val="235"/>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12,780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c>
          <w:tcPr>
            <w:tcW w:w="140" w:type="dxa"/>
            <w:vAlign w:val="bottom"/>
          </w:tcPr>
          <w:p>
            <w:pPr>
              <w:spacing w:after="0"/>
              <w:rPr>
                <w:sz w:val="20"/>
                <w:szCs w:val="20"/>
                <w:color w:val="auto"/>
              </w:rPr>
            </w:pPr>
          </w:p>
        </w:tc>
      </w:tr>
      <w:tr>
        <w:trPr>
          <w:trHeight w:val="264"/>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2"/>
                <w:szCs w:val="22"/>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22"/>
                <w:szCs w:val="22"/>
                <w:color w:val="auto"/>
              </w:rPr>
            </w:pPr>
          </w:p>
        </w:tc>
      </w:tr>
      <w:tr>
        <w:trPr>
          <w:trHeight w:val="250"/>
        </w:trPr>
        <w:tc>
          <w:tcPr>
            <w:tcW w:w="2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9,888</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17,524</w:t>
            </w: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36,643</w:t>
            </w:r>
          </w:p>
        </w:tc>
        <w:tc>
          <w:tcPr>
            <w:tcW w:w="140" w:type="dxa"/>
            <w:vAlign w:val="bottom"/>
          </w:tcPr>
          <w:p>
            <w:pPr>
              <w:spacing w:after="0"/>
              <w:rPr>
                <w:sz w:val="21"/>
                <w:szCs w:val="21"/>
                <w:color w:val="auto"/>
              </w:rPr>
            </w:pPr>
          </w:p>
        </w:tc>
      </w:tr>
      <w:tr>
        <w:trPr>
          <w:trHeight w:val="257"/>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(24,766)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(28,565)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1380" w:type="dxa"/>
            <w:vAlign w:val="bottom"/>
            <w:gridSpan w:val="33"/>
          </w:tcPr>
          <w:p>
            <w:pPr>
              <w:ind w:left="300"/>
              <w:spacing w:after="0"/>
              <w:rPr>
                <w:sz w:val="20"/>
                <w:szCs w:val="20"/>
                <w:color w:val="auto"/>
              </w:rPr>
            </w:pPr>
            <w:r>
              <w:rPr>
                <w:rFonts w:ascii="Arial" w:cs="Arial" w:eastAsia="Arial" w:hAnsi="Arial"/>
                <w:sz w:val="18"/>
                <w:szCs w:val="18"/>
                <w:color w:val="auto"/>
              </w:rPr>
              <w:t>The following table presents selected items in our statements of operations as a percentage of net revenues for the respective periods</w:t>
            </w:r>
          </w:p>
        </w:tc>
      </w:tr>
      <w:tr>
        <w:trPr>
          <w:trHeight w:val="217"/>
        </w:trPr>
        <w:tc>
          <w:tcPr>
            <w:tcW w:w="2700" w:type="dxa"/>
            <w:vAlign w:val="bottom"/>
            <w:gridSpan w:val="4"/>
          </w:tcPr>
          <w:p>
            <w:pPr>
              <w:spacing w:after="0"/>
              <w:rPr>
                <w:sz w:val="20"/>
                <w:szCs w:val="20"/>
                <w:color w:val="auto"/>
              </w:rPr>
            </w:pPr>
            <w:r>
              <w:rPr>
                <w:rFonts w:ascii="Arial" w:cs="Arial" w:eastAsia="Arial" w:hAnsi="Arial"/>
                <w:sz w:val="18"/>
                <w:szCs w:val="18"/>
                <w:color w:val="auto"/>
              </w:rPr>
              <w:t>presented: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69"/>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2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29, 2019</w:t>
            </w:r>
          </w:p>
        </w:tc>
        <w:tc>
          <w:tcPr>
            <w:tcW w:w="1260" w:type="dxa"/>
            <w:vAlign w:val="bottom"/>
            <w:gridSpan w:val="4"/>
          </w:tcPr>
          <w:p>
            <w:pPr>
              <w:ind w:left="8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9"/>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r>
      <w:tr>
        <w:trPr>
          <w:trHeight w:val="264"/>
        </w:trPr>
        <w:tc>
          <w:tcPr>
            <w:tcW w:w="2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80.0</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84.5</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auto"/>
            </w:tcBorders>
          </w:tcPr>
          <w:p>
            <w:pPr>
              <w:spacing w:after="0"/>
              <w:rPr>
                <w:sz w:val="22"/>
                <w:szCs w:val="22"/>
                <w:color w:val="auto"/>
              </w:rPr>
            </w:pPr>
          </w:p>
        </w:tc>
      </w:tr>
      <w:tr>
        <w:trPr>
          <w:trHeight w:val="250"/>
        </w:trPr>
        <w:tc>
          <w:tcPr>
            <w:tcW w:w="2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auto"/>
            </w:tcBorders>
            <w:shd w:val="clear" w:color="auto" w:fill="CCEEFF"/>
          </w:tcPr>
          <w:p>
            <w:pPr>
              <w:spacing w:after="0"/>
              <w:rPr>
                <w:sz w:val="21"/>
                <w:szCs w:val="21"/>
                <w:color w:val="auto"/>
              </w:rPr>
            </w:pPr>
          </w:p>
        </w:tc>
      </w:tr>
      <w:tr>
        <w:trPr>
          <w:trHeight w:val="215"/>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6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r>
      <w:tr>
        <w:trPr>
          <w:trHeight w:val="235"/>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20"/>
                <w:szCs w:val="20"/>
                <w:color w:val="auto"/>
              </w:rPr>
            </w:pPr>
          </w:p>
        </w:tc>
      </w:tr>
      <w:tr>
        <w:trPr>
          <w:trHeight w:val="264"/>
        </w:trPr>
        <w:tc>
          <w:tcPr>
            <w:tcW w:w="2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22"/>
                <w:szCs w:val="22"/>
                <w:color w:val="auto"/>
              </w:rPr>
            </w:pPr>
          </w:p>
        </w:tc>
      </w:tr>
      <w:tr>
        <w:trPr>
          <w:trHeight w:val="250"/>
        </w:trPr>
        <w:tc>
          <w:tcPr>
            <w:tcW w:w="2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auto"/>
            </w:tcBorders>
            <w:shd w:val="clear" w:color="auto" w:fill="CCEEFF"/>
          </w:tcPr>
          <w:p>
            <w:pPr>
              <w:spacing w:after="0"/>
              <w:rPr>
                <w:sz w:val="21"/>
                <w:szCs w:val="21"/>
                <w:color w:val="auto"/>
              </w:rPr>
            </w:pPr>
          </w:p>
        </w:tc>
      </w:tr>
      <w:tr>
        <w:trPr>
          <w:trHeight w:val="257"/>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Three and Six Months Ended June 30, 2018 Compared to Three and Six Months Ended June 29, 2019</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1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60" w:type="dxa"/>
            <w:vAlign w:val="bottom"/>
          </w:tcPr>
          <w:p>
            <w:pPr>
              <w:ind w:left="220"/>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5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ind w:left="8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1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Gross Fresh</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Platform</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67,722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81,813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35"/>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Platform</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4"/>
        </w:trPr>
        <w:tc>
          <w:tcPr>
            <w:tcW w:w="4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67,251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107,457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77,314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June 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7"/>
                <w:szCs w:val="17"/>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June 29,</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1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6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1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6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ind w:left="6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1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34,120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22,436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20,972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53,699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32,727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35"/>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Foodservice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57"/>
        </w:trPr>
        <w:tc>
          <w:tcPr>
            <w:tcW w:w="40" w:type="dxa"/>
            <w:vAlign w:val="bottom"/>
          </w:tcPr>
          <w:p>
            <w:pPr>
              <w:spacing w:after="0"/>
              <w:rPr>
                <w:sz w:val="22"/>
                <w:szCs w:val="2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17,367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67,251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49,884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107,457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Net revenues increased by $ 49.9 million, or 287.2%, and $77.3 million, or 256.5%, in the three and six months ended June 29, 2019, respectively, as compared to the prior-year periods primarily due to strong growth in sales volumes of products in our fresh platform across both our retail and our restaurant and foodservice channels, driven by expansion in the number of retail and foodservice points of distribution, including new strategic customers, international customers and greater demand from our existing customers. Net revenues from international customers (excluding the Canadian market) in the three and six months ended June 29, 2019 were approximately 12% and 13% of net revenues, respectively, as compared to approximately 3% and 2% of net revenues, respectively, in the prior-year periods. We discontinued our frozen chicken strips product line during the first quarter of 2019, causing a decline in frozen product revenues consistent with our shift to concentrate more on our fresh products platform.</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Gross revenues from sales of products in our fresh platform in the three and six months ended June 29, 2019 increased $52.6 million, or 347.9%, and $ 81.8 million, or 331.0%, respectively, primarily due to increases in sales of the Beyond Burger and Beyond Sausage. Net revenues from retail sales in the three and six months ended June 29, 2019 increased $ 22.4 million, or 192.0%, and $32.7 million, or 156.1%, respectively, primarily due to increase in sales of the Beyond Burger. Net revenues from sales through our restaurant and foodservice channel in the three and six months ended June 29, 2019 increased $27.4 million, or 483.0%, and $44.6 million, or 486.2%, respectively, primarily due to increases in sales of the Beyond Burger, which was being served in approximately 18,000 restaurant and foodservice outlets worldwide as of June 16, 2019, and due to increased sales of Beyond Sausage.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Change</w:t>
            </w:r>
          </w:p>
        </w:tc>
      </w:tr>
      <w:tr>
        <w:trPr>
          <w:trHeight w:val="198"/>
        </w:trPr>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June 29,</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June 30,</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June 29,</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0"/>
        </w:trPr>
        <w:tc>
          <w:tcPr>
            <w:tcW w:w="2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 thousands)</w:t>
            </w:r>
          </w:p>
        </w:tc>
        <w:tc>
          <w:tcPr>
            <w:tcW w:w="1120" w:type="dxa"/>
            <w:vAlign w:val="bottom"/>
          </w:tcPr>
          <w:p>
            <w:pPr>
              <w:ind w:left="38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120" w:type="dxa"/>
            <w:vAlign w:val="bottom"/>
          </w:tcPr>
          <w:p>
            <w:pPr>
              <w:jc w:val="right"/>
              <w:ind w:right="299"/>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820" w:type="dxa"/>
            <w:vAlign w:val="bottom"/>
          </w:tcPr>
          <w:p>
            <w:pPr>
              <w:ind w:left="200"/>
              <w:spacing w:after="0" w:line="181" w:lineRule="exact"/>
              <w:rPr>
                <w:sz w:val="20"/>
                <w:szCs w:val="20"/>
                <w:color w:val="auto"/>
              </w:rPr>
            </w:pPr>
            <w:r>
              <w:rPr>
                <w:rFonts w:ascii="Arial" w:cs="Arial" w:eastAsia="Arial" w:hAnsi="Arial"/>
                <w:sz w:val="16"/>
                <w:szCs w:val="16"/>
                <w:b w:val="1"/>
                <w:bCs w:val="1"/>
                <w:color w:val="auto"/>
                <w:w w:val="99"/>
              </w:rPr>
              <w:t>Amount</w:t>
            </w:r>
          </w:p>
        </w:tc>
        <w:tc>
          <w:tcPr>
            <w:tcW w:w="1440" w:type="dxa"/>
            <w:vAlign w:val="bottom"/>
            <w:gridSpan w:val="3"/>
          </w:tcPr>
          <w:p>
            <w:pPr>
              <w:jc w:val="right"/>
              <w:ind w:right="500"/>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239"/>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000" w:type="dxa"/>
            <w:vAlign w:val="bottom"/>
          </w:tcPr>
          <w:p>
            <w:pPr>
              <w:jc w:val="right"/>
              <w:ind w:right="239"/>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820" w:type="dxa"/>
            <w:vAlign w:val="bottom"/>
          </w:tcPr>
          <w:p>
            <w:pPr>
              <w:ind w:left="200"/>
              <w:spacing w:after="0" w:line="181" w:lineRule="exact"/>
              <w:rPr>
                <w:sz w:val="20"/>
                <w:szCs w:val="20"/>
                <w:color w:val="auto"/>
              </w:rPr>
            </w:pPr>
            <w:r>
              <w:rPr>
                <w:rFonts w:ascii="Arial" w:cs="Arial" w:eastAsia="Arial" w:hAnsi="Arial"/>
                <w:sz w:val="16"/>
                <w:szCs w:val="16"/>
                <w:b w:val="1"/>
                <w:bCs w:val="1"/>
                <w:color w:val="auto"/>
                <w:w w:val="99"/>
              </w:rPr>
              <w:t>Amount</w:t>
            </w:r>
          </w:p>
        </w:tc>
        <w:tc>
          <w:tcPr>
            <w:tcW w:w="1440" w:type="dxa"/>
            <w:vAlign w:val="bottom"/>
            <w:gridSpan w:val="3"/>
          </w:tcPr>
          <w:p>
            <w:pPr>
              <w:jc w:val="right"/>
              <w:ind w:right="500"/>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112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ind w:right="37"/>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93"/>
              <w:spacing w:after="0"/>
              <w:rPr>
                <w:sz w:val="20"/>
                <w:szCs w:val="20"/>
                <w:color w:val="auto"/>
              </w:rPr>
            </w:pPr>
            <w:r>
              <w:rPr>
                <w:rFonts w:ascii="Arial" w:cs="Arial" w:eastAsia="Arial" w:hAnsi="Arial"/>
                <w:sz w:val="18"/>
                <w:szCs w:val="18"/>
                <w:color w:val="auto"/>
              </w:rPr>
              <w:t>7,236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7"/>
              <w:spacing w:after="0"/>
              <w:rPr>
                <w:sz w:val="20"/>
                <w:szCs w:val="20"/>
                <w:color w:val="auto"/>
              </w:rPr>
            </w:pPr>
            <w:r>
              <w:rPr>
                <w:rFonts w:ascii="Arial" w:cs="Arial" w:eastAsia="Arial" w:hAnsi="Arial"/>
                <w:sz w:val="18"/>
                <w:szCs w:val="18"/>
                <w:color w:val="auto"/>
              </w:rPr>
              <w:t>4,999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223.5 %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rPr>
              <w:t>1,034</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145.7 %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rPr>
              <w:t>8,270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4,596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ind w:left="300"/>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5"/>
          </w:tcPr>
          <w:p>
            <w:pPr>
              <w:ind w:left="1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June 29,</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33"/>
              <w:spacing w:after="0" w:line="181"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12"/>
              <w:spacing w:after="0" w:line="181" w:lineRule="exact"/>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1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Restaurant and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Foodservice:</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628.5%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530.1%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10,064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Cost of Goods Sold</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74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5"/>
          </w:tcPr>
          <w:p>
            <w:pPr>
              <w:ind w:left="6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29,</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3"/>
              <w:spacing w:after="0" w:line="181"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ind w:left="14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3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3"/>
              <w:spacing w:after="0" w:line="181"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14,755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44,510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29,755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201.7%  $</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25,474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73,945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48,471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Cost of goods sold increased by $29.8 million, or 201.7%, and $48.5 million, or 190.3%, respectively, in the three and six months ended June 29, 2019 as compared to the prior-year periods, primarily due to the increase in the sales volume of our products.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0"/>
        </w:trPr>
        <w:tc>
          <w:tcPr>
            <w:tcW w:w="19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80" w:type="dxa"/>
            <w:vAlign w:val="bottom"/>
          </w:tcPr>
          <w:p>
            <w:pPr>
              <w:jc w:val="right"/>
              <w:ind w:right="315"/>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3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40" w:type="dxa"/>
            <w:vAlign w:val="bottom"/>
            <w:gridSpan w:val="3"/>
          </w:tcPr>
          <w:p>
            <w:pPr>
              <w:ind w:left="18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3"/>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75"/>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480" w:type="dxa"/>
            <w:vAlign w:val="bottom"/>
            <w:gridSpan w:val="3"/>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3"/>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1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22,741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20,129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770.6%  $</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33,512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28,843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r>
      <w:tr>
        <w:trPr>
          <w:trHeight w:val="257"/>
        </w:trPr>
        <w:tc>
          <w:tcPr>
            <w:tcW w:w="19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Gross profit in the three months ended June 29, 2019 was $22.7 million as compared to gross profit of $2.6 million in the prior-year period, an improvement of $20.1 million. Gross profit in the six months ended June 29, 2019, was $33.5 million as compared to gross profit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$4.7 million in the six months ended June 30, 2018, an improvement of $28.8 million. The improvement in gross profit and gross margin was primarily due to an increase in the amount of products sold, with resulting operating leverage, and improved production efficiencies. The greater proportion of product revenues from our fresh platform also contributed to the improvement in gross margin, due to a higher net selling price per pound of products in our fresh versus frozen platform. We include outbound shipping and handling costs within SG&amp;A expenses. As a result, our gross profit and gross margin may not be comparable to other entities that present all shipping and handling costs as a component of cost of goods sold.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82"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June 30,</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0"/>
        </w:trPr>
        <w:tc>
          <w:tcPr>
            <w:tcW w:w="228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94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7"/>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Research 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 $</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68.7%  $</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bl>
    <w:p>
      <w:pPr>
        <w:spacing w:after="0" w:line="161" w:lineRule="exact"/>
        <w:rPr>
          <w:sz w:val="20"/>
          <w:szCs w:val="20"/>
          <w:color w:val="auto"/>
        </w:rPr>
      </w:pPr>
    </w:p>
    <w:p>
      <w:pPr>
        <w:jc w:val="both"/>
        <w:ind w:right="340" w:firstLine="324"/>
        <w:spacing w:after="0" w:line="278" w:lineRule="auto"/>
        <w:rPr>
          <w:sz w:val="20"/>
          <w:szCs w:val="20"/>
          <w:color w:val="auto"/>
        </w:rPr>
      </w:pPr>
      <w:r>
        <w:rPr>
          <w:rFonts w:ascii="Arial" w:cs="Arial" w:eastAsia="Arial" w:hAnsi="Arial"/>
          <w:sz w:val="17"/>
          <w:szCs w:val="17"/>
          <w:color w:val="auto"/>
        </w:rPr>
        <w:t>Research and development expenses increased $1.7 million, or 68.7%, and $ 4.6 million, or 112.3%, in the three and six months ended June 29, 2019, respectively, as compared to the prior-year periods. Research and development expenses increased primarily due to higher headcount, higher scale-up expenses and higher depreciation and amortization expense compared to the respective prior-year periods.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SG&amp;A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150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0"/>
        </w:trPr>
        <w:tc>
          <w:tcPr>
            <w:tcW w:w="2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4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57"/>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500" w:type="dxa"/>
            <w:vAlign w:val="bottom"/>
            <w:gridSpan w:val="3"/>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15,515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  $</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26,692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13,912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SG&amp;A expenses increased by $8.5 million, or 120.3%, in the three months ended June 29, 2019 as compared to the prior-year period. The increase was primarily due to $3.6 million in higher salaries and related expenses resulting from a higher headcount, $0.6 million in higher consulting and professional fees, $0.8 million in higher outbound freight expenses, $0.8 million in higher broker commissions, $ 0.5 million in higher marketing service expenses related to restricted stock issued to brand ambassadors, $0.4 million in higher supply chain expenses, $0.4 million in higher travel expenses and $0.4 million in higher insurance cost.</w:t>
      </w:r>
    </w:p>
    <w:p>
      <w:pPr>
        <w:spacing w:after="0" w:line="1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SG&amp;A expenses increased by $13.9 million, or 108.9%, in the six months ended June 29, 2019, as compared to the prior-year period. The increase was primarily due to $6.6 million in higher salaries and related expenses, resulting from a higher headcount, $1.3 million in higher consulting and professional fees, $1.1 million in higher outbound freight expenses, $1.1 million in higher broker commissions, $ 0.8 million in higher marketing service expenses related to restricted stock issued to brand ambassadors, $0.8 million in higher supply chain expenses, $0.6 million in higher travel expenses and $0.5 million in higher insurance cost.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termination in May 2017 of an exclusive supply agreement with one of our co- manufacturers due to non-performance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agreement, we recorded restructuring expenses of $0.8 million and $0.3 million in the three months ended June 29,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respectively, and $1.2 million and $0.6 million in the six months ended June 29, 2019 and June 30, 2018, respectively,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legal and other expenses associated with the dispute. As of June 29, 2019 and December 31, 2018, there were no accrued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associated with this contract termination, although we continue to incur legal fees in connection with our ongoing efforts to resolve this</w:t>
      </w:r>
    </w:p>
    <w:p>
      <w:pPr>
        <w:spacing w:after="0" w:line="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dispute. See </w:t>
      </w:r>
      <w:hyperlink w:anchor="page180">
        <w:r>
          <w:rPr>
            <w:rFonts w:ascii="Arial" w:cs="Arial" w:eastAsia="Arial" w:hAnsi="Arial"/>
            <w:sz w:val="18"/>
            <w:szCs w:val="18"/>
            <w:u w:val="single" w:color="auto"/>
            <w:color w:val="0000EE"/>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and “Business—Legal Proceedings” included elsewhere in this prospectus.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2"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Total Other Expense, Net</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Total other expense, net primarily includes expense associated with the remeasurement of our preferred stock warrant liability and common stock warrant liability. On May 6, 2019, in connection with the IPO, the warrants exercisable for convertible preferred stock were automatically converted into warrants exercisable for common stock. We remeasured and reclassified the common stock warrant liability to additional-paid-in-capital in connection with the IPO and recorded $11.7 million and $12.5 million, respectively, in remeasurement of warrant liability in the three and six months ended June 29, 2019.</w:t>
      </w:r>
    </w:p>
    <w:p>
      <w:pPr>
        <w:spacing w:after="0" w:line="15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Subsequent to the closing of the IPO, all outstanding warrants to purchase shares of common stock were cashless exercised and no warrants were outstanding as of June 29, 2019.</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(Loss) from Operations</w:t>
      </w:r>
    </w:p>
    <w:p>
      <w:pPr>
        <w:spacing w:after="0" w:line="18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Loss from operations was $7.3 million for the three months ended June 30, 2018 compared to income from operations of $2.2 million for the three months ended June 29, 2019. Loss from operations for the six months ended June 30, 2018 was $12.9 million compared to loss from operations of $3.1 million for the six months ended June 29, 2019. This improvement was driven entirely by the year-over-year increase in gross profit, partially offset by higher operating expenses to support our expanded manufacturing and supply chain operations, higher administrative costs associated with being a public company, and continued investment in innovation and marketing capabilities.</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p>
    <w:p>
      <w:pPr>
        <w:spacing w:after="0" w:line="155"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For the three and six months ended June 29, 2019 and June 30, 2018, we recorded income tax expense of $21,000 and $0, respectively, in our condensed statements of operations. No tax benefit was provided for losses incurred because those losses are offset by a full valuation allowance.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Loss</w:t>
      </w:r>
    </w:p>
    <w:p>
      <w:pPr>
        <w:spacing w:after="0" w:line="18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Net loss was $ 7.4 million for the three months ended June 30, 2018 compared to net loss of $9.4 million for the three months ended June 29, 2019. Net loss was $13.1 million for the six months ended June 30, 2018 compared to net loss of $16.1 million for the six months ended June 29, 2019. The expanded net loss was primarily the result of the remeasurement of our common stock warrant liability in connection with the IPO, higher operating expenses and higher interest expense, partially offset by the increase in gross profit.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2"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2018</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5"/>
          </w:tcPr>
          <w:p>
            <w:pPr>
              <w:ind w:left="108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Gross Fresh Platform</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18,109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rPr>
              <w:t>81,686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63,577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351.1 %</w:t>
            </w:r>
          </w:p>
        </w:tc>
      </w:tr>
      <w:tr>
        <w:trPr>
          <w:trHeight w:val="277"/>
        </w:trPr>
        <w:tc>
          <w:tcPr>
            <w:tcW w:w="40" w:type="dxa"/>
            <w:vAlign w:val="bottom"/>
            <w:shd w:val="clear" w:color="auto" w:fill="CCEEFF"/>
          </w:tcPr>
          <w:p>
            <w:pPr>
              <w:spacing w:after="0"/>
              <w:rPr>
                <w:sz w:val="24"/>
                <w:szCs w:val="24"/>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 Platform</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15,896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(18.8)</w:t>
            </w:r>
          </w:p>
        </w:tc>
      </w:tr>
      <w:tr>
        <w:trPr>
          <w:trHeight w:val="264"/>
        </w:trPr>
        <w:tc>
          <w:tcPr>
            <w:tcW w:w="4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(9,648)</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88.6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87,934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55,353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50,779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0"/>
        </w:trPr>
        <w:tc>
          <w:tcPr>
            <w:tcW w:w="40" w:type="dxa"/>
            <w:vAlign w:val="bottom"/>
            <w:shd w:val="clear" w:color="auto" w:fill="CCEEFF"/>
          </w:tcPr>
          <w:p>
            <w:pPr>
              <w:spacing w:after="0"/>
              <w:rPr>
                <w:sz w:val="23"/>
                <w:szCs w:val="23"/>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37,155</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30,064</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424.0</w:t>
            </w:r>
          </w:p>
        </w:tc>
      </w:tr>
      <w:tr>
        <w:trPr>
          <w:trHeight w:val="257"/>
        </w:trPr>
        <w:tc>
          <w:tcPr>
            <w:tcW w:w="40" w:type="dxa"/>
            <w:vAlign w:val="bottom"/>
          </w:tcPr>
          <w:p>
            <w:pPr>
              <w:spacing w:after="0"/>
              <w:rPr>
                <w:sz w:val="22"/>
                <w:szCs w:val="22"/>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Net revenues</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87,934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Net revenues increased by $55.4 million, or 169.9%, from 2017 to 2018 primarily due to strong growth in sales volumes of products in our fresh platform across both our retail and our restaurant and foodservice channels, partially offset by a decrease in net revenues from the frozen platform.</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Gross revenues from sales of products in our fresh platform increased $63.6 million, or 351.1%, primarily due to increases in sales of the Beyond Burger and Beyond Sausage. Net revenues from retail sales increased $25.3 million, or 99.2%, primarily due to increase in sales of the Beyond Burger. Net revenues from sales through our restaurant and foodservice channel increased $30.1 million, or 424.0%, primarily due to increased sales of the Beyond Burger, which was being served in approximately 11,000 restaurant and foodservice outlets at the end of 2018, and due to increased sales of Beyond Sausage in 2018.</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228.0 %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(14.0)</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810.7 %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jc w:val="right"/>
              <w:ind w:right="3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35,588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Cost of goods sold increased by $ 35.6 million, or 102.3%, from 2017 to 2018, primarily due to the increase in the sales volume of our products and from a 103% increase in manufacturing-related headcount to handle increased demand for our products. Cost of goods sold in 2017 includes $ 2.4 million in write-off of unrecoverable inventory related to the termination of an exclusive agreement with our co-manufacturer at the time. See “Business—Legal Proceedings” and Note 3 to our financial statements included in this prospectus for a description of the termination of this exclusive agreement.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(Loss)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680" w:type="dxa"/>
            <w:vAlign w:val="bottom"/>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spacing w:after="0"/>
              <w:rPr>
                <w:sz w:val="19"/>
                <w:szCs w:val="19"/>
                <w:color w:val="auto"/>
              </w:rPr>
            </w:pPr>
          </w:p>
        </w:tc>
      </w:tr>
      <w:tr>
        <w:trPr>
          <w:trHeight w:val="216"/>
        </w:trPr>
        <w:tc>
          <w:tcPr>
            <w:tcW w:w="45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2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N/A</w:t>
            </w:r>
          </w:p>
        </w:tc>
      </w:tr>
      <w:tr>
        <w:trPr>
          <w:trHeight w:val="257"/>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80" w:type="dxa"/>
            <w:vAlign w:val="bottom"/>
          </w:tcPr>
          <w:p>
            <w:pPr>
              <w:ind w:left="96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Gross loss in 2017 was $ 2.2 million compared to gross profit of $ 17.6 million in 2018, an improvement of $19.8 million. The improvement in gross profit and gross margin was primarily due to an increase in the amount of products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 As disclosed in Note 2 to our financial statements, elsewhere in this prospectus, we include outbound shipping and handling costs within selling, general and administrative expense. As a result, our gross profit and gross margin may not be comparable to other entities that present all shipping and handling costs as a component of cost of goods sold.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bl>
    <w:p>
      <w:pPr>
        <w:spacing w:after="0" w:line="161" w:lineRule="exact"/>
        <w:rPr>
          <w:sz w:val="20"/>
          <w:szCs w:val="20"/>
          <w:color w:val="auto"/>
        </w:rPr>
      </w:pPr>
    </w:p>
    <w:p>
      <w:pPr>
        <w:ind w:right="780" w:firstLine="324"/>
        <w:spacing w:after="0" w:line="262" w:lineRule="auto"/>
        <w:rPr>
          <w:sz w:val="20"/>
          <w:szCs w:val="20"/>
          <w:color w:val="auto"/>
        </w:rPr>
      </w:pPr>
      <w:r>
        <w:rPr>
          <w:rFonts w:ascii="Arial" w:cs="Arial" w:eastAsia="Arial" w:hAnsi="Arial"/>
          <w:sz w:val="18"/>
          <w:szCs w:val="18"/>
          <w:color w:val="auto"/>
        </w:rPr>
        <w:t>Research and development expenses increased $3.9 million, or 67.5%, from 2017 to 2018. Research and development expenses increased primarily due to higher scale-up expenses and depreciation and amortization expense.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bl>
    <w:p>
      <w:pPr>
        <w:spacing w:after="0" w:line="16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Selling, general and administrative expenses increased by $17.3 million, or 101.0%, from 2017 to 2018. The increase was primarily due to $6.8 million in higher salaries and related expenses due to a 224% increase in headcount, $2.7 million in higher outbound freight expenses, $1.9 million in higher supply chain expenses, $1.8 million in higher consulting and professional fees, $1.3 million in higher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2" w:right="239" w:bottom="1440" w:gutter="0" w:footer="0" w:header="0"/>
        </w:sectPr>
      </w:pPr>
    </w:p>
    <w:bookmarkStart w:id="66" w:name="page67"/>
    <w:bookmarkEnd w:id="66"/>
    <w:p>
      <w:pPr>
        <w:ind w:right="20"/>
        <w:spacing w:after="0" w:line="254" w:lineRule="auto"/>
        <w:rPr>
          <w:sz w:val="20"/>
          <w:szCs w:val="20"/>
          <w:color w:val="auto"/>
        </w:rPr>
      </w:pPr>
      <w:r>
        <w:rPr>
          <w:rFonts w:ascii="Arial" w:cs="Arial" w:eastAsia="Arial" w:hAnsi="Arial"/>
          <w:sz w:val="18"/>
          <w:szCs w:val="18"/>
          <w:color w:val="auto"/>
        </w:rPr>
        <w:t>marketing services, $0.9 million in higher travel expenses, and $0.7 million in higher broker commissions in the year ended December 31, 2018 compared to the prior year. Selling, general and administrative expenses in 2017 include $1.2 million primarily related to disputed fees resulting from the co-manufacturer’s failure to meet agreed upon minimum production and expedited outbound freight expenses we incurred for alternative arrangements after we terminated the exclusive supply agreement with this co-manufacturer.</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As a result of the termination in May 2017 of an exclusive supply agreement with one of our co- 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 primarily related to legal and other expenses associated with the dispute. See Note 9 to the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In 2018, we recorded $1.5 million in restructuring expenses related to this dispute, which consisted primarily of legal and other expenses. See Note 3 to the financial statements included elsewhere in this prospectus. As of December 31, 2017 and 2018, there were no accrued unpaid liabilities associated with this contract termination, although we continue to incur legal fees in connection with our ongoing efforts to resolve this dispute. See “Business —Legal Proceedings” included elsewhere in this prospectus.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8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2017 and 2018, we recorded income tax expense of $5,000 and $1,000, respectively. These amounts primarily consist of income taxes for state jurisdictions which have minimum tax requirements. No tax benefit was provided for losses incurred because those losses are offset by a full valuation allowance.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2017</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Gross Fresh Platform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2,127.4%</w:t>
            </w:r>
          </w:p>
        </w:tc>
      </w:tr>
      <w:tr>
        <w:trPr>
          <w:trHeight w:val="277"/>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 Platform</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78.4</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24"/>
                <w:szCs w:val="24"/>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25,490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84.7</w:t>
            </w:r>
          </w:p>
        </w:tc>
      </w:tr>
      <w:tr>
        <w:trPr>
          <w:trHeight w:val="257"/>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3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67" w:name="page68"/>
    <w:bookmarkEnd w:id="67"/>
    <w:p>
      <w:pPr>
        <w:ind w:right="80" w:firstLine="324"/>
        <w:spacing w:after="0" w:line="252" w:lineRule="auto"/>
        <w:rPr>
          <w:sz w:val="20"/>
          <w:szCs w:val="20"/>
          <w:color w:val="auto"/>
        </w:rPr>
      </w:pPr>
      <w:r>
        <w:rPr>
          <w:rFonts w:ascii="Arial" w:cs="Arial" w:eastAsia="Arial" w:hAnsi="Arial"/>
          <w:sz w:val="18"/>
          <w:szCs w:val="18"/>
          <w:color w:val="auto"/>
        </w:rPr>
        <w:t>Net revenues increased by $16.4 million, or 101.3%, from 2016 to 2017 primarily due to strong growth in sales volumes of products in our fresh platform across both our retail and our restaurant and foodservice channels. Gross revenues from sales of products in our fresh platform increased $17.3 million, or 2,127.4%, primarily due to increases in sales of the Beyond Burger, which was first available commercially in the second quarter of 2016. Net revenues from retail sales increased by $13.1 million, or 106.5%, due primarily to the increase in sales of the Beyond Burger and modest growth in sales of products in our frozen platform. Net revenues from sales through our restaurant and foodservice channel increased $3.3 million, or 84.7%, primarily due to the national launch of the Beyond Burger, which resulted in it being served in approximately 10,000 restaurant and foodservice outlets.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ind w:left="320"/>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8"/>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3,438.9 %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Cost of Goods Sold</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5"/>
          </w:tcPr>
          <w:p>
            <w:pPr>
              <w:ind w:left="20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22,494</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Cost of goods sold increased by $ 12.3 million, or 54.6%, from 2016 to 2017, primarily due to the increase in the sales volume of our products. Cost of goods sold includes the write-off of discontinued product inventories totaling $1.2 million in 2016, principally from the discontinuation of one line of frozen products after production began, but before formal commercial launch. Cost of goods sold in 2017 includes $2.4 million in write-off of unrecoverable inventory related to the termination of an exclusive agreement with our co-manufacturer at the time. See “Business—Legal Proceedings” and Note 3, </w:t>
      </w:r>
      <w:r>
        <w:rPr>
          <w:rFonts w:ascii="Arial" w:cs="Arial" w:eastAsia="Arial" w:hAnsi="Arial"/>
          <w:sz w:val="18"/>
          <w:szCs w:val="18"/>
          <w:i w:val="1"/>
          <w:iCs w:val="1"/>
          <w:color w:val="auto"/>
        </w:rPr>
        <w:t>Restructuring</w:t>
      </w:r>
      <w:r>
        <w:rPr>
          <w:rFonts w:ascii="Arial" w:cs="Arial" w:eastAsia="Arial" w:hAnsi="Arial"/>
          <w:sz w:val="18"/>
          <w:szCs w:val="18"/>
          <w:color w:val="auto"/>
        </w:rPr>
        <w:t>, to the Notes to Financial Statements included elsewhere in this prospectus for a description of the termination of this exclusive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82"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i w:val="1"/>
          <w:iCs w:val="1"/>
          <w:color w:val="auto"/>
        </w:rPr>
        <w:t>Gross Loss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60" w:type="dxa"/>
            <w:vAlign w:val="bottom"/>
            <w:gridSpan w:val="5"/>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68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spacing w:after="0"/>
              <w:rPr>
                <w:sz w:val="19"/>
                <w:szCs w:val="19"/>
                <w:color w:val="auto"/>
              </w:rPr>
            </w:pPr>
          </w:p>
        </w:tc>
      </w:tr>
      <w:tr>
        <w:trPr>
          <w:trHeight w:val="216"/>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N/A</w:t>
            </w:r>
          </w:p>
        </w:tc>
      </w:tr>
      <w:tr>
        <w:trPr>
          <w:trHeight w:val="25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Gross loss in 2016 was $6.3 million compared to gross loss of $ 2.2 million in 2017, an improvement of $4.1 million. The improvement in gross loss and gross margin was primarily due to an increase in the amount of products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60" w:type="dxa"/>
            <w:vAlign w:val="bottom"/>
            <w:gridSpan w:val="3"/>
          </w:tcPr>
          <w:p>
            <w:pPr>
              <w:ind w:left="11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spacing w:after="0"/>
              <w:rPr>
                <w:sz w:val="19"/>
                <w:szCs w:val="19"/>
                <w:color w:val="auto"/>
              </w:rPr>
            </w:pPr>
          </w:p>
        </w:tc>
      </w:tr>
      <w:tr>
        <w:trPr>
          <w:trHeight w:val="216"/>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Research and development expenses from 2016 to 2017 were essentially flat, decreasing by $60,000 or 1.0%. Although research and development was flat, there were significant decreases in spend due to product development costs associated with the launch and scale-up of the Beyond Burger in 2016 which were absent in 2017, offset by significant expenses related to our investment in our Manhattan Beach Project Innovation Center and the hiring of new research scientists in 2017 to support our innovation program. Research and development headcount increased approximately 24.2% from 2016 to 2017.</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Selling, general and administrative expenses increased by $4.5 million, or 35.3%, from 2016 to 2017. The increase was primarily due to $1.2 million in higher outbound freight expenses, $1.9 million in higher salaries and related expenses due to a 18.5% increase in headcount, $0.3 million in higher rent expense from additional facilities and $0.3 million in higher professional fees in 2017 compared to 2016. Selling, general and administrative expenses in 2016 included $2.9 million in costs to transition certain manufacturing and packaging operations from our manufacturing facility in Columbia, Missouri to a third-party co-manufacturer. Selling, general and administrative expenses in 2017 include $1.2 million primarily relating to disputed fees resulting from a co-manufacturer’s failure to meet agreed upon minimum production and expedited outbound freight expenses we incurred for alternative arrangements after we terminated the exclusive supply agreement with this co-manufacturer.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a result of the termination in May 2017 of an exclusive supply agreement with one of our co-manufacturers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72" w:right="23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 xml:space="preserve">primarily related to legal and other expenses associated with the dispute.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to the Notes to Financial Statements included elsewhere in this prospectus. As of December 31, 2017, there were no accrued unpaid liabilities associated with this contract termination, although we continue to incur legal fees in connection with our ongoing efforts to resolve this dispute. See “Business—Legal Proceedings” included elsewhere in this prospectus.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69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69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have provided a 100% valuation allowance on our deferred tax assets. Provision for income taxes in 2016 and 2017 was primarily for cash taxes payable to various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periods presented. In management’s opinion, the data below have been prepared on the same basis as the audited financial statements included elsewhere in this prospectus and reflect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5"/>
              <w:spacing w:after="0" w:line="140" w:lineRule="exact"/>
              <w:rPr>
                <w:sz w:val="20"/>
                <w:szCs w:val="20"/>
                <w:color w:val="auto"/>
              </w:rPr>
            </w:pPr>
            <w:r>
              <w:rPr>
                <w:rFonts w:ascii="Arial" w:cs="Arial" w:eastAsia="Arial" w:hAnsi="Arial"/>
                <w:sz w:val="13"/>
                <w:szCs w:val="13"/>
                <w:b w:val="1"/>
                <w:bCs w:val="1"/>
                <w:color w:val="auto"/>
              </w:rPr>
              <w:t>Apr. 1,</w:t>
            </w:r>
          </w:p>
        </w:tc>
        <w:tc>
          <w:tcPr>
            <w:tcW w:w="180" w:type="dxa"/>
            <w:vAlign w:val="bottom"/>
          </w:tcPr>
          <w:p>
            <w:pPr>
              <w:spacing w:after="0"/>
              <w:rPr>
                <w:sz w:val="12"/>
                <w:szCs w:val="12"/>
                <w:color w:val="auto"/>
              </w:rPr>
            </w:pPr>
          </w:p>
        </w:tc>
        <w:tc>
          <w:tcPr>
            <w:tcW w:w="740" w:type="dxa"/>
            <w:vAlign w:val="bottom"/>
          </w:tcPr>
          <w:p>
            <w:pPr>
              <w:jc w:val="right"/>
              <w:ind w:right="225"/>
              <w:spacing w:after="0" w:line="140" w:lineRule="exact"/>
              <w:rPr>
                <w:sz w:val="20"/>
                <w:szCs w:val="20"/>
                <w:color w:val="auto"/>
              </w:rPr>
            </w:pPr>
            <w:r>
              <w:rPr>
                <w:rFonts w:ascii="Arial" w:cs="Arial" w:eastAsia="Arial" w:hAnsi="Arial"/>
                <w:sz w:val="13"/>
                <w:szCs w:val="13"/>
                <w:b w:val="1"/>
                <w:bCs w:val="1"/>
                <w:color w:val="auto"/>
              </w:rPr>
              <w:t>Jul. 1,</w:t>
            </w:r>
          </w:p>
        </w:tc>
        <w:tc>
          <w:tcPr>
            <w:tcW w:w="160" w:type="dxa"/>
            <w:vAlign w:val="bottom"/>
          </w:tcPr>
          <w:p>
            <w:pPr>
              <w:spacing w:after="0"/>
              <w:rPr>
                <w:sz w:val="12"/>
                <w:szCs w:val="12"/>
                <w:color w:val="auto"/>
              </w:rPr>
            </w:pPr>
          </w:p>
        </w:tc>
        <w:tc>
          <w:tcPr>
            <w:tcW w:w="740" w:type="dxa"/>
            <w:vAlign w:val="bottom"/>
          </w:tcPr>
          <w:p>
            <w:pPr>
              <w:jc w:val="right"/>
              <w:ind w:right="145"/>
              <w:spacing w:after="0" w:line="140" w:lineRule="exact"/>
              <w:rPr>
                <w:sz w:val="20"/>
                <w:szCs w:val="20"/>
                <w:color w:val="auto"/>
              </w:rPr>
            </w:pPr>
            <w:r>
              <w:rPr>
                <w:rFonts w:ascii="Arial" w:cs="Arial" w:eastAsia="Arial" w:hAnsi="Arial"/>
                <w:sz w:val="13"/>
                <w:szCs w:val="13"/>
                <w:b w:val="1"/>
                <w:bCs w:val="1"/>
                <w:color w:val="auto"/>
              </w:rPr>
              <w:t>Sep. 30,</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Dec. 31,</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Jun. 30,</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Sep. 29,</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760" w:type="dxa"/>
            <w:vAlign w:val="bottom"/>
          </w:tcPr>
          <w:p>
            <w:pPr>
              <w:jc w:val="right"/>
              <w:ind w:right="285"/>
              <w:spacing w:after="0" w:line="144"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74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40" w:type="dxa"/>
            <w:vAlign w:val="bottom"/>
          </w:tcPr>
          <w:p>
            <w:pPr>
              <w:jc w:val="right"/>
              <w:ind w:right="24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60" w:type="dxa"/>
            <w:vAlign w:val="bottom"/>
          </w:tcPr>
          <w:p>
            <w:pPr>
              <w:jc w:val="right"/>
              <w:ind w:right="24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920" w:type="dxa"/>
            <w:vAlign w:val="bottom"/>
            <w:gridSpan w:val="2"/>
          </w:tcPr>
          <w:p>
            <w:pPr>
              <w:jc w:val="right"/>
              <w:ind w:right="6"/>
              <w:spacing w:after="0" w:line="144" w:lineRule="exact"/>
              <w:rPr>
                <w:sz w:val="20"/>
                <w:szCs w:val="20"/>
                <w:color w:val="auto"/>
              </w:rPr>
            </w:pPr>
            <w:r>
              <w:rPr>
                <w:rFonts w:ascii="Arial" w:cs="Arial" w:eastAsia="Arial" w:hAnsi="Arial"/>
                <w:sz w:val="13"/>
                <w:szCs w:val="13"/>
                <w:b w:val="1"/>
                <w:bCs w:val="1"/>
                <w:color w:val="auto"/>
              </w:rPr>
              <w:t>Mar. 30, 2019</w:t>
            </w:r>
          </w:p>
        </w:tc>
        <w:tc>
          <w:tcPr>
            <w:tcW w:w="92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June 29, 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6,173</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5,565</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9,391</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11,452</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12,776</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17,367</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26,277</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31,514</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40,206</w:t>
            </w:r>
          </w:p>
        </w:tc>
        <w:tc>
          <w:tcPr>
            <w:tcW w:w="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67,251</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Cost of goods sold</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6,210</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9,068</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8,972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10,522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10,719</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14,755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21,235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23,651</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29,435</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44,510</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Gross (loss) profit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(37)</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(3,503)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419</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930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2,057</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2,612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5,042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7,863</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10,771</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22,741</w:t>
            </w:r>
          </w:p>
        </w:tc>
        <w:tc>
          <w:tcPr>
            <w:tcW w:w="0" w:type="dxa"/>
            <w:vAlign w:val="bottom"/>
          </w:tcPr>
          <w:p>
            <w:pPr>
              <w:spacing w:after="0"/>
              <w:rPr>
                <w:sz w:val="1"/>
                <w:szCs w:val="1"/>
                <w:color w:val="auto"/>
              </w:rPr>
            </w:pPr>
          </w:p>
        </w:tc>
      </w:tr>
      <w:tr>
        <w:trPr>
          <w:trHeight w:val="147"/>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Gross margin</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(62.9)%</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Research and development expenses</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1,409</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1,181</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1,470</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1,662</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1,605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2,497</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2,165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3,320</w:t>
            </w: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4,498</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4,212</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w w:val="98"/>
              </w:rPr>
              <w:t>Selling, general and administrative expenses</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3,413</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3,934</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5,006</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4,790</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5,737</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7,043</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10,353</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11,328</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11,177</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15,515</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Restructuring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2,463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596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431</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294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348</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528</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345</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394</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847</w:t>
            </w:r>
          </w:p>
        </w:tc>
        <w:tc>
          <w:tcPr>
            <w:tcW w:w="0" w:type="dxa"/>
            <w:vAlign w:val="bottom"/>
          </w:tcPr>
          <w:p>
            <w:pPr>
              <w:spacing w:after="0"/>
              <w:rPr>
                <w:sz w:val="1"/>
                <w:szCs w:val="1"/>
                <w:color w:val="auto"/>
              </w:rPr>
            </w:pPr>
          </w:p>
        </w:tc>
      </w:tr>
      <w:tr>
        <w:trPr>
          <w:trHeight w:val="188"/>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Total operating expenses</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05"/>
              <w:spacing w:after="0"/>
              <w:rPr>
                <w:sz w:val="20"/>
                <w:szCs w:val="20"/>
                <w:color w:val="auto"/>
              </w:rPr>
            </w:pPr>
            <w:r>
              <w:rPr>
                <w:rFonts w:ascii="Arial" w:cs="Arial" w:eastAsia="Arial" w:hAnsi="Arial"/>
                <w:sz w:val="11"/>
                <w:szCs w:val="11"/>
                <w:color w:val="auto"/>
              </w:rPr>
              <w:t>4,841</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05"/>
              <w:spacing w:after="0"/>
              <w:rPr>
                <w:sz w:val="20"/>
                <w:szCs w:val="20"/>
                <w:color w:val="auto"/>
              </w:rPr>
            </w:pPr>
            <w:r>
              <w:rPr>
                <w:rFonts w:ascii="Arial" w:cs="Arial" w:eastAsia="Arial" w:hAnsi="Arial"/>
                <w:sz w:val="11"/>
                <w:szCs w:val="11"/>
                <w:color w:val="auto"/>
              </w:rPr>
              <w:t>7,578</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7,072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6,883</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7,636</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9,888</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13,046</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14,993</w:t>
            </w:r>
          </w:p>
        </w:tc>
        <w:tc>
          <w:tcPr>
            <w:tcW w:w="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16,069</w:t>
            </w: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20,574</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Income (loss) from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(4,878)</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(11,081)</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(6,653)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(5,953)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(5,579)</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(7,276)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(8,004)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(7,130)</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(5,298)</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2,167</w:t>
            </w:r>
          </w:p>
        </w:tc>
        <w:tc>
          <w:tcPr>
            <w:tcW w:w="0" w:type="dxa"/>
            <w:vAlign w:val="bottom"/>
          </w:tcPr>
          <w:p>
            <w:pPr>
              <w:spacing w:after="0"/>
              <w:rPr>
                <w:sz w:val="1"/>
                <w:szCs w:val="1"/>
                <w:color w:val="auto"/>
              </w:rPr>
            </w:pPr>
          </w:p>
        </w:tc>
      </w:tr>
      <w:tr>
        <w:trPr>
          <w:trHeight w:val="242"/>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Other expense, net:</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(30)</w:t>
            </w: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(38)</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(416)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(518)</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(28)</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(313)</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(740)</w:t>
            </w: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(733)</w:t>
            </w: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Other (expense) income, net</w:t>
            </w:r>
          </w:p>
        </w:tc>
        <w:tc>
          <w:tcPr>
            <w:tcW w:w="18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(92)</w:t>
            </w:r>
          </w:p>
        </w:tc>
        <w:tc>
          <w:tcPr>
            <w:tcW w:w="18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(96)</w:t>
            </w:r>
          </w:p>
        </w:tc>
        <w:tc>
          <w:tcPr>
            <w:tcW w:w="160" w:type="dxa"/>
            <w:vAlign w:val="bottom"/>
          </w:tcPr>
          <w:p>
            <w:pPr>
              <w:spacing w:after="0"/>
              <w:rPr>
                <w:sz w:val="16"/>
                <w:szCs w:val="16"/>
                <w:color w:val="auto"/>
              </w:rPr>
            </w:pP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(532)</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(1,025)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419</w:t>
            </w:r>
          </w:p>
        </w:tc>
        <w:tc>
          <w:tcPr>
            <w:tcW w:w="280" w:type="dxa"/>
            <w:vAlign w:val="bottom"/>
          </w:tcPr>
          <w:p>
            <w:pPr>
              <w:spacing w:after="0"/>
              <w:rPr>
                <w:sz w:val="16"/>
                <w:szCs w:val="16"/>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(618)</w:t>
            </w:r>
          </w:p>
        </w:tc>
        <w:tc>
          <w:tcPr>
            <w:tcW w:w="260" w:type="dxa"/>
            <w:vAlign w:val="bottom"/>
          </w:tcPr>
          <w:p>
            <w:pPr>
              <w:spacing w:after="0"/>
              <w:rPr>
                <w:sz w:val="16"/>
                <w:szCs w:val="16"/>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(10,846)</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other expense, net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(122)</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(134)</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(508)</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(1,050)</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(117)</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(120)</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(1,338)</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(321)</w:t>
            </w: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(1,351)</w:t>
            </w: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(11,587)</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Loss before taxes</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(5,000)</w:t>
            </w: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(11,215)</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(7,161)</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(7,003)</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(5,696)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(7,396)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(9,342)</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(7,451)</w:t>
            </w: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(6,649)</w:t>
            </w: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(9,420)</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Income tax expense</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Net loss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(5,000)</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(11,218)</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(7,161)</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(7,005)</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(5,696)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(7,396)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(9,342)</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(7,452)</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(6,649)</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(9,441)</w:t>
            </w:r>
          </w:p>
        </w:tc>
        <w:tc>
          <w:tcPr>
            <w:tcW w:w="0" w:type="dxa"/>
            <w:vAlign w:val="bottom"/>
          </w:tcPr>
          <w:p>
            <w:pPr>
              <w:spacing w:after="0"/>
              <w:rPr>
                <w:sz w:val="1"/>
                <w:szCs w:val="1"/>
                <w:color w:val="auto"/>
              </w:rPr>
            </w:pPr>
          </w:p>
        </w:tc>
      </w:tr>
      <w:tr>
        <w:trPr>
          <w:trHeight w:val="103"/>
        </w:trPr>
        <w:tc>
          <w:tcPr>
            <w:tcW w:w="2220" w:type="dxa"/>
            <w:vAlign w:val="bottom"/>
            <w:gridSpan w:val="3"/>
          </w:tcPr>
          <w:p>
            <w:pPr>
              <w:ind w:left="40"/>
              <w:spacing w:after="0" w:line="103" w:lineRule="exact"/>
              <w:rPr>
                <w:sz w:val="20"/>
                <w:szCs w:val="20"/>
                <w:color w:val="auto"/>
              </w:rPr>
            </w:pPr>
            <w:r>
              <w:rPr>
                <w:rFonts w:ascii="Arial" w:cs="Arial" w:eastAsia="Arial" w:hAnsi="Arial"/>
                <w:sz w:val="11"/>
                <w:szCs w:val="11"/>
                <w:color w:val="auto"/>
              </w:rPr>
              <w:t>Net loss per common share—basic and</w:t>
            </w:r>
          </w:p>
        </w:tc>
        <w:tc>
          <w:tcPr>
            <w:tcW w:w="1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85"/>
              <w:spacing w:after="0"/>
              <w:rPr>
                <w:sz w:val="20"/>
                <w:szCs w:val="20"/>
                <w:color w:val="auto"/>
              </w:rPr>
            </w:pPr>
            <w:r>
              <w:rPr>
                <w:rFonts w:ascii="Arial" w:cs="Arial" w:eastAsia="Arial" w:hAnsi="Arial"/>
                <w:sz w:val="11"/>
                <w:szCs w:val="11"/>
                <w:color w:val="auto"/>
              </w:rPr>
              <w:t>(0.95)</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65"/>
              <w:spacing w:after="0"/>
              <w:rPr>
                <w:sz w:val="20"/>
                <w:szCs w:val="20"/>
                <w:color w:val="auto"/>
              </w:rPr>
            </w:pPr>
            <w:r>
              <w:rPr>
                <w:rFonts w:ascii="Arial" w:cs="Arial" w:eastAsia="Arial" w:hAnsi="Arial"/>
                <w:sz w:val="11"/>
                <w:szCs w:val="11"/>
                <w:color w:val="auto"/>
              </w:rPr>
              <w:t>(2.11)</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25"/>
              <w:spacing w:after="0"/>
              <w:rPr>
                <w:sz w:val="20"/>
                <w:szCs w:val="20"/>
                <w:color w:val="auto"/>
              </w:rPr>
            </w:pPr>
            <w:r>
              <w:rPr>
                <w:rFonts w:ascii="Arial" w:cs="Arial" w:eastAsia="Arial" w:hAnsi="Arial"/>
                <w:sz w:val="11"/>
                <w:szCs w:val="11"/>
                <w:color w:val="auto"/>
              </w:rPr>
              <w:t>(1.3)</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25"/>
              <w:spacing w:after="0"/>
              <w:rPr>
                <w:sz w:val="20"/>
                <w:szCs w:val="20"/>
                <w:color w:val="auto"/>
              </w:rPr>
            </w:pPr>
            <w:r>
              <w:rPr>
                <w:rFonts w:ascii="Arial" w:cs="Arial" w:eastAsia="Arial" w:hAnsi="Arial"/>
                <w:sz w:val="11"/>
                <w:szCs w:val="11"/>
                <w:color w:val="auto"/>
              </w:rPr>
              <w:t>(1.23)</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(0.98)</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(1.22)</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(1.45)</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(1.1)</w:t>
            </w:r>
          </w:p>
        </w:tc>
        <w:tc>
          <w:tcPr>
            <w:tcW w:w="280" w:type="dxa"/>
            <w:vAlign w:val="bottom"/>
            <w:vMerge w:val="restart"/>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(0.95)</w:t>
            </w:r>
          </w:p>
        </w:tc>
        <w:tc>
          <w:tcPr>
            <w:tcW w:w="260" w:type="dxa"/>
            <w:vAlign w:val="bottom"/>
            <w:vMerge w:val="restart"/>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(0.24)</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1"/>
                <w:szCs w:val="11"/>
                <w:color w:val="auto"/>
              </w:rPr>
            </w:pPr>
          </w:p>
        </w:tc>
        <w:tc>
          <w:tcPr>
            <w:tcW w:w="2180" w:type="dxa"/>
            <w:vAlign w:val="bottom"/>
            <w:gridSpan w:val="2"/>
          </w:tcPr>
          <w:p>
            <w:pPr>
              <w:ind w:left="160"/>
              <w:spacing w:after="0"/>
              <w:rPr>
                <w:sz w:val="20"/>
                <w:szCs w:val="20"/>
                <w:color w:val="auto"/>
              </w:rPr>
            </w:pPr>
            <w:r>
              <w:rPr>
                <w:rFonts w:ascii="Arial" w:cs="Arial" w:eastAsia="Arial" w:hAnsi="Arial"/>
                <w:sz w:val="11"/>
                <w:szCs w:val="11"/>
                <w:color w:val="auto"/>
              </w:rPr>
              <w:t>diluted</w:t>
            </w:r>
          </w:p>
        </w:tc>
        <w:tc>
          <w:tcPr>
            <w:tcW w:w="1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net revenues have generally increased in each quarter presented with the exception of the quarter ended July 1, 2017 primarily due to increased sales. Net revenues in the quarter ended July 1, 2017, declined due to production challenges but increased significantly in subsequent quarters as production capacity increased and as we brought new customers on board. Cost of goods sold in the quarter ended July 1, 2017 increased due to inefficiencies from production challenges resulting in the lowest gross profit among the periods presented. With the exception of the quarter ended July 1, 2017, gross profit and gross margin continued to grow in the periods presented as net revenues increased. Net revenues and gross profit in the three months ended June 29, 2019, increased significantly due to seasonal trends, as well as product innovation launches, and new foodservice distribution expansion. We achieved income from operations in the three months ended June 29, 2019 as compared to loss from operations in all the previous quarters. We cannot assure you that this pattern of sequential growth in net revenues and/or gross profit and gross margin will continue. We anticipate that gross profit and gross margin may fluctuate from quarter to quarter because of variability in our production volumes and product mix.</w:t>
      </w:r>
    </w:p>
    <w:p>
      <w:pPr>
        <w:spacing w:after="0" w:line="158"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operating expenses generally have increased sequentially in each quarter primarily due to increases in headcount and related expenses to support our growth. Production challenges and cost of terminating a supply agreement with one of our contract manufacturers significantly impacted our quarter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68" w:right="239" w:bottom="1440" w:gutter="0" w:footer="0" w:header="0"/>
        </w:sectPr>
      </w:pPr>
    </w:p>
    <w:bookmarkStart w:id="71" w:name="page72"/>
    <w:bookmarkEnd w:id="71"/>
    <w:p>
      <w:pPr>
        <w:ind w:right="260"/>
        <w:spacing w:after="0" w:line="252" w:lineRule="auto"/>
        <w:rPr>
          <w:sz w:val="20"/>
          <w:szCs w:val="20"/>
          <w:color w:val="auto"/>
        </w:rPr>
      </w:pPr>
      <w:r>
        <w:rPr>
          <w:rFonts w:ascii="Arial" w:cs="Arial" w:eastAsia="Arial" w:hAnsi="Arial"/>
          <w:sz w:val="18"/>
          <w:szCs w:val="18"/>
          <w:color w:val="auto"/>
        </w:rPr>
        <w:t>ended July 1, 2017. Quarterly fluctuations in our costs and expenses overall primarily reflect changes in our headcount. Research and development expenses have fluctuated based on the timing of personnel additions and related innovation expenditures. Selling, general and administrative expenses fluctuated within a narrow range in the quarterly periods in 2017 but fluctuated within a wider range and increased substantially in the quarterly periods in 2018 and 2019 compared to the quarterly periods in 2017 primarily due to increases in headcount, marketing and other professional service fees, scale-up expenses, supply chain expenses, broker commissions, and outbound freight expenses</w:t>
      </w:r>
    </w:p>
    <w:p>
      <w:pPr>
        <w:spacing w:after="0" w:line="15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anticipate our operating expenses will continue to increase in absolute dollars in future periods as we invest in the long-term growth of our business. Historical patterns should not be considered a reliable indicator of our future sales activity or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June 29, 2019,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including 1,443,750 shares pursuant to the underwriters’ over-allotment option, at an IPO price of $25.00 per share and received approximately $252.4 million in net proceeds. We have also entered into the credit facilities described below with Silicon Valley Bank, or SVB.</w:t>
      </w:r>
    </w:p>
    <w:p>
      <w:pPr>
        <w:spacing w:after="0" w:line="15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As of June 29, 2019, we had $277.0 million in cash and cash equivalents. We believe that our cash and cash equivalents, cash flow from operating activities and available borrowings under our credit facilities will be sufficient to fund our working capital and meet our anticipated capital requirements for at least the next 12 months. Our future capital requirements may vary materially from those currently planned and will depend on many factors, including the number and characteristics of any additional products or manufacturing processes we develop or acquire to serve new or existing markets;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 enforcing patent claims, including litigation costs and the outcome of such litigation; and the timing, receipt and amount of sales of, or royalties on, any future approved products, if any.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June 2018, we refinanced our then existing revolving credit facility and term loan facility under a loan and security agreement with SVB, or the Amended LSA. The Amended LSA includes a $6.0 million revolving credit facility, or the 2018 Revolving Credit Facility, and a term loan facility, or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59"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2018 Term Loan Facility and the 2018 Revolving Credit Facility, which we collectively refer to as the SVB Credit Facilities, contain customary negative covenants that limit our ability to, among other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82" w:right="239" w:bottom="1440" w:gutter="0" w:footer="0" w:header="0"/>
        </w:sectPr>
      </w:pPr>
    </w:p>
    <w:bookmarkStart w:id="72" w:name="page73"/>
    <w:bookmarkEnd w:id="72"/>
    <w:p>
      <w:pPr>
        <w:ind w:right="260"/>
        <w:spacing w:after="0" w:line="254" w:lineRule="auto"/>
        <w:rPr>
          <w:sz w:val="20"/>
          <w:szCs w:val="20"/>
          <w:color w:val="auto"/>
        </w:rPr>
      </w:pPr>
      <w:r>
        <w:rPr>
          <w:rFonts w:ascii="Arial" w:cs="Arial" w:eastAsia="Arial" w:hAnsi="Arial"/>
          <w:sz w:val="18"/>
          <w:szCs w:val="18"/>
          <w:color w:val="auto"/>
        </w:rPr>
        <w:t>things, incur additional indebtedness, grant liens, make investments, repurchase stock, pay dividends, transfer assets and merge or consolidate. The SVB Credit Facilities are secured by a blanket lien on all of our personal property assets. The SVB Credit Facilities also contain customary affirmative covenants, including delivery of audited financial statements. We were in compliance with the covenants in the SVB Credit Facilities as of June 29, 2019.</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June 29, 2019 and December 31, 2018, we had $6.0 million and $20.0 million in borrowings on the 2018 Revolving Credit Facility and 2018 Term Loan Facility, respectively, and had no availability to borrow under either of these loan facilities. In the three and six months ended June 29, 2019 and June 30, 2018, we incurred $0.5 million and $ 22,000, respectively, in interest expense related to SVB credit facilities. In the six months ended June 29, 2019 and June 30, 2018, we incurred $1.1 million and $40,000, respectively, in interest expense related to the SVB credit facilities. The interest rates on the 2018 Revolving Credit Facility and the 2018 Term Loan Facility at June 29, 2019 were 6.25% and 9.50%,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In September 2018, we entered into an Equipment Loan and Security Agreement with Structural Capital Investments II, LP, or Structural Capital, and Ocean II PLO, LLC, as administrative and collateral agent, pursuant to which Structural Capital agreed to provide an equipment loan facility to us in the amount of $5.0 million for the purpose of purchasing equipment.</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required to pay interest on any unpaid principal amounts at a per annum rate equal to 6.25% plus the greater of 4.75% or the prime rate then in effect. Interest on each advance made to us is due and payable on the first business day of each month. We must begin repaying the aggregate principal amount of all advances we have received in equal monthly installments beginning on June 30, 2019, which may be extended for six or 18 months depending on whether we achieve certain milestones. As of June 30, 2019, we achieved all of the milestones and, therefore, monthly installment repayments of principal are expected to begin on December 31, 2020. The unpaid balance of all advances will become due on May 1, 2022. We must also pay a final payment fee of 13% of the facility commitment amount on the maturity date and such other date as the advances become due and such fee will increase by 1% if certain milestones are achieved.</w:t>
      </w:r>
    </w:p>
    <w:p>
      <w:pPr>
        <w:spacing w:after="0" w:line="153"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equipment loan facility has a prepayment penalty of 2% during the first two years of the term and 1% thereafter. The facility contains customary negative covenants that limit our ability to, among other things, grant liens, repurchase stock, pay dividends, transfer assets and merge or consolidate. It is secured by all equipment purchased with cash borrowed under the facility and all of our accounts, money, books, records and any cash or noncash proceeds of the foregoing. The facility also contains customary affirmative covenants, including delivery of audited financial statements. We were in compliance with the covenants contained in the equipment loan facility as of June 29, 2019.</w:t>
      </w:r>
    </w:p>
    <w:p>
      <w:pPr>
        <w:spacing w:after="0" w:line="1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had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we recorded $0.2 million and $0, respectively, in interest expense related to the equipment loan facility. For the six months ended June 29, 2019 and June 30, 2018, we recorded $0.3 million and $0, respectively, in interest expense related to the equipment loan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8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7"/>
                <w:szCs w:val="17"/>
                <w:color w:val="auto"/>
              </w:rPr>
            </w:pPr>
          </w:p>
        </w:tc>
        <w:tc>
          <w:tcPr>
            <w:tcW w:w="122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29,</w:t>
            </w: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14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72"/>
              <w:spacing w:after="0" w:line="181"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472"/>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(used in) provided by: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(23,495)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(25,273)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(37,721)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(22,366)</w:t>
            </w:r>
          </w:p>
        </w:tc>
      </w:tr>
      <w:tr>
        <w:trPr>
          <w:trHeight w:val="277"/>
        </w:trPr>
        <w:tc>
          <w:tcPr>
            <w:tcW w:w="40" w:type="dxa"/>
            <w:vAlign w:val="bottom"/>
            <w:shd w:val="clear" w:color="auto" w:fill="CCEEFF"/>
          </w:tcPr>
          <w:p>
            <w:pPr>
              <w:spacing w:after="0"/>
              <w:rPr>
                <w:sz w:val="24"/>
                <w:szCs w:val="24"/>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r>
      <w:tr>
        <w:trPr>
          <w:trHeight w:val="257"/>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31,914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76,199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255,960</w:t>
            </w:r>
          </w:p>
        </w:tc>
      </w:tr>
    </w:tbl>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2016, we incurred a net loss of $25.1 million, which was the primary reason for net cash used in operating activities of $23.5 million. Net cash used in operating activities also included $1.5 million in net cash outflows from changes in our operating assets and liabilities, fully offset by $3.1 million in non-cash expenses, comprised of change in warrant liability depreciation and amortization expense, and share-based compensation expense.</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2017, we incurred a net loss of $30.4 million, which was the primary reason for net cash used in operating activities of $25.3 million. Net cash used in operating activities also included $2.6 million in net cash outflows from changes in our operating assets and liabilities, fully offset by $5.4 million in non-cash expenses comprised of depreciation and amortization expense, share-based compensation expense, convertible note-related expense and change in warrant liability. In 2017, net loss included a non-cash restructuring loss of $2.3 million on the write-off of fixed assets related to our termination of an exclusive supply agreement with a co-manufacturer.</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2018, we incurred a net loss of $29.9 million, which was the primary reason for net cash used in operating activities of $37.7 million. Net cash used in operating activities also included $16.3 million in net cash outflows from changes in our operating assets and liabilities, partially offset by $8.5 million in non-cash expenses comprised of depreciation and amortization expense, share-based compensation expense, convertible note-related expense, and change in warrant liability.</w:t>
      </w:r>
    </w:p>
    <w:p>
      <w:pPr>
        <w:spacing w:after="0" w:line="150"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In the six months ended June 30, 2018, we incurred a net loss of $13.1 million, which was the primary reason for net cash used in operating activities of $12.7 million. Net cash used in operating activities also included $2.2 million in net cash outflows from changes in our operating assets and liabilities, partially offset by $2.6 million in non-cash expenses comprised of depreciation and amortization expense, share-based compensation expense, and change in warrant liability.</w:t>
      </w:r>
    </w:p>
    <w:p>
      <w:pPr>
        <w:spacing w:after="0" w:line="1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six months ended June 29, 2019, we incurred a net loss of $16.1 million. The primary reason for net cash used in operating activities of $22.4 million was the $25.5 million in net cash outflows from changes in our operating assets and liabilities, primarily due to increases in accounts receivable and inventory. Net loss in the six months ended June 29, 2019, included $19.2 million in non-cash expenses comprised of change in warrant liability, depreciation and amortization expense and share-based compensation expense.</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Depreciation and amortization expense was $4.0 million and $1.6 million in the six months ended June 29, 2019 and June 30, 2018, respectively. We anticipate our depreciation and amortization expense will be approximately $2.1 million per quarter in 2019 based on our existing fixed assets and anticipated capital expenditures as we expand our production capabilities to meet increased demand for our products.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68" w:right="23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2016, net cash used in investing activities was $ 5.0 million and consisted of cash outflows for the purchases of property, plant and equipment, principally to support the development and production of the Beyond Burger.</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2017, net cash used in investing activities was $8.1 million and consisted of cash outflows for the purchases of property, plant and equipment, principally for the build-out and equipping of our Manhattan Beach Project Innovation Center.</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2018, net cash used in investing activities was $23.2 million and consisted of cash outflows for the purchase of property, plant and equipment, primarily for manufacturing facility improvements and manufacturing equipment.</w:t>
      </w:r>
    </w:p>
    <w:p>
      <w:pPr>
        <w:spacing w:after="0" w:line="14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the six months ended June 30, 2018, net cash used in investing activities was $10.0 million and consisted of cash outflows for purchases of property, plant and equipment, primarily for manufacturing facility improvements and manufacturing equipment.</w:t>
      </w:r>
    </w:p>
    <w:p>
      <w:pPr>
        <w:spacing w:after="0" w:line="14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the six months ended June 29, 2019, net cash used in investing activities was $10.9 million and consisted of $7.5 million in cash outflows for purchases of property, plant and equipment, primarily for manufacturing facility improvements and manufacturing equipment, $3.2 million in cash outflows related to property, plant and equipment purchased for sale to co-manufacturers which we expect will be sold by the end of 2019, and security deposits.</w:t>
      </w:r>
    </w:p>
    <w:p>
      <w:pPr>
        <w:spacing w:after="0" w:line="150"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For the remainder of 2019, we anticipate spending approximately $7.0 million in capital expenditures. In 2020, we anticipate spending approximately $ 40.0 million in capital expenditures as we scale our production capacity, including expenditures for additional machinery and equipment, as well as investment in facilities and expenditures to replace normal wear and tear of machinery and equipment.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Net cash provided by financing activities in 2016, 2017 and 2018 was primarily due to the net proceeds from our issuance of convertible preferred stock and net borrowings under our revolving credit facilities and our term loan facilities.</w:t>
      </w:r>
    </w:p>
    <w:p>
      <w:pPr>
        <w:spacing w:after="0" w:line="14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2016, financing activities provided $31.9 million in cash primarily as a result of $25.8 million of net proceeds from the issuance of our Series E and F preferred stock, net of issuance costs, $4.0 million in proceeds from the issuance of convertible notes that were eventually converted into Series F preferred stock, $1.5 million of proceeds from 2016 Term Loan Facility borrowing, $ 1.6 million in 2016 Revolving Credit Facility borrowings and $0.7 million in proceeds from option exercises, partially offset by payments towards our revolving credit facility borrowings and payments towards our capital lease obligations. Financing and revolving credit facility borrowings were used to finance our operations.</w:t>
      </w:r>
    </w:p>
    <w:p>
      <w:pPr>
        <w:spacing w:after="0" w:line="15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2017, financing activities provided $55.4 million in cash as a result of $43.3 million of proceeds from the issuance of our Series F and G preferred stock, net of issuance costs, $ 10.0 million in proceeds from the issuance of convertible notes that were eventually converted into Series G preferred stock, $2.5 million in 2016 Revolving Credit Facility borrowings and $0.4 million in proceeds from option exercises, partially offset by payments towards our 2016 Revolving Credit Facility borrowings and capital lease obligations. The proceeds from the borrowings were used to finance our operations.</w:t>
      </w:r>
    </w:p>
    <w:p>
      <w:pPr>
        <w:spacing w:after="0" w:line="152"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In 2018, financing activities provided $76.2 million in cash primarily as a result of $51.3 million in net proceeds from the issuance of our Series G and Series H preferred stock, net of issuance costs, $20.0 million in borrowings under our 2018 Term Loan Facility, $6.0 million in borrowings under our 2018 Revolving Credit Facility and $5.0 million in borrowings under an equipment loan facility, partially offset 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68" w:right="239" w:bottom="1440" w:gutter="0" w:footer="0" w:header="0"/>
        </w:sectPr>
      </w:pPr>
    </w:p>
    <w:bookmarkStart w:id="75" w:name="page76"/>
    <w:bookmarkEnd w:id="75"/>
    <w:p>
      <w:pPr>
        <w:ind w:right="820"/>
        <w:spacing w:after="0" w:line="262" w:lineRule="auto"/>
        <w:rPr>
          <w:sz w:val="20"/>
          <w:szCs w:val="20"/>
          <w:color w:val="auto"/>
        </w:rPr>
      </w:pPr>
      <w:r>
        <w:rPr>
          <w:rFonts w:ascii="Arial" w:cs="Arial" w:eastAsia="Arial" w:hAnsi="Arial"/>
          <w:sz w:val="18"/>
          <w:szCs w:val="18"/>
          <w:color w:val="auto"/>
        </w:rPr>
        <w:t>cash outflows for repayment of the Missouri Note, 2016 Revolving Credit Facility and 2016 Term Loan Facility. The proceeds from the borrowings were used to finance our operations.</w:t>
      </w:r>
    </w:p>
    <w:p>
      <w:pPr>
        <w:spacing w:after="0" w:line="14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the six months ended June 30, 2018, net cash provided by financing activities was $7.2 million primarily as a result of $ 10.0 million in proceeds from bank term loan, $1.4 million in net proceeds from the issuance of our Series G preferred stock and $0.9 million in proceeds from stock option exercises, partially offset by $5.0 million in aggregate repayments on our revolving credit line, term loan, and Missouri Note.</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the six months ended June 29, 2019, net cash provided by financing activities was $256.0 million primarily as a result of $255.4 million in net proceeds from our IPO, net of issuance costs, and $0.5 million in proceeds from stock option exercises, partially offset by $21,000 in payments of capital lease obligations.</w:t>
      </w:r>
    </w:p>
    <w:p>
      <w:pPr>
        <w:spacing w:after="0" w:line="14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As of June 29, 2019, we had borrowed the entire availability of $20.0 million under the 2018 Term Loan Facility and $6.0 million under the 2018 Revolving Credit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significant contractual obligations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6"/>
                <w:szCs w:val="16"/>
                <w:b w:val="1"/>
                <w:bCs w:val="1"/>
                <w:color w:val="auto"/>
              </w:rPr>
              <w:t>Payments Due by Period</w:t>
            </w: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26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1160" w:type="dxa"/>
            <w:vAlign w:val="bottom"/>
          </w:tcPr>
          <w:p>
            <w:pPr>
              <w:jc w:val="right"/>
              <w:ind w:right="212"/>
              <w:spacing w:after="0" w:line="181" w:lineRule="exact"/>
              <w:rPr>
                <w:sz w:val="20"/>
                <w:szCs w:val="20"/>
                <w:color w:val="auto"/>
              </w:rPr>
            </w:pPr>
            <w:r>
              <w:rPr>
                <w:rFonts w:ascii="Arial" w:cs="Arial" w:eastAsia="Arial" w:hAnsi="Arial"/>
                <w:sz w:val="16"/>
                <w:szCs w:val="16"/>
                <w:b w:val="1"/>
                <w:bCs w:val="1"/>
                <w:color w:val="auto"/>
              </w:rPr>
              <w:t>One 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w w:val="98"/>
              </w:rPr>
              <w:t>1-3 Years</w:t>
            </w:r>
          </w:p>
        </w:tc>
        <w:tc>
          <w:tcPr>
            <w:tcW w:w="260" w:type="dxa"/>
            <w:vAlign w:val="bottom"/>
          </w:tcPr>
          <w:p>
            <w:pPr>
              <w:spacing w:after="0"/>
              <w:rPr>
                <w:sz w:val="15"/>
                <w:szCs w:val="15"/>
                <w:color w:val="auto"/>
              </w:rPr>
            </w:pPr>
          </w:p>
        </w:tc>
        <w:tc>
          <w:tcPr>
            <w:tcW w:w="134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15"/>
                <w:szCs w:val="15"/>
                <w:color w:val="auto"/>
              </w:rPr>
            </w:pPr>
          </w:p>
        </w:tc>
        <w:tc>
          <w:tcPr>
            <w:tcW w:w="126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obligations</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Equipment lease obligations</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 Revolving Credit Facility</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2018 Term Loan Facility</w:t>
            </w:r>
            <w:r>
              <w:rPr>
                <w:rFonts w:ascii="Arial" w:cs="Arial" w:eastAsia="Arial" w:hAnsi="Arial"/>
                <w:sz w:val="21"/>
                <w:szCs w:val="21"/>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Equipment loan</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1"/>
                <w:szCs w:val="21"/>
                <w:color w:val="auto"/>
                <w:vertAlign w:val="superscript"/>
              </w:rPr>
              <w:t>(6)</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540" w:hanging="332"/>
        <w:spacing w:after="0" w:line="2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lease payments for our Manhattan Beach Project Innovation Center in El Segundo, California and our manufacturing facilities in Columbia, Missouri. Excludes lease payments for our corporate offices which lease was entered into subsequent to December 31, 2018.</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payments under various capital leases for certain equipment.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principal under a revolving credit facility from SVB. Interest accrued at a floating rate.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a term loan with SVB. Includes principal and interest.</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Consists of an equipment loan that we entered into in September 2018 (see Note 6, </w:t>
      </w:r>
      <w:r>
        <w:rPr>
          <w:rFonts w:ascii="Arial" w:cs="Arial" w:eastAsia="Arial" w:hAnsi="Arial"/>
          <w:sz w:val="16"/>
          <w:szCs w:val="16"/>
          <w:i w:val="1"/>
          <w:iCs w:val="1"/>
          <w:color w:val="auto"/>
        </w:rPr>
        <w:t>Debt</w:t>
      </w:r>
      <w:r>
        <w:rPr>
          <w:rFonts w:ascii="Arial" w:cs="Arial" w:eastAsia="Arial" w:hAnsi="Arial"/>
          <w:sz w:val="16"/>
          <w:szCs w:val="16"/>
          <w:color w:val="auto"/>
        </w:rPr>
        <w:t>, to the Notes to Financial Statements included elsewhere in this prospectus). Includes principal and interest.</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commitments entered into in 2018 to purchase pea protein inventory.</w:t>
      </w:r>
    </w:p>
    <w:p>
      <w:pPr>
        <w:spacing w:after="0" w:line="164"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There have been no significant changes during the six months ended June 29, 2019 to the contractual obligations disclosed in the table above other than the following:</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March 1, 2019, we entered into a lease for our principal executive offices in El Segundo, California, for an initial term of five years. The aggregate lease amount for the five-year term is $2.7 million, which is not included in the table above. The future minimum lease payments required under noncancelable lease obligations related to this lease are $2.6 million due through 2023 (approximately $0.5 million annually) and $0.1 million thereafter.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82" w:right="23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the Company had committed to purchase pea protein inventory totaling $28.4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We have one operating segment and one reportable segment, as our chief operating decision maker, who is our Chief Executive Officer, reviews financial information on an aggregate basis for purposes of allocating resources and evaluating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are exposed to certain market risks in the ordinary course of our business. These risks primarily consist of interest rates, raw material prices and inflation as follows: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89"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cash consists of amounts held by third-party financial institutions. In May 2019, upon closing of our IPO, we adopted an investment policy which will have as its primary objective investment activities which preserve principal without significantly increasing risk.</w:t>
      </w:r>
    </w:p>
    <w:p>
      <w:pPr>
        <w:spacing w:after="0" w:line="14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subject to interest rate risk in connection with our SVB Credit Facilities and equipment loan facility. See “—Liquidity and Capital Resources—Credit Facilities” and “—Liquidity and Capital Resources—Equipment Loan Facility” above. Based on the average interest rate on our SVB Credit Facilities and equipment loan facility during the six months ended June 29, 2019 and to the extent that borrowings were outstanding, we do not believe that a 1.0% change in the interest rate would have a material effect on our results of operations or financial condition.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Ingredient Risk</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profitability is dependent on, among other things, our ability to anticipate and react to raw material and food costs. Currently, the main ingredient in our products is pea protein, which we source from Canada and France. The prices of pea protein and other ingredients we use are subject to many factors beyond our control, such as the number and size of farms that grow Canadian and European yellow peas, the vagaries of these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 As of June 29, 2019, a hypothetical 10% increase or 10% decrease in the weighted-average cost of pea protein, our primary ingredient, would have resulted in an increase of approximately $ 1.0 million or a decrease of approximately $ 1.0 million, respectively, to cost of goods sold. We are working to diversify our sources of supply and intend to enter into long-term contracts to better ensure stability of prices of our raw materials.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18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revenues and costs are denominated in U.S. dollars and are not subject to foreign exchange risk. However, to the extent our sourcing strategy changes or we commence generating net revenues outside of the United States that are denominated in currencies other than the U.S. dollar, our results of operations could be impacted by changes in exchange rates.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0"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i w:val="1"/>
          <w:iCs w:val="1"/>
          <w:color w:val="auto"/>
        </w:rPr>
        <w:t>Inflation Risk</w:t>
      </w:r>
    </w:p>
    <w:p>
      <w:pPr>
        <w:spacing w:after="0" w:line="189"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the Notes to Financial Statements and the Notes to Unaudited Condensed Financial Statements, each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 for information about these critical accounting policies, including material changes therein during the six months ended June 29, 2019, as well as a description of our other accounting policies.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While our revenue recognition does not involve significant judgment, it represents an important accounting policy. Our revenues are generated through sales of our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72" w:right="27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i w:val="1"/>
          <w:iCs w:val="1"/>
          <w:color w:val="auto"/>
        </w:rPr>
        <w:t>Share-Based Compensation</w:t>
      </w:r>
    </w:p>
    <w:p>
      <w:pPr>
        <w:spacing w:after="0" w:line="189"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The 2018 Plan provides for the grant of incentive stock options, within the meaning of Section 422 of the Code, to our 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any subsidiary.</w:t>
      </w:r>
    </w:p>
    <w:p>
      <w:pPr>
        <w:spacing w:after="0" w:line="109"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administrator may grant incentive and/or non-statutory stock options under our 2018 Plan, provided that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may only be granted to employees. The exercise price of such options must generally be equal to at least the fair market value of our common stock on the date of grant. The term of an option may not exceed 10 years, subject to certain exceptions.</w:t>
      </w:r>
    </w:p>
    <w:p>
      <w:pPr>
        <w:spacing w:after="0" w:line="11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our 2018 Plan. Stock appreciation rights allow the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appreciation in the fair market value of our common stock between the date of grant and the exercise date.</w:t>
      </w:r>
    </w:p>
    <w:p>
      <w:pPr>
        <w:spacing w:after="0" w:line="99" w:lineRule="exact"/>
        <w:rPr>
          <w:sz w:val="20"/>
          <w:szCs w:val="20"/>
          <w:color w:val="auto"/>
        </w:rPr>
      </w:pPr>
    </w:p>
    <w:p>
      <w:pPr>
        <w:ind w:right="60" w:firstLine="324"/>
        <w:spacing w:after="0" w:line="269"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may be granted under our 2018 Plan. Restricted stock awards are grants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are subject to various restrictions, including restrictions on transferability and forfeiture provisions. Shares of restricted stock will vest and the restrictions on such shares will lapse, in accordance with terms and conditions established by the administrator.</w:t>
      </w:r>
    </w:p>
    <w:p>
      <w:pPr>
        <w:spacing w:after="0" w:line="11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Restricted stock units may be granted under our 2018 Plan, and may include the right to dividend equivalents,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discretion of the administrator. Each restricted stock unit granted is a bookkeeping entry representing an amount equal to the fair market value of one share of our common stock. Vesting criteria may include achievement of specified performance criteria and/or continued service, and the form and timing of payment.</w:t>
      </w:r>
    </w:p>
    <w:p>
      <w:pPr>
        <w:spacing w:after="0" w:line="123" w:lineRule="exact"/>
        <w:rPr>
          <w:sz w:val="20"/>
          <w:szCs w:val="20"/>
          <w:color w:val="auto"/>
        </w:rPr>
      </w:pPr>
    </w:p>
    <w:p>
      <w:pPr>
        <w:jc w:val="both"/>
        <w:ind w:right="40" w:firstLine="324"/>
        <w:spacing w:after="0" w:line="269" w:lineRule="auto"/>
        <w:rPr>
          <w:sz w:val="20"/>
          <w:szCs w:val="20"/>
          <w:color w:val="auto"/>
        </w:rPr>
      </w:pPr>
      <w:r>
        <w:rPr>
          <w:rFonts w:ascii="Arial" w:cs="Arial" w:eastAsia="Arial" w:hAnsi="Arial"/>
          <w:sz w:val="18"/>
          <w:szCs w:val="18"/>
          <w:b w:val="1"/>
          <w:bCs w:val="1"/>
          <w:color w:val="auto"/>
        </w:rPr>
        <w:t>Performance units/performance shares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be granted under our 2018 Plan.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performance shares are awards that will result in a payment to a participant if performance goals established by the administrator are achieved and any other applicable vesting provisions are satisfied.</w:t>
      </w:r>
    </w:p>
    <w:p>
      <w:pPr>
        <w:spacing w:after="0" w:line="13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account for all shared-based compensation awards using a fair-value method. Options are recorded at their estimated fair value using the Black-Scholes option pricing model. We recognize the fair value of each award as an expense on a straight-line basis over the requisite service period, generally the vesting period of the equity grant.</w:t>
      </w:r>
    </w:p>
    <w:p>
      <w:pPr>
        <w:spacing w:after="0" w:line="14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Determining the fair value of share-based awards at the grant date requires significant judgment. The determination of the grant date fair value of stock options using the Black-Scholes option-pricing model is affected by our estimated common stock fair value as well as other highly subjective assumptions including, the expected term of the awards, our expected volatility over the expected term of the awards, expected dividend yield, risk-free interest rates. The assumptions used in our option-pricing model represent management’s best estimates. These assumptions and estimates are as follows:</w:t>
      </w:r>
    </w:p>
    <w:p>
      <w:pPr>
        <w:spacing w:after="0" w:line="152" w:lineRule="exact"/>
        <w:rPr>
          <w:sz w:val="20"/>
          <w:szCs w:val="20"/>
          <w:color w:val="auto"/>
        </w:rPr>
      </w:pPr>
    </w:p>
    <w:p>
      <w:pPr>
        <w:ind w:left="660" w:right="3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Fair Value of Common Stock. We estimate the fair value of stock options using the Black-Scholes option pricing model. We use the value of our common stock to determine the fair value of restricted shares.</w:t>
      </w:r>
    </w:p>
    <w:p>
      <w:pPr>
        <w:spacing w:after="0" w:line="142"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Term. The expected term of employee stock options is determined based on management’s expectations as to the expected term of options granted, which were expected to remain outstanding. The expected term of options granted to nonemployees is equal to the remaining contractual life of the options.</w:t>
      </w:r>
    </w:p>
    <w:p>
      <w:pPr>
        <w:spacing w:after="0" w:line="14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Volatility. We have based our estimate of expected volatility on the historical volatility of a group of similar companies that are publicly traded.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2" w:right="259" w:bottom="1440" w:gutter="0" w:footer="0" w:header="0"/>
        </w:sectPr>
      </w:pPr>
    </w:p>
    <w:bookmarkStart w:id="79" w:name="page80"/>
    <w:bookmarkEnd w:id="79"/>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intend to pay cash dividends in the foreseeable future. As a result, we used an expected dividend yield of zero.</w:t>
      </w:r>
    </w:p>
    <w:p>
      <w:pPr>
        <w:spacing w:after="0" w:line="142" w:lineRule="exact"/>
        <w:rPr>
          <w:rFonts w:ascii="Arial" w:cs="Arial" w:eastAsia="Arial" w:hAnsi="Arial"/>
          <w:sz w:val="18"/>
          <w:szCs w:val="18"/>
          <w:color w:val="auto"/>
        </w:rPr>
      </w:pPr>
    </w:p>
    <w:p>
      <w:pPr>
        <w:ind w:left="660" w:right="20" w:hanging="328"/>
        <w:spacing w:after="0" w:line="27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Risk-Free Interest Rates. We determined the average risk-free interest rate using the yield on actively traded U.S. Treasury notes with the same maturity as the expected term of the underlying options. If any assumptions used in the Black-Scholes option-pricing model change significantly, share-based compensation for future awards may differ materially compared with the awards granted previously.</w:t>
      </w:r>
    </w:p>
    <w:p>
      <w:pPr>
        <w:spacing w:after="0" w:line="131"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3"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A discussion of recent accounting pronouncements is included in Note 2 to our unaudited condensed financial statements included elsewhere in this prospectus.</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382"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to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We also sell a range of other plant-based meat products, including Beyond Sausage and Beyond Breakfast Sausage. All of our products are antibiotic-free, hormone-free, GMO-free and gluten-free.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$32.6 million in 2017 and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29, 2019, our net revenues were $107.5 million compared to $30.1 million for the six months ended June 30, 2018. We have generated losses since inception. Net loss in 2016, 2017 and 2018 was $25.1 million, $30.4 million and $29.9 million,respectively, and $13.1 million for the six months ended June 30, 2018 compared to $16.1 million for the six months ended June 29, 2019, as we invested in innovation and growth of our business. Going forward, we intend to continue to invest in innovation, supply chain capabilities, manufacturing and marketing initiatives, as we believe the demand for our products will continue to accelerate across both retail and foodservice channels as well as internationally.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6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27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smell and texture as the animal-based meats we seek to replicate. In our Manhattan Beach Project Innovation Center, our scientists and engineers continuously improve our products to replicate the sensory experience of animal-based meat. Through our investment in innovation, we have grown our portfolio to include new products across our platforms including Beyond Beef and Beyond Breakfast Sausage, as well as a new version of the flagship Beyond Burger, designed to have a meatier taste and texture. Each product is designed to not only closely replicate the taste and sensory experience of its animal protein equivalent, but to also provide the nutritional and environmental benefits of plant-based meat.</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start by analyzing the composition and design of relevant animal-based meats at the molecular and structural level. The primary components, other than water, comprising animal-based meats are amino acids, lipids, minerals and vitamins, which are not exclusive to animals and are present in abundance in plants. The amino acids that form the proteins which represent the muscle of animal-based meat can be sourced from plants. We use proteins primarily extracted from yellow peas, as well as legumes and other plant stock, through a natural process to separate protein and fiber. We then apply heating, cooling and pressure at rapid and varied intervals to weave the protein into a fibrous structure to create woven protein. Once we have the woven protein, we then add the remaining ingredients, such as water, lipids, flavor, color, trace minerals, and vitamins.</w:t>
      </w:r>
    </w:p>
    <w:p>
      <w:pPr>
        <w:spacing w:after="0" w:line="15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operate approximately 100,000 square feet of production space in two facilities in Columbia, Missouri where we produce our woven protein. This woven protein is then converted according to our formulas and specifications into a packaged product, either in our facilities in Columbia, Missouri or by our network of co-manufacturers. This capital efficient production model allows us to scale more quickly and cost-effectively to service the rapidly increasing demand for our products. We plan to continue expanding our own internal production facilities domestically and abroad to produce our woven protein while forming additional strategic relationships with co-manufacturers.</w:t>
      </w:r>
    </w:p>
    <w:p>
      <w:pPr>
        <w:spacing w:after="0" w:line="23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enthusiastic pull from mainstream consumers for delicious and satisfying, yet better-for-you plant-based meats. This approach is summed up in our brand promise—“Eat What You Love.” At one of the nation’s largest conventional grocers, Kroger, 93% of Beyond Burger buyers over the 26</w:t>
      </w:r>
      <w:r>
        <w:rPr>
          <w:rFonts w:ascii="MS PGothic" w:cs="MS PGothic" w:eastAsia="MS PGothic" w:hAnsi="MS PGothic"/>
          <w:sz w:val="18"/>
          <w:szCs w:val="18"/>
          <w:color w:val="auto"/>
        </w:rPr>
        <w:t>‑</w:t>
      </w:r>
      <w:r>
        <w:rPr>
          <w:rFonts w:ascii="Arial" w:cs="Arial" w:eastAsia="Arial" w:hAnsi="Arial"/>
          <w:sz w:val="18"/>
          <w:szCs w:val="18"/>
          <w:color w:val="auto"/>
        </w:rPr>
        <w:t>week period ended June 30, 2018 also purchased animal protein during the same period, which evidences Beyond Meat’s appeal to meat-loving consumers.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It is not, and has never been, our goal to become the best-selling veggie burger company or to market our products in a manner similar to traditional veggie burgers and soy-based meat. These products have had limited appeal to traditional meat eaters, who commonly criticize their inferior taste. Consumer research shows that, when choosing among plant-based meat options, taste is the single most important product attribute for plant-based foods. Legacy vegetarian brands have typically aimed to compensate for poor taste appeal by positioning their products as a noble sacrifice-something consumers </w:t>
      </w:r>
      <w:r>
        <w:rPr>
          <w:rFonts w:ascii="Arial" w:cs="Arial" w:eastAsia="Arial" w:hAnsi="Arial"/>
          <w:sz w:val="18"/>
          <w:szCs w:val="18"/>
          <w:i w:val="1"/>
          <w:iCs w:val="1"/>
          <w:color w:val="auto"/>
        </w:rPr>
        <w:t>should</w:t>
      </w:r>
      <w:r>
        <w:rPr>
          <w:rFonts w:ascii="Arial" w:cs="Arial" w:eastAsia="Arial" w:hAnsi="Arial"/>
          <w:sz w:val="18"/>
          <w:szCs w:val="18"/>
          <w:color w:val="auto"/>
        </w:rPr>
        <w:t xml:space="preserve"> do for the benefit of their health, the environment, and/or animal welfare.</w:t>
      </w:r>
    </w:p>
    <w:p>
      <w:pPr>
        <w:spacing w:after="0" w:line="152"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When we launched our flagship Beyond Burger in 2016, we approached the marketplace in an unprecedented way. Instead of marketing and merchandising the Beyond Burger to vegans and vegetarians (who represent less than 5% of the U.S. population), we requested that the product be sold in the meat case at grocery retailers where meat-loving consumers are accustomed to shopping for center-of-plate proteins.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68" w:right="279" w:bottom="1440" w:gutter="0" w:footer="0" w:header="0"/>
        </w:sectPr>
      </w:pPr>
    </w:p>
    <w:bookmarkStart w:id="82" w:name="page83"/>
    <w:bookmarkEnd w:id="82"/>
    <w:p>
      <w:pPr>
        <w:ind w:right="140" w:firstLine="324"/>
        <w:spacing w:after="0" w:line="253" w:lineRule="auto"/>
        <w:rPr>
          <w:sz w:val="20"/>
          <w:szCs w:val="20"/>
          <w:color w:val="auto"/>
        </w:rPr>
      </w:pPr>
      <w:r>
        <w:rPr>
          <w:rFonts w:ascii="Arial" w:cs="Arial" w:eastAsia="Arial" w:hAnsi="Arial"/>
          <w:sz w:val="18"/>
          <w:szCs w:val="18"/>
          <w:color w:val="auto"/>
        </w:rPr>
        <w:t>The first grocery unit to sell the Beyond Burger in its meat section was the Rocky Mountain Division of Whole Foods Market. In May 2016, they placed the Beyond Burger alongside its animal-based equivalents, and soon other Whole Foods Market regions followed. In April 2017, Safeway of Northern California started merchandising the Beyond Burger in its meat section, and within a few weeks several Kroger divisions announced they would do the same. The Beyond Burger is now carried by all of our approximately 20,000 grocery store customers across the United States and approximately 1,000 grocery store customers in Canada.</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the Southern California division of Ralph’s, a subsidiary of one of the nation’s largest conventional grocers, Kroger, the Beyond Burger was the #1 selling packaged burger patty by unit in the meat case for the 12-week period ending August 4, 2018. We believe merchandising in the meat case in the retail channel has helped drive greater brand awareness with our end consumers.</w:t>
      </w:r>
    </w:p>
    <w:p>
      <w:pPr>
        <w:spacing w:after="0" w:line="14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 venue. Our foodservice business not only functions as a form of paid trial for our products, helping to drive additional retail demand, but also creates even greater brand awareness for Beyond Meat through the on-menu and in-store publicity we receive. We believe that we have established our brand as one with “halo” benefits to our partners as evidenced by the speed of adoption by key partners. For example, Beyond Meat was one of the fastest product launches in Del Taco’s history, with the brand selling more than 2 million Beyond Tacos in the first two months of the partnership. It was also the fastest new-product launch in the history of A&amp;W Canada and TGI Fridays. Our products are now carried by approximately 25,000 restaurant and foodservice outlets across the United States and Canada. Our distribution across retail and foodservice outlets continues to grow on a monthly basis.</w:t>
      </w:r>
    </w:p>
    <w:p>
      <w:pPr>
        <w:spacing w:after="0" w:line="15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recent expansion in Canada in both retail and with key foodservice customers, such as Tim Hortons, illustrates the growing international demand for our products. We launched in Europe in August 2018 through contracts with three major distributors and have also received strong expressions of interest from some of Europe’s largest grocery and restaurant chains. In the second quarter of 2019, we expanded our international retail presence with distribution at several retail chains throughout Europe, including Albert Heijn, Delhaize, Metro and Rema 1000. In May 2019, we expanded our partnership with a distributor to produce our innovative plant-based meats at a new co-manufacturing facility being constructed by this distributor in the Netherlands. Upon completion of the facility, which is expected in the first quarter of 2020, the manufacturing partnership will mark our first co-manufacturing capability outside the United States.Additionally, for several years we have maintained a presence and generated brand awareness in Asia through our local distributor, and expect further expansion in the region over time.</w:t>
      </w:r>
    </w:p>
    <w:p>
      <w:pPr>
        <w:spacing w:after="0" w:line="24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Our Brand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Our approach of bringing to market the best innovations each year is a strategy that engages the consumer and provides feedback from which we iterate and improve. This approach is one of the reasons we worked for and obtained Non-GMO Project certification for all of our current products.</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brand awareness has been driven by strong social marketing. Consumers and the media are enthusiastic about the concept of an authentically meaty tasting plant-based burger and drove more than 9.9 billion earned media impressions in 2018 and 21 billion earned media impressions from January to July 2019. The viral nature of our marketing and brand-building has been enhanced by both the network of brand ambassadors we have developed throughout the United States and abroad, and our strong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82" w:right="239" w:bottom="1440" w:gutter="0" w:footer="0" w:header="0"/>
        </w:sectPr>
      </w:pPr>
    </w:p>
    <w:bookmarkStart w:id="83" w:name="page84"/>
    <w:bookmarkEnd w:id="83"/>
    <w:p>
      <w:pPr>
        <w:ind w:right="180"/>
        <w:spacing w:after="0" w:line="262" w:lineRule="auto"/>
        <w:rPr>
          <w:sz w:val="20"/>
          <w:szCs w:val="20"/>
          <w:color w:val="auto"/>
        </w:rPr>
      </w:pPr>
      <w:r>
        <w:rPr>
          <w:rFonts w:ascii="Arial" w:cs="Arial" w:eastAsia="Arial" w:hAnsi="Arial"/>
          <w:sz w:val="18"/>
          <w:szCs w:val="18"/>
          <w:color w:val="auto"/>
        </w:rPr>
        <w:t>following by celebrities from the worlds of sports and entertainment who help promote the benefits of a plant-based diet and the Beyond Meat brand.</w:t>
      </w:r>
    </w:p>
    <w:p>
      <w:pPr>
        <w:spacing w:after="0" w:line="14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 xml:space="preserve">We launched The Future of Protein marketing campaign in the summer of 2015, which seeks to mobilize our ambassadors to help raise brand awareness and make our products aspirational. Our joint announcement with Leonardo DiCaprio about his becoming a Beyond Meat brand ambassador in October 2017 has generated over 378 million earned media impressions, including a viral video released by </w:t>
      </w:r>
      <w:r>
        <w:rPr>
          <w:rFonts w:ascii="Arial" w:cs="Arial" w:eastAsia="Arial" w:hAnsi="Arial"/>
          <w:sz w:val="18"/>
          <w:szCs w:val="18"/>
          <w:i w:val="1"/>
          <w:iCs w:val="1"/>
          <w:color w:val="auto"/>
        </w:rPr>
        <w:t>Now This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that drew more than 8.5 million views. When we shared the announcement on Beyond Meat’s Instagram, it quickly became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most liked posts.</w:t>
      </w:r>
    </w:p>
    <w:p>
      <w:pPr>
        <w:spacing w:after="0" w:line="1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“Earned media impressions” refers to the amount of exposure that a piece of content in a television show, newspaper, website, blog or other form of media receives based on the readership or viewership for that particular media. Impressions are only calculated for stories that mention our brand or products specifically by name. For example, if as of January 2018, 3 million people subscribed to a particular newspaper and an article ran in January 2018 in that newspaper mentioning or featuring Beyond Meat or any of our products such as the Beyond Burger or Beyond Sausage which is not as a result of any payment by us, then the earned media impressions for that article would be 3 million.</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Earned media impressions reflect interest in our products, our products’ or brand’s relevance to the media, the audiences they service and the overall positioning of our products in the marketplace. We believe that continued growth in this number year-over-year reflects increasing organic media interest in us and thus consumer exposure to our brand and products. While we use earned media impressions to evaluate growth in brand awareness of our products, we do not use them as a metric in evaluating our business or results of operations.</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Earned media impressions contain limitations in that they are calculated based on readership or viewership numbers of the particular media in which the impression appears and not on the number of readers or viewers who actually see the impression. Therefore, earned media impression numbers assume each person in the entire readership or viewership has been exposed to the impression. In addition, earned media impressions do not take into account whether there is any overlap in the readership or viewership of various media. Therefore, investors should not place undue reliance or emphasis on earned media impressions given these limitations and the fact that they do not bear any direct relationship to the company’s operations or financial results.</w:t>
      </w:r>
    </w:p>
    <w:p>
      <w:pPr>
        <w:spacing w:after="0" w:line="137"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Food Insider</w:t>
      </w:r>
      <w:r>
        <w:rPr>
          <w:rFonts w:ascii="Arial" w:cs="Arial" w:eastAsia="Arial" w:hAnsi="Arial"/>
          <w:sz w:val="18"/>
          <w:szCs w:val="18"/>
          <w:color w:val="auto"/>
        </w:rPr>
        <w:t xml:space="preserve"> video covering Beyond Meat’s unveiling of its new Manhattan Beach Project Innovation Center, went viral on Facebook, being shared more than 170,000 times and generating approximately 23 million views in three weeks.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founded Beyond Meat in 2009 with a vision of building meat products directly from plants. This vision was in response to growing global challenges in the areas of health, climate change, natural resource use and conservation, and animal welfare, which we now call our four horsemen of change. Our founder and CEO, Ethan Brown, began his professional career in the clean energy sector. For over a decade, Ethan saw first-hand the sizable investments in solar, lithium ion batteries, fuel cells, wind and other alternative forms of energy in an effort to reduce greenhouse gas emissions. Ethan realized we were ignoring a large piece of the global solution to climate stabilization: the large and growing contribution of the livestock industry to greenhouse gas emissions, estimated to be from 18-51% of total emissions, depending on the methodology used. He began to think about applying the same framework to solving livestock emissions, specifically using technology, science, and significant capital investment to address a global challenge and opportunity: bypassing the animal and building meat directly from plants.</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Growing up in Washington, D.C. and College Park, Maryland, Ethan spent considerable time on his family’s farms, most notably Savage River Farms, a Holstein dairy operation in Western Maryland. As an adolescent and young adult, Ethan began to ask a recurring question: what is the determining biological difference between the animals we keep as pets and those relegated to the dinner plate? Later, raising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82" w:right="239" w:bottom="1440" w:gutter="0" w:footer="0" w:header="0"/>
        </w:sectPr>
      </w:pPr>
    </w:p>
    <w:bookmarkStart w:id="84" w:name="page85"/>
    <w:bookmarkEnd w:id="84"/>
    <w:p>
      <w:pPr>
        <w:ind w:right="240"/>
        <w:spacing w:after="0" w:line="256" w:lineRule="auto"/>
        <w:rPr>
          <w:sz w:val="20"/>
          <w:szCs w:val="20"/>
          <w:color w:val="auto"/>
        </w:rPr>
      </w:pPr>
      <w:r>
        <w:rPr>
          <w:rFonts w:ascii="Arial" w:cs="Arial" w:eastAsia="Arial" w:hAnsi="Arial"/>
          <w:sz w:val="18"/>
          <w:szCs w:val="18"/>
          <w:color w:val="auto"/>
        </w:rPr>
        <w:t>his own children and seeking to satisfy their protein requirements as they grew, this question returned, along with growing concerns around human health, climate change, and the natural resource implications of intensive animal protein production and consumption. In 2009, Ethan responded by founding Beyond Meat to understand the fundamental composition of meat and build it directly from plants.</w:t>
      </w:r>
    </w:p>
    <w:p>
      <w:pPr>
        <w:spacing w:after="0" w:line="14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2009, we opened our first operation in a small commercial kitchen in Maryland and we began selling an early plant-based product to Whole Foods Markets Prepared Foods in the Mid-Atlantic region. In 2010, also in Maryland, we opened our own modest manufacturing facility. During this period, Ethan began working extensively with two researchers at the University of Missouri’s Bioengineering and Food Science Department at the College of Agriculture and Natural Resources, along with faculty and students at the University of Maryland’s Nutrition &amp; Food Science Department. Ethan ultimately licensed a process developed by the researchers that combined proteins from plants into a basic structure resembling animal muscle, or meat, and used this as an initial foundation for Beyond Meat products. With this basic protein platform and an understanding that the balance of parts of meat, namely lipids, trace minerals, and water, were also present in abundance outside the animal, it became clear that with appropriate resources, building meat from plants was indeed possible.</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Over the years, Beyond Meat has continued to invest heavily in research, development and innovation as recently demonstrated by our state of the art Manhattan Beach Project Innovation Center in El Segundo, California. Our work is a team effort, defined by passionate and capable management, scientists, technicians and engineers who share a common goal to achieve enormous lasting benefits to our society and the planet.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7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Our Market Opportunity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 Our core target market is the United States, which has the highest level of animal-based meat consumption per person on a global basis, according to the OECD.</w:t>
      </w:r>
    </w:p>
    <w:p>
      <w:pPr>
        <w:spacing w:after="0" w:line="15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Despite this growing demand, the plant-based meats category currently represents approximately two percent of the U.S. meat industry, highlighting the lack of satisfying plant-based meat options and scaled winners in the category. According to Nielsen data commissioned by the Plant Based Foods Association, sales of plant-based meat in the retail channel generated just over $670 million of retail sales over the 52-week period ending June 16, 2018.</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growing at a substantially faster rate than the existing animal-based meat and plant-based meat industries and expect our growth to accelerate. We believe our outsized revenue growth will allow us to capture an increased share of the broader U.S. meat category, supported by a number of key drivers, including the authentic comparability and sensory experience of our products to their animal-based meat equivalents, continued mainstream acceptance of our products with the traditional animal-based meat consumer, heightened consumer awareness of the role that food and nutrition, particularly plant-based foods, play in long-term health and wellness, and growing concerns related to the negative environmental and animal-welfare impacts of animal-based meat consumption.</w:t>
      </w:r>
    </w:p>
    <w:p>
      <w:pPr>
        <w:spacing w:after="0" w:line="1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key analogy for both the approach to and the scale of our opportunity is the strategy by which the plant-based dairy industry captured significant market share of the dairy industry over the past two decades. According to research firm Mintel, the current size of the non-dairy milk category is equivalent to approximately 13% of the size of the dairy milk category in the United States. According to the Mintel Report, the non-dairy milk category in the United States was estimated to be approximately $2 billion as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82" w:right="239" w:bottom="1440" w:gutter="0" w:footer="0" w:header="0"/>
        </w:sectPr>
      </w:pPr>
    </w:p>
    <w:bookmarkStart w:id="85" w:name="page86"/>
    <w:bookmarkEnd w:id="85"/>
    <w:p>
      <w:pPr>
        <w:spacing w:after="0" w:line="252" w:lineRule="auto"/>
        <w:rPr>
          <w:sz w:val="20"/>
          <w:szCs w:val="20"/>
          <w:color w:val="auto"/>
        </w:rPr>
      </w:pPr>
      <w:r>
        <w:rPr>
          <w:rFonts w:ascii="Arial" w:cs="Arial" w:eastAsia="Arial" w:hAnsi="Arial"/>
          <w:sz w:val="18"/>
          <w:szCs w:val="18"/>
          <w:color w:val="auto"/>
        </w:rPr>
        <w:t>of 2017, which grew at a compound annual growth rate of 10% from 2012 to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$270 billion meat category in the United States, which over time would represent a category size of $35 billion in the United States alone. We also believe that the introduction of our plant-based products is serving as a similar catalyst in the meat industry. As a market leader in the plant-based meats category, we believe we are well-positioned to capture and drive a significant amount of this category growth.</w:t>
      </w:r>
    </w:p>
    <w:p>
      <w:pPr>
        <w:spacing w:after="0" w:line="15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believe there is significant demand for our products across the globe in retail and restaurant and foodservice channels. In markets excluding the United States, the amount of meat consumed has more than doubled in the past two decades from 120 million tons in 1997 to 280 million tons in 2017, according to the OECD. Our initial target markets include Australia, Europe, Hong Kong, Israel, South Korea, South Africa and parts of the Middle East, where we have received strong inbound interest for our plant-based products.</w:t>
      </w:r>
    </w:p>
    <w:p>
      <w:pPr>
        <w:spacing w:after="0" w:line="23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Health and Environmental Impact of Animal-Based Meat Consumption</w:t>
      </w:r>
    </w:p>
    <w:p>
      <w:pPr>
        <w:spacing w:after="0" w:line="19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Consumer interest in plant-based proteins, particularly among millennial and younger generations, has been driven in part by growing awareness of the health and environmental impact of animal-based meat consumption. Now that consumers have access to unprecedented levels of information provided via the Internet and social media channels, we expect global awareness of these issues to grow and have a positive impact on consumer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95885</wp:posOffset>
            </wp:positionV>
            <wp:extent cx="4699635" cy="1766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996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right="100" w:hanging="324"/>
        <w:spacing w:after="0" w:line="25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Health</w:t>
      </w:r>
      <w:r>
        <w:rPr>
          <w:rFonts w:ascii="Arial" w:cs="Arial" w:eastAsia="Arial" w:hAnsi="Arial"/>
          <w:sz w:val="18"/>
          <w:szCs w:val="18"/>
          <w:color w:val="auto"/>
        </w:rPr>
        <w:t>: The negative impact on health caused by certain meats has been well publicized in recent years. In 2004, the WHO</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highlighted a paper indicating that dietary factors, including consumption of certain meats, accounted for at least 30% of most cancers in developed countries and up to 20% in developing countries. The WHO has since added processed meats such as hot dogs, ham, bacon and sausage to its Group 1 category of carcinogens. A similar conclusion was presented at the American Heart Association, where researchers conducting a 2017 dietary study of over 15,000 adults between 2003 to 2013 highlighted that people who eat mostly a plant-based diet were associated with a 42% reduced risk of developing heart failure among people without diagnosed heart disease or heart failure. Additionally, animals and livestock are also susceptible to various diseases such as Mad Cow (beef), Swine Flu (pork) and Avian Influenza (poultry) that may cause further health risks from consuming potentially infected animal meats.</w:t>
      </w:r>
    </w:p>
    <w:p>
      <w:pPr>
        <w:spacing w:after="0" w:line="135" w:lineRule="exact"/>
        <w:rPr>
          <w:rFonts w:ascii="Arial" w:cs="Arial" w:eastAsia="Arial" w:hAnsi="Arial"/>
          <w:sz w:val="18"/>
          <w:szCs w:val="18"/>
          <w:color w:val="auto"/>
        </w:rPr>
      </w:pPr>
    </w:p>
    <w:p>
      <w:pPr>
        <w:ind w:left="980" w:right="440" w:hanging="324"/>
        <w:spacing w:after="0" w:line="266"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The global livestock industry is estimated to be responsible for a significant portion of global greenhouse gas</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such as methane and nitrous oxide. Estimates range from 18 to 51%. The landmark IPCC Report highlighted that climate change is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82" w:right="259" w:bottom="1440" w:gutter="0" w:footer="0" w:header="0"/>
        </w:sectPr>
      </w:pPr>
    </w:p>
    <w:bookmarkStart w:id="86" w:name="page87"/>
    <w:bookmarkEnd w:id="86"/>
    <w:p>
      <w:pPr>
        <w:ind w:left="980" w:right="140"/>
        <w:spacing w:after="0" w:line="303" w:lineRule="auto"/>
        <w:rPr>
          <w:sz w:val="20"/>
          <w:szCs w:val="20"/>
          <w:color w:val="auto"/>
        </w:rPr>
      </w:pPr>
      <w:r>
        <w:rPr>
          <w:rFonts w:ascii="Arial" w:cs="Arial" w:eastAsia="Arial" w:hAnsi="Arial"/>
          <w:sz w:val="18"/>
          <w:szCs w:val="18"/>
          <w:color w:val="auto"/>
        </w:rPr>
        <w:t>expected to cause “severe, widespread, and irreversible impacts” on the natural environment unless carbon emissions are cut sharply and rapidly. The report highlighted that behavioral changes, including dietary changes such as eating less meat, can have a significant role in cutting emissions.</w:t>
      </w:r>
    </w:p>
    <w:p>
      <w:pPr>
        <w:spacing w:after="0" w:line="103" w:lineRule="exact"/>
        <w:rPr>
          <w:sz w:val="20"/>
          <w:szCs w:val="20"/>
          <w:color w:val="auto"/>
        </w:rPr>
      </w:pPr>
    </w:p>
    <w:p>
      <w:pPr>
        <w:ind w:left="980" w:hanging="324"/>
        <w:spacing w:after="0" w:line="253" w:lineRule="auto"/>
        <w:tabs>
          <w:tab w:leader="none" w:pos="98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Global resource usage</w:t>
      </w:r>
      <w:r>
        <w:rPr>
          <w:rFonts w:ascii="Arial" w:cs="Arial" w:eastAsia="Arial" w:hAnsi="Arial"/>
          <w:sz w:val="18"/>
          <w:szCs w:val="18"/>
          <w:color w:val="auto"/>
        </w:rPr>
        <w:t>: Rising global meat consumption and livestock production has been shown to have major negative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environment due to the burden placed on land and water resources. According to the FAO, livestock occupies 30% of the planet’s land surface and accounts for 78% of all agricultural land use. The WRI Water Report also indicates that 29% of the water in agriculture is directly or indirectly used for animal production. Meat consumption is also burdensome on the environment in terms of production inputs. According to the WRI Report, beef is highly inefficient to produce because only 1% of the feed consumed by cattle is converted to calories that people consumed from eating beef while pork converts approximately 10% and poultry converts approximately 11% of their feed to human-edible calories. During 2017 and 2018, Beyond Meat engaged the University of Michigan to conduct a peer-reviewed, third-party-led Life Cycle Assessment comparing the environmental impacts associated with producing a ¼-lb Beyond Burger versus a ¼-lb, standard 80/20 beef burger (which is a mixture of 80% lean cow muscle and 20% cow fat). The results of this study show that compared to a beef burger, the Beyond Burger generates 90% less greenhouse gas emissions, requires 46% less energy, has 99% less impact on water scarcity and 93% less impact on land use.</w:t>
      </w:r>
    </w:p>
    <w:p>
      <w:pPr>
        <w:spacing w:after="0" w:line="138" w:lineRule="exact"/>
        <w:rPr>
          <w:rFonts w:ascii="Arial" w:cs="Arial" w:eastAsia="Arial" w:hAnsi="Arial"/>
          <w:sz w:val="18"/>
          <w:szCs w:val="18"/>
          <w:i w:val="1"/>
          <w:iCs w:val="1"/>
          <w:color w:val="auto"/>
        </w:rPr>
      </w:pPr>
    </w:p>
    <w:p>
      <w:pPr>
        <w:ind w:left="980" w:right="120" w:hanging="324"/>
        <w:spacing w:after="0" w:line="261"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Animal welfare</w:t>
      </w:r>
      <w:r>
        <w:rPr>
          <w:rFonts w:ascii="Arial" w:cs="Arial" w:eastAsia="Arial" w:hAnsi="Arial"/>
          <w:sz w:val="18"/>
          <w:szCs w:val="18"/>
          <w:color w:val="auto"/>
        </w:rPr>
        <w:t>: Worldwide, it is estimated that about 60-70 billion farm animals are now produced for food each year; with two out</w:t>
      </w:r>
      <w:r>
        <w:rPr>
          <w:rFonts w:ascii="Arial" w:cs="Arial" w:eastAsia="Arial" w:hAnsi="Arial"/>
          <w:sz w:val="18"/>
          <w:szCs w:val="18"/>
          <w:i w:val="1"/>
          <w:iCs w:val="1"/>
          <w:color w:val="auto"/>
        </w:rPr>
        <w:t xml:space="preserve"> </w:t>
      </w:r>
      <w:r>
        <w:rPr>
          <w:rFonts w:ascii="Arial" w:cs="Arial" w:eastAsia="Arial" w:hAnsi="Arial"/>
          <w:sz w:val="18"/>
          <w:szCs w:val="18"/>
          <w:color w:val="auto"/>
        </w:rPr>
        <w:t>of every three being factory farmed. Over the past decade, animal welfare groups have publicized a range of investigations highlighting the issues related to safety, welfare and well-being of animals caused by mass livestock production, which we believe has led to substantial movement toward more plant-based alternatives.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category.</w:t>
      </w:r>
    </w:p>
    <w:p>
      <w:pPr>
        <w:spacing w:after="0" w:line="22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Dedicated Focus on Innovation</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invest significant resources in our innovation capabilities to develop plant-based meat alternatives to popular animal-based meat products. Our innovation team, comprised of approximately 71 scientists, engineers, researchers, technicians and chefs, as of June 29, 2019, has delivered several unique plant-based meat breakthroughs, as well as continuous improvements to existing products. Both our Beyond Burger and our Beyond Sausage products are the result of this approach. We are able to leverage what we learn about taste, texture and aroma across our platform and apply this knowledge to each of our product offerings. In addition, in July 2018, we opened our 30,000-square-foot Manhattan Beach Project Innovation Center in El Segundo, California, which is 10 times the size of our previous lab space. In our new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After introducing a new version of the Beyond Burger in restaurants in the first half of 2019, we further advanced the product and launched this newer version, designed to have an even meatier taste and texture, at retailers across the U.S. in June 2019. In tandem with this launch, we unveiled Beyond Beef, a bulk plant-based ground meat, to select retailers nationwide, including Kroger, Whole Foods Market, Sprouts, Wegmans, Jewel-Osco and Harris Teeter. We expect this faster pace of product introductions and meaningful enhancements to existing products to continue as we innovate within our core plant-based platforms of beef, pork and poultry.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09" w:right="239" w:bottom="1440" w:gutter="0" w:footer="0" w:header="0"/>
        </w:sectPr>
      </w:pPr>
    </w:p>
    <w:bookmarkStart w:id="87" w:name="page88"/>
    <w:bookmarkEnd w:id="87"/>
    <w:p>
      <w:pPr>
        <w:ind w:left="660" w:hanging="328"/>
        <w:spacing w:after="0"/>
        <w:tabs>
          <w:tab w:leader="none" w:pos="660" w:val="left"/>
        </w:tabs>
        <w:numPr>
          <w:ilvl w:val="0"/>
          <w:numId w:val="5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Brand Mission Aligned with Consumer Trends</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Our brand is uniquely positioned to capitalize on growing consumer interest in great-tasting, nutritious, convenient, higher protein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 Consumer research shows that health concerns are some of the key reasons consumers seek plant-based alternatives to meat. Our ¼</w:t>
      </w:r>
      <w:r>
        <w:rPr>
          <w:rFonts w:ascii="MS PGothic" w:cs="MS PGothic" w:eastAsia="MS PGothic" w:hAnsi="MS PGothic"/>
          <w:sz w:val="18"/>
          <w:szCs w:val="18"/>
          <w:color w:val="auto"/>
        </w:rPr>
        <w:t>‑</w:t>
      </w:r>
      <w:r>
        <w:rPr>
          <w:rFonts w:ascii="Arial" w:cs="Arial" w:eastAsia="Arial" w:hAnsi="Arial"/>
          <w:sz w:val="18"/>
          <w:szCs w:val="18"/>
          <w:color w:val="auto"/>
        </w:rPr>
        <w:t>lb Beyond Burger contains zero cholesterol and about 25% less saturated fat than a ¼-lb standard 80/20 beef burger.</w:t>
      </w:r>
    </w:p>
    <w:p>
      <w:pPr>
        <w:spacing w:after="0" w:line="16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built a powerful brand with broad demographic appeal and a passionate consumer base. Our brand awareness is driven by strong social marketing, with more than 1.5 million combined social media and newsletter followers as of July 2019, 9.9 billion earned media impressions in 2018 and 21 billion earned media impressions from January to July 2019. See “—The Beyond Meat Strategic Difference— Unique Approach to Our Brand” above for more information on “earned media impressions” and the limitations of this metric. Our audience continues to grow from the attention generated by our large following of celebrities, influencers and brand ambassadors who identify with our mission.</w:t>
      </w:r>
    </w:p>
    <w:p>
      <w:pPr>
        <w:spacing w:after="0" w:line="24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Product Portfolio Generates Significant Demand from Retail and Restaurant Customers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Rapidly growing sales of 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Recent shopper data research demonstrates Beyond Meat’s mainstream consumer appeal, revealing that 93% of Beyond Burger buyers at one of the nation’s largest conventional grocers, Kroger, also purchased meat over the 26-week period ended June 30, 2018, which indicates that our products appeal to a much wider audience than the niche audience of vegans and vegetarians that typically purchase legacy meat substitutes.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restaurant customers are excited by the opportunity to differentiate their menu offering and attract new customers by partnering with Beyond Meat, and are seeking new ways to further promote our product. According to the NDP Group, 95% of people who ordered plant-based burgers at quick service restaurants made a beef burger purchase within a one-year period ending in April 2019. In the first half of 2019 both Carl’s Jr. and Del Taco ran a mass media advertising campaign inclusive of TV, radio, out of home and digital channels. We believe their choice to feature Beyond Meat demonstrates the marketing power of our brand and overall consumer excitement for our product. Additionally, popular restaurants have approached us directly to carry our branded product, despite already carrying our competitors’ products. This type of demand for our products has been a driving force in building strong ties with customers who have been continuously impressed by the impact our brand can make on their business.</w:t>
      </w:r>
    </w:p>
    <w:p>
      <w:pPr>
        <w:spacing w:after="0" w:line="23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and Passionate Executive Management Team</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are led by a proven and experienced executive management team. Prior to founding Beyond Meat, Ethan Brown, our President and Chief Executive Officer, spent over a decade in the clean energy industry working for hydrogen fuel cell leader, Ballard Power Systems, rising from an entry level manager to reporting directly to the Chief Executive Officer. Mr. Brown’s significant experience in clean tech, coupled with a natural appreciation for animal agriculture, led him to start a plant-based food company. Seth Goldman, our Executive Chair, has extensive experience working at fast-growing brands in the food and beverage industry, having founded Honest Tea Inc., which was later sold to The Coca-Cola Company. Our management team plays an integral role in Beyond Meat’s success by instilling a culture committed to innovation, customer satisfaction and growth. Over time, we have grown our executive management team with carefully selected individuals who possess substantial industry experience and share our core values. The other members of our executive management team, which include Mark J. Nelson, Chief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8" w:right="239" w:bottom="1440" w:gutter="0" w:footer="0" w:header="0"/>
        </w:sectPr>
      </w:pPr>
    </w:p>
    <w:bookmarkStart w:id="88" w:name="page89"/>
    <w:bookmarkEnd w:id="88"/>
    <w:p>
      <w:pPr>
        <w:ind w:right="100"/>
        <w:spacing w:after="0" w:line="253" w:lineRule="auto"/>
        <w:rPr>
          <w:sz w:val="20"/>
          <w:szCs w:val="20"/>
          <w:color w:val="auto"/>
        </w:rPr>
      </w:pPr>
      <w:r>
        <w:rPr>
          <w:rFonts w:ascii="Arial" w:cs="Arial" w:eastAsia="Arial" w:hAnsi="Arial"/>
          <w:sz w:val="18"/>
          <w:szCs w:val="18"/>
          <w:color w:val="auto"/>
        </w:rPr>
        <w:t>Financial Officer and Treasurer; Charles Muth, Chief Growth Officer; Dariush Ajami, Chief Innovation Officer; and Stephanie Pullings Hart, Senior Vice President, Operations; and Teri L. Witteman, General Counsel and Secretary, have an average of 21 years of industry experience, having driven growth at both consumer packaged goods companies and high growth businesses, such as The Clorox Company, The Coca-Cola Company, Farmer Bros. Co. and Nestlé. We believe this blend of talent gives us tremendous insights and capabilities to create demand and fulfill it in a scalable, profitable and sustainable way.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79"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Pursue Top-line Growth Across our Distribution Channels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believe there is a significant opportunity to expand Beyond Meat well beyond our current retail and foodservice footprint of approximately 53,000 points of distribution across the United States and abroad. In addition to further growth within retail, we are beginning to sell more of our product in restaurants and other foodservice locations and developing relationships with international partners, both of which represent significant opportunities. We believe increased distribution will lead more consumers to purchase our products and increase the overall size of the plant-based protein category as more consumers shift their diets away from animal-based proteins.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developed a strategy to pursue growth within the following distribution channels:</w:t>
      </w:r>
    </w:p>
    <w:p>
      <w:pPr>
        <w:spacing w:after="0" w:line="153" w:lineRule="exact"/>
        <w:rPr>
          <w:sz w:val="20"/>
          <w:szCs w:val="20"/>
          <w:color w:val="auto"/>
        </w:rPr>
      </w:pPr>
    </w:p>
    <w:p>
      <w:pPr>
        <w:ind w:left="980" w:hanging="324"/>
        <w:spacing w:after="0" w:line="258"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have a significant opportunity to grow our sales within U.S. retail by focusing on increasing sales at our existing points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as well as increasing sales of new products. We also expect to grow our U.S. retail distribution by establishing commercial relationships with new customers. In March 2019, we introduced Beyond Beef, which is designed to have the meaty taste and texture and replicate the versatility of ground beef. In May 2019, we began selling the Beyond Burger in retail stores across Canada. In June 2019, we introduced the new Beyond Burger and Beyond Beef at retailers across the U.S.</w:t>
      </w:r>
    </w:p>
    <w:p>
      <w:pPr>
        <w:spacing w:after="0" w:line="129"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The Beyond Burger is currently being served in approximately 17,000 restaurant and foodservice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outlets in the United States and Canada. After first launching the Beyond Burger on-menu in 2018, A&amp;W Canada expanded their Beyond Meat menu offerings in March 2019 with the addition of Beyond Breakfast Sausage. In addition, after the successful launch of the Beyond Tacos at Del Taco in April 2019, the brand announced a menu line extension for Beyond Burritos in June 2019. Also in that month, Tim Hortons added the Beyond Breakfast Sausage to its menus across Canada and in July 2019 announced it had expanded Beyond Meat offerings to include the Beyond Burger at its nearly 4,000 locations across Canada. On July 24, 2019, Dunkin’ announced that it is adding Beyond Breakfast Sausage to its menus at certain locations in Manhattan, New York on a limited, test basis.</w:t>
      </w:r>
    </w:p>
    <w:p>
      <w:pPr>
        <w:spacing w:after="0" w:line="149"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the Beyond Burger is currently being sold at more than 1,100 Carl’s Jr. locations nationwide. We plan to continue to aggressively expand our network of restaurant and foodservice partners.</w:t>
      </w:r>
    </w:p>
    <w:p>
      <w:pPr>
        <w:spacing w:after="0" w:line="124" w:lineRule="exact"/>
        <w:rPr>
          <w:rFonts w:ascii="Arial" w:cs="Arial" w:eastAsia="Arial" w:hAnsi="Arial"/>
          <w:sz w:val="18"/>
          <w:szCs w:val="18"/>
          <w:color w:val="auto"/>
        </w:rPr>
      </w:pPr>
    </w:p>
    <w:p>
      <w:pPr>
        <w:ind w:left="980" w:right="80" w:hanging="324"/>
        <w:spacing w:after="0" w:line="258"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in Canada and Europe across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and expect to increase production for those regions in 2019. We launched in Europe in August 2018 through contracts with three major distributors. Our products are currently in approximately 5,000 international retail and foodservice outlets. We have established and seek to establish additional relationships with distributors in other geographies, including Australia, Israel, South Korea, South Africa and parts of the Middle East.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82" w:right="239" w:bottom="1440" w:gutter="0" w:footer="0" w:header="0"/>
        </w:sectPr>
      </w:pPr>
    </w:p>
    <w:bookmarkStart w:id="89" w:name="page90"/>
    <w:bookmarkEnd w:id="89"/>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Infrastructure and Capabilities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committed to prioritizing investment in our infrastructure and capabilities in order to support our strategic expansion plans. As a fast-growing company, we are making significant investments in hiring the best people, maximizing our supply chain capabilities and optimizing our systems in order to establish a sustainable market-leading position for the long-term future. In 2018, we commenced production at a new state-of-the-art manufacturing facility and entered into relationships with additional co-manufacturers to significantly increase our production capacity. In the first quarter of 2019, our monthly production capacity was triple our monthly capacity at the end of the second quarter of 2018. We have plans to unlock additional capacity both domestically and internationally. For example, in May 2019, we expanded our partnership with a distributor to produce our innovative plant-based meats at a new co-manufacturing facility being constructed by this distributor in the Netherlands. Completion of the facility is expected in the first quarter of 2020. Additionally, we are continuing to hire experienced employees in our sales, marketing, operations, innovation and finance teams to support our rapid growth.</w:t>
      </w:r>
    </w:p>
    <w:p>
      <w:pPr>
        <w:spacing w:after="0" w:line="24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Product Offerings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successes of the Beyond Burger and Beyond Sausage products have confirmed our belief that there is significant demand for additional plant-based meat alternative products. We intend to strengthen our product offering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New product launches in the first half of 2019 include the new Beyond Burger, Beyond Beef and Beyond Breakfast Sausage.</w:t>
      </w:r>
    </w:p>
    <w:p>
      <w:pPr>
        <w:spacing w:after="0" w:line="24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Grow Our Brand</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intend to continue to develop our brand and increase awareness of Beyond Meat. We plan on highlighting our “Eat What You Love” message and the global environmental benefits that come with consumers eating more of our products. We also plan to continue to create relevant content with our network of celebrities, influencers and brand ambassadors, who have successfully built significant brand awareness for us by supporting our mission and products and incorporating Beyond Meat into their daily lifestyle. We intend to expand our field marketing efforts to sample products directly with consumers in stores and at relevant events. We launched a Beyond Meat food truck in the fall of 2018 that supports consumer sampling, content creation, as well as media, influencer and customer activations.</w:t>
      </w:r>
    </w:p>
    <w:p>
      <w:pPr>
        <w:spacing w:after="0" w:line="24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Remain Mission Focused and True to Our Values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are a mission-driven business with long-standing core values. We strive to operate in an honest, socially responsible and environmentally sustainable manner and are committed to help solve the major health and global environmental issues which we believe are caused by an animal-based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123190</wp:posOffset>
            </wp:positionV>
            <wp:extent cx="5351145" cy="147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sell a range of products across the three core plant-based platforms of beef, pork and poultry. They are offered in ready-to-cook formats (merchandised in the meat case), which we refer to as our “fresh” platform, and ready-to-heat formats (merchandised in the freezer), which we refer to as our “frozen” platform. Though the original line of Beyond Meat products were ready-to-heat, our ready-to-cook offerings, such as Beyond Burger and Beyond Sausage, have been the chief drivers of our growth. All of our products are 100% free of gluten and GMOs and are significantly lower in saturated fats than their animal-based equivalents. We are focused on making them nutritionally dense, with minimal negative attributes.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Ready-to-cook (“Fresh”)</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The Beyond Burger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Beyond Burger, our flagship product, was our first product merchandised in the meat case of grocery stores.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Burger is designed to look, cook and taste like traditional ground beef. It is made from a blend of mung, pea and rice proteins. The Beyond Burger’s primary source of protein comes from peas, providing 20 grams of protein and two grams of fiber per serving, and has no soy, gluten or GMOs.</w:t>
      </w:r>
    </w:p>
    <w:p>
      <w:pPr>
        <w:spacing w:after="0" w:line="12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i w:val="1"/>
          <w:iCs w:val="1"/>
          <w:color w:val="auto"/>
        </w:rPr>
        <w:t>Beyond Beef</w:t>
      </w:r>
      <w:r>
        <w:rPr>
          <w:rFonts w:ascii="Arial" w:cs="Arial" w:eastAsia="Arial" w:hAnsi="Arial"/>
          <w:sz w:val="18"/>
          <w:szCs w:val="18"/>
          <w:color w:val="auto"/>
        </w:rPr>
        <w:t>. Beyond Beef, our newest product, is designed to have the meaty taste and texture of ground beef and replicate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versatility of ground beef. It has 25% less saturated fat than beef or six grams per four-ounce serving. Like animal-based ground beef, Beyond Beef can be used in a variety of dishes, such as tacos and meatballs. It is made from a blend of mung, pea and rice proteins and has no soy, gluten or GMOs.</w:t>
      </w:r>
    </w:p>
    <w:p>
      <w:pPr>
        <w:spacing w:after="0" w:line="12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Beyond Sausage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Sausage is a ready-to-cook sausage designed to look, cook and taste like a pork sausage. Beyond Sausage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from a blend of pea, faba bean and rice proteins. Beyond Sausage’s primary source of protein comes from peas, providing 16 grams of protein and three grams of fiber per serving, and has no soy, gluten or GMOs. Beyond Sausage currently comes in three flavors across foodservice: Brat Original, Hot Italian and Sweet Italian. It currently comes in two flavors across retail: Brat Original and Hot Italian.</w:t>
      </w:r>
    </w:p>
    <w:p>
      <w:pPr>
        <w:spacing w:after="0" w:line="123" w:lineRule="exact"/>
        <w:rPr>
          <w:sz w:val="20"/>
          <w:szCs w:val="20"/>
          <w:color w:val="auto"/>
        </w:rPr>
      </w:pPr>
    </w:p>
    <w:p>
      <w:pPr>
        <w:ind w:right="160" w:firstLine="324"/>
        <w:spacing w:after="0" w:line="269" w:lineRule="auto"/>
        <w:rPr>
          <w:sz w:val="20"/>
          <w:szCs w:val="20"/>
          <w:color w:val="auto"/>
        </w:rPr>
      </w:pPr>
      <w:r>
        <w:rPr>
          <w:rFonts w:ascii="Arial" w:cs="Arial" w:eastAsia="Arial" w:hAnsi="Arial"/>
          <w:sz w:val="18"/>
          <w:szCs w:val="18"/>
          <w:b w:val="1"/>
          <w:bCs w:val="1"/>
          <w:i w:val="1"/>
          <w:iCs w:val="1"/>
          <w:color w:val="auto"/>
        </w:rPr>
        <w:t>Beyond Breakfast Sausage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Breakfast Sausage is designed to replicate the classic breakfast sausage. Beyond Breakfast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Sausage is made from a blend of pea, mung bean, rice and sunflower proteins, seasoned with notes of sage and black pepper. It provides 10 grams of plant-based protein per serving and has no soy, gluten or GMOs.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Ready-to-heat (“Frozen”)</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b w:val="1"/>
          <w:bCs w:val="1"/>
          <w:i w:val="1"/>
          <w:iCs w:val="1"/>
          <w:color w:val="auto"/>
        </w:rPr>
        <w:t>Beyond Beef Crumbles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are ready-to-heat products designed to look and satisfy like minced or ground beef.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primary source of protein comes from peas, providing approximately 12 grams of protein and one gram of fiber per serving, and has no soy, gluten or GMOs. Beyond Beef Crumbles currently come in two flavors for retail: Beefy and Feisty. The four flavors available for foodservice are Plain, Beefy, Feisty and Italian Sausage.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68"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Customers and Distributors</w:t>
      </w:r>
    </w:p>
    <w:p>
      <w:pPr>
        <w:spacing w:after="0" w:line="27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Retail</w:t>
      </w:r>
    </w:p>
    <w:p>
      <w:pPr>
        <w:spacing w:after="0" w:line="19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country, such as Ahold, Kroger, Safeway, Shop Rite, Stater Brothers, Target, Wegmans and Whole Foods Market.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these retailers purchase our products through food distributors which purchase, store, sell, and deliver our products to retailers.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Because such distributors function in an intermediary role, we do not consider them to be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six months ended June 29, 2019, our largest distributors in terms of their respective percentage of our gross revenues included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DOT, 22% and UNFI, 21%. Net revenues from our retail channel in the three and six months ended June 29, 2019 increased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$22.4 million, or 192.0%, and $32.7 million, or 156.1%, respectively. We have a significant opportunity to grow our sales within U.S. retailers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improved fill rates at new and existing retail partners as we increase our production capacity, as well as increased sales of our product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innovations, such as our Beyond Sausage.</w:t>
      </w:r>
    </w:p>
    <w:p>
      <w:pPr>
        <w:spacing w:after="0" w:line="25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Restaurant and Foodservice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Beyond Burger is currently being served in approximately 17,000 restaurant and foodservice outlets in the United States and Canada. We have established partnerships with selected restaurant chains, including A&amp;W (Canada), Bareburger, BurgerFi, TGI Fridays, Veggie Grill, Carl’s Jr. and Tim Hortons. As a result of our recent partnership with Carl’s Jr., the Beyond Burger is currently being sold at more than 1,100 Carl’s Jr. locations nationwide. Our products are also available in prominent entertainment and hospitality vendors, such as Cinemark Theatres, Disney World, Hilton, Hyatt, LEGOLAND and Marriott. Net revenues from sales through our restaurant and foodservice channel in the three and six months ended June 29, 2019 increased $27.4 million, or 483.0%, and $44.6 million, or 486.2%, respectively, as compared to the prior year periods.</w:t>
      </w:r>
    </w:p>
    <w:p>
      <w:pPr>
        <w:spacing w:after="0" w:line="239"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the Philippines, Singapore, South Africa, South Korea, Taiwan and the United Kingdom. Net revenues from international sales in the three and six months ended June 29, 2019 were 12% and 13% of net revenues, respectively, as compared to 3% and 2% of net revenues, respectively, in the prior-year periods. We expect our international sales to continue to grow substantially in the future, and believe that they will contribute an increasing share of our net revenues in coming periods.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w:t>
      </w:r>
    </w:p>
    <w:p>
      <w:pPr>
        <w:spacing w:after="0" w:line="279"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Sourcing and Suppliers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principal ingredients to manufacture our products include pea protein and our plant-based flavors. We procure the raw materials for our woven protein from a number of different suppliers. Although most of the raw materials we require are typically readily available from multiple sources, we currently have two suppliers for the pea protein used in our fresh products. See “—Supply Agreements.”</w:t>
      </w:r>
    </w:p>
    <w:p>
      <w:pPr>
        <w:spacing w:after="0" w:line="14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a third supplier of yellow peas sourced from Canada which we use in our Beef Crumbles. This supplier based in China exports the pea protein it processes into the United States to an intermediary facility before it is shipped to our facilities in Columbia, Missouri.</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continually seek additional sources of pea protein and other plant-based protein for our products that meet our criteria.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68" w:right="239" w:bottom="1440" w:gutter="0" w:footer="0" w:header="0"/>
        </w:sectPr>
      </w:pPr>
    </w:p>
    <w:bookmarkStart w:id="92" w:name="page93"/>
    <w:bookmarkEnd w:id="92"/>
    <w:p>
      <w:pPr>
        <w:ind w:firstLine="324"/>
        <w:spacing w:after="0" w:line="253"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and appearance are not negatively impacted.</w:t>
      </w:r>
    </w:p>
    <w:p>
      <w:pPr>
        <w:spacing w:after="0" w:line="1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do not have long-term supply agreements with most of our suppliers. However, we secure our supplies on a purchase order basis. 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process is diagrammed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109220</wp:posOffset>
            </wp:positionV>
            <wp:extent cx="5351145" cy="917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11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First, a dry blend containing our pea protein is combined within our manufacturing facility. The dry blend then enters our extruder, where both water and steam are added. We then use a combination of heating, cooling and variations of pressure to weave together the proteins. The formed woven protein is then cut into smaller pieces to expedite the freezing process and assist in the final manufacturing process. The frozen woven protein is used as the basis of all our products. Next, our co-manufacturers further process the frozen woven protein by combining flavorings and other ingredients, after which the co-manufacturer prepares the final packaged product that is then shipped to stores. In order to sustain the quality of our products, we have implemented a “define, measure, analyze, improve and control,” or DMAIC, approach to improve, optimize and stabilize our processes and design.</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While we manufacture the Beyond Burger for sale to the foodservice channel, we depend on co-manufacturers for all of our other products. Our co-manufacturers are currently in various locations throughout the United States, and we recently expanded our partnership with a distributor to produce our innovative plant-based meats at a new co-manufacturing facility being built by the distributor in the Netherlands, which is expected to be completed in the first quarter of 2020. All third-party co-manufacturers sign non-disclosure agreements to ensure that our proprietary intellectual property and trade secrets are protected. We continue to explore establishing relationships with additional co-manufacturers as the business grows to take advantage of more competitive pricing and availability of our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Control</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 and weight. We provide specific instructions to vendors and restaurants for storing and cooking our products. All products are transported and stored frozen. Frozen products such as the Beyond Beef Crumbles are intended to be prepared from their frozen state, with cooking instructions enclosed on all packaging.</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Retail products sold in the meat case as part of our “fresh” platform, such as the Beyond Burger and Beyond Sausage are shipped to the customer frozen. The foodservice customer is provided instructions on ‘slacking,’ which is typically done by moving frozen food to a refrigerator to allow it to slowly and safely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82" w:right="259" w:bottom="1440" w:gutter="0" w:footer="0" w:header="0"/>
        </w:sectPr>
      </w:pPr>
    </w:p>
    <w:bookmarkStart w:id="93" w:name="page94"/>
    <w:bookmarkEnd w:id="93"/>
    <w:p>
      <w:pPr>
        <w:ind w:right="260"/>
        <w:spacing w:after="0" w:line="262" w:lineRule="auto"/>
        <w:rPr>
          <w:sz w:val="20"/>
          <w:szCs w:val="20"/>
          <w:color w:val="auto"/>
        </w:rPr>
      </w:pPr>
      <w:r>
        <w:rPr>
          <w:rFonts w:ascii="Arial" w:cs="Arial" w:eastAsia="Arial" w:hAnsi="Arial"/>
          <w:sz w:val="18"/>
          <w:szCs w:val="18"/>
          <w:color w:val="auto"/>
        </w:rPr>
        <w:t>thaw before cooking. For this step, retail customers must apply a “use by date” sticker of seven days for Beyond Sausage or 10 days for the Beyond Burger.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93"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Distribution of products occurs from our in-house manufacturing facilities in Columbia, Missouri. From our co-manufacturing facilities, products are transferred by third-party logistics providers to cold storage facilities or are directly shipped to the customer.</w:t>
      </w:r>
    </w:p>
    <w:p>
      <w:pPr>
        <w:spacing w:after="0" w:line="14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At present, we do not utilize internal software to track loads but we leverage the systems of our transportation partners to manage our supply chain through retail distribution.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 and Packaging Suppliers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Packaging supplies are sourced in the United States with the exception of the Beyond Sausage tray which is currently sourced from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maintain approximately 10 weeks of inventory on these trays to ensure that we can mitigate any risk of interruption in supply.</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7"/>
          <w:szCs w:val="17"/>
          <w:color w:val="auto"/>
        </w:rPr>
        <w:t>We utilize an industry standard Number 3 Modified Atmospheric Packaging, or MAP Tray, that is slotted for the placement of two four ounce patties and used for the retail Beyond Burger. Packaging specifications are clearly defined and shared with our third-party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Fulfillment</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customer service and logistics functions are responsible for customer-facing activities, order management, customer logistics, 3PL leadership and intra-company distribution. These functional areas reside in the Sales Operations department. We utilize NetSuite (ERP), MS Applications and Cloud interface platforms for these processes. Customer orders are principally transmitted via electronic data interface, or EDI, but may be processed manually if necessary. Orders are accepted in NetSuite, reviewed for accuracy and fulfillment plans are developed. When fulfillment plans are ready, orders are downloaded and emailed to our transportation partners for tendering. The order fulfillment process is led by the Sales Operations Manager and two direct-reports. Metrics for the Customer Service and Logistics team include order fill, on-time shipping, customer scorecards as needed and cost leadership. We have agreements with third-party service providers for all of our shipping needs.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Consumer Outreach</w:t>
      </w:r>
    </w:p>
    <w:p>
      <w:pPr>
        <w:spacing w:after="0" w:line="27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June 29, 2019, our 50-person sales and commercial team, led by Chief Growth Officer, Charles Muth, is organized into three divisions, retail, foodservice and international. The sales team has an extensive range of experience from leading natural food, meat and plant-based protein companies. The retail, foodservice and international teams work in close coordination with a national network of broker and distributor sales teams that gives us access to accounts across the United States.</w:t>
      </w:r>
    </w:p>
    <w:p>
      <w:pPr>
        <w:spacing w:after="0" w:line="23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Field Marketing Representatives</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an active field marketing team that samples our products at special events and utilizes a food truck. As of mid-July 2019, we have executed approximately 800 such events, with approximately 176,000 samples distributed.</w:t>
      </w:r>
    </w:p>
    <w:p>
      <w:pPr>
        <w:spacing w:after="0" w:line="228"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Digital Marketing and Social Media</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primary means by which we drive consumer awareness and interest in our products is via (i) social media, (ii) our digital newsletter, which had over 365,000 subscribers as of July 2019 and (iii) our website, which had on average approximately 491,000 unique monthly visits from August 2018 to July 2019.</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382" w:right="279" w:bottom="1440" w:gutter="0" w:footer="0" w:header="0"/>
        </w:sectPr>
      </w:pPr>
    </w:p>
    <w:bookmarkStart w:id="94" w:name="page95"/>
    <w:bookmarkEnd w:id="94"/>
    <w:p>
      <w:pPr>
        <w:ind w:right="80" w:firstLine="324"/>
        <w:spacing w:after="0" w:line="252" w:lineRule="auto"/>
        <w:rPr>
          <w:sz w:val="20"/>
          <w:szCs w:val="20"/>
          <w:color w:val="auto"/>
        </w:rPr>
      </w:pPr>
      <w:r>
        <w:rPr>
          <w:rFonts w:ascii="Arial" w:cs="Arial" w:eastAsia="Arial" w:hAnsi="Arial"/>
          <w:sz w:val="18"/>
          <w:szCs w:val="18"/>
          <w:color w:val="auto"/>
        </w:rPr>
        <w:t>While we enjoy upward growth in our online marketing activities, we have historically done a relatively modest amount of paid targeting. In 2017, we dedicated approximately 4% of our marketing and advertising spend to digital marketing channels. We maintain a registered domain website at www.beyondmeat.com, which serves as the primary source of information regarding our products. Our website drew approximately 5.4 million visitors from August 2018 to July 2019 based on Google Analytics. Our website is used as a platform to promote our products, provide news, share recipes, highlight nutritional facts and provide general information on where to purchase our products, whether retail or as served in an establishment.</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extensively use social media platforms such as Facebook, Instagram and Twitter for online collaboration. These platforms are fundamentally changing the way we engage with our consumers and allow us to directly reach desirable target demographics such as millennials and “Generation Z.” A few examples of how we use social media to connect with our consumers and promote healthy lifestyles are summarized below.</w:t>
      </w:r>
    </w:p>
    <w:p>
      <w:pPr>
        <w:spacing w:after="0" w:line="132" w:lineRule="exact"/>
        <w:rPr>
          <w:sz w:val="20"/>
          <w:szCs w:val="20"/>
          <w:color w:val="auto"/>
        </w:rPr>
      </w:pPr>
    </w:p>
    <w:p>
      <w:pPr>
        <w:ind w:left="660" w:right="80" w:hanging="328"/>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Facebook: </w:t>
      </w:r>
      <w:r>
        <w:rPr>
          <w:rFonts w:ascii="Arial" w:cs="Arial" w:eastAsia="Arial" w:hAnsi="Arial"/>
          <w:sz w:val="18"/>
          <w:szCs w:val="18"/>
          <w:color w:val="auto"/>
        </w:rPr>
        <w:t>We maintain a company Facebook page, which we use to facilitate consumer services, distribute brand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news and publish videos and pictures promoting the brand. We also conduct regular contests and giveaways. As of July 2019, we had over 390,000 Facebook followers.</w:t>
      </w:r>
    </w:p>
    <w:p>
      <w:pPr>
        <w:spacing w:after="0" w:line="1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Instagram</w:t>
      </w:r>
      <w:r>
        <w:rPr>
          <w:rFonts w:ascii="Arial" w:cs="Arial" w:eastAsia="Arial" w:hAnsi="Arial"/>
          <w:sz w:val="18"/>
          <w:szCs w:val="18"/>
          <w:color w:val="auto"/>
        </w:rPr>
        <w:t>: We maintain an active company Instagram account, @beyondmeat, which we use to publish content related to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company in order to better connect with potential and existing consumers. We frequently publish news, celebrity promotion and content related to our activities. As of July 2019, we had over 700,000 Instagram followers.</w:t>
      </w:r>
    </w:p>
    <w:p>
      <w:pPr>
        <w:spacing w:after="0" w:line="1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Twitter</w:t>
      </w:r>
      <w:r>
        <w:rPr>
          <w:rFonts w:ascii="Arial" w:cs="Arial" w:eastAsia="Arial" w:hAnsi="Arial"/>
          <w:sz w:val="18"/>
          <w:szCs w:val="18"/>
          <w:color w:val="auto"/>
        </w:rPr>
        <w:t>: We maintain an active company Twitter account, @BeyondMeat, which we use to disseminate trending news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to publish short format tips, tricks and shortcuts. We also regularly interact with our consumers. As of July 2019, we had over 86,000 Twitter followers.</w:t>
      </w:r>
    </w:p>
    <w:p>
      <w:pPr>
        <w:spacing w:after="0" w:line="122"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LinkedIn: </w:t>
      </w:r>
      <w:r>
        <w:rPr>
          <w:rFonts w:ascii="Arial" w:cs="Arial" w:eastAsia="Arial" w:hAnsi="Arial"/>
          <w:sz w:val="18"/>
          <w:szCs w:val="18"/>
          <w:color w:val="auto"/>
        </w:rPr>
        <w:t>We maintain an active company LinkedIn account, which we use to disseminate news related to Beyond Meat and industry-related media and information. We use our LinkedIn account as a job board for individuals interested in working with us. As of July 2019, we had more than 32,000 LinkedIn followers.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Celebrity Endorsement</w:t>
      </w:r>
    </w:p>
    <w:p>
      <w:pPr>
        <w:spacing w:after="0" w:line="193" w:lineRule="exact"/>
        <w:rPr>
          <w:sz w:val="20"/>
          <w:szCs w:val="20"/>
          <w:color w:val="auto"/>
        </w:rPr>
      </w:pPr>
    </w:p>
    <w:p>
      <w:pPr>
        <w:ind w:right="260" w:firstLine="324"/>
        <w:spacing w:after="0" w:line="291" w:lineRule="auto"/>
        <w:rPr>
          <w:sz w:val="20"/>
          <w:szCs w:val="20"/>
          <w:color w:val="auto"/>
        </w:rPr>
      </w:pPr>
      <w:r>
        <w:rPr>
          <w:rFonts w:ascii="Arial" w:cs="Arial" w:eastAsia="Arial" w:hAnsi="Arial"/>
          <w:sz w:val="17"/>
          <w:szCs w:val="17"/>
          <w:color w:val="auto"/>
        </w:rPr>
        <w:t>We are fortunate to have partnered with celebrities such as Tia Blanco, Leonardo DiCaprio, Snoop Dogg, Kyrie Irving, DeAndre Hopkins and DeAndre Jordan who share our core values. Their organic involvement and interest are helpful to promoting our overall mission.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Tyson and WH Group (including its Smithfield division) and also plant-based protein brands, such as Boca Foods, Field Roast Grain Meat Co., Gardein, Impossible Foods, Lightlife, Morningstar Farms and Tofurky. We believe the principal competitive factors in our industry are:</w:t>
      </w:r>
    </w:p>
    <w:p>
      <w:pPr>
        <w:spacing w:after="0" w:line="15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taste;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nutritional profile;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texture;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82" w:right="259" w:bottom="1440" w:gutter="0" w:footer="0" w:header="0"/>
        </w:sectPr>
      </w:pPr>
    </w:p>
    <w:bookmarkStart w:id="95" w:name="page96"/>
    <w:bookmarkEnd w:id="95"/>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lack of soy, gluten and GMOs;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access to major restaurant and foodservice outlets and integration into menus;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protection on products.</w:t>
      </w:r>
    </w:p>
    <w:p>
      <w:pPr>
        <w:spacing w:after="0" w:line="171"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and distribution capabilities, stronger brand recognition and greater marketing resources than we have.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June 29, 2019, we had 400 full-time employees, including 220 in operations, 71 in innovation, research and development, 50 in sales and marketing and 17 in finance. Of the full-time employees, 89 are contract workers. None of our employees is represented by a labor union. We have never experienced a labor-related work stoppage.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do not own any real property. We lease our headquarters at 119 Standard St., El Segundo, California pursuant to a lease agreement that expires on February 29, 2024. The building is approximately 17,600 square feet. If we are not in breach of the terms of this lease and provide our landlord with the required notice, we have an option to extend the term for an additional 36 months commencing when the prior term expires. We also lease our 30,000-square-foot Manhattan Beach Project Innovation Center at 1325 East El Segundo Blvd., El Segundo, California pursuant to a lease agreement that expires on January 31, 2022. If we are not in breach of the terms of this lease and provide our landlord with the required notice, we have an option to extend the term of this lease for an additional 24-month period commencing when the prior term expires.</w:t>
      </w:r>
    </w:p>
    <w:p>
      <w:pPr>
        <w:spacing w:after="0" w:line="15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also lease our industrial manufacturing plant located at 1714 Commerce Ct., Suites A&amp;B, Columbia, Missouri pursuant to a lease agreement, as supplemented by a side letter dated June 10, 2014. We recently signed a one-year extension of the lease term, which expires on June 30, 2020. The approximately 26,000-square-foot facility houses our industrial manufacturing plant.</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recently opened an expanded manufacturing facility located at 2400 Maguire Boulevard, Columbia, Missouri pursuant to a lease agreement that expires on October 1, 2024. The manufacturing facility is approximately 64,000 square feet. If we are not in breach of the terms of our lease, the term of the lease will be automatically renewed for two consecutive three-year option periods.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382" w:right="279" w:bottom="1440" w:gutter="0" w:footer="0" w:header="0"/>
        </w:sectPr>
      </w:pPr>
    </w:p>
    <w:bookmarkStart w:id="96" w:name="page97"/>
    <w:bookmarkEnd w:id="96"/>
    <w:p>
      <w:pPr>
        <w:ind w:right="540" w:firstLine="324"/>
        <w:spacing w:after="0" w:line="262" w:lineRule="auto"/>
        <w:rPr>
          <w:sz w:val="20"/>
          <w:szCs w:val="20"/>
          <w:color w:val="auto"/>
        </w:rPr>
      </w:pPr>
      <w:r>
        <w:rPr>
          <w:rFonts w:ascii="Arial" w:cs="Arial" w:eastAsia="Arial" w:hAnsi="Arial"/>
          <w:sz w:val="18"/>
          <w:szCs w:val="18"/>
          <w:color w:val="auto"/>
        </w:rPr>
        <w:t>We believe that our facilities are sufficient to meet our current needs and that suitable additional space will be available as and when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research and development team, create, tests and refines our products at our Manhattan Beach Project Innovation Center. We employ in-house scientists, engineers, researchers and testers to help create the next iterations to plant-based meat products. Our team has delivered a number of first-to-market breakthroughs focused on plant-based meat and we are also focused on continuous improvement of existing products. We have and will continue to protect any intellectual property created by us.</w:t>
      </w:r>
    </w:p>
    <w:p>
      <w:pPr>
        <w:spacing w:after="0" w:line="150"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As of June 29, 2019, we employed approximately 71 scientists, engineers, researchers, technicians and chefs to help create the next generation of food for our consumers.</w:t>
      </w:r>
    </w:p>
    <w:p>
      <w:pPr>
        <w:spacing w:after="0" w:line="14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Beyond Meat Rapid and Relentless Innovation Program defines the details of the product innovation process from ideation and prototype development through commercialization. This process assigns responsibility and accountability of each functional team throughout the process and defines deliverables at each step.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Innovation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Innovation is a core competency of ours and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for these products that replicate taste, texture and aroma of their animal-based equivalents. We have been able to leverage the success of our existing products and resulting brand equity to launch improved versions our existing products and create new products. We have a range of new products in our pipeline and our goal is to develop at least one new product a year.</w:t>
      </w:r>
    </w:p>
    <w:p>
      <w:pPr>
        <w:spacing w:after="0" w:line="15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innovation team undertakes extensive research projects to increase our fundamental understanding of animal-based meat and plant-based equivalents. A few examples of where we are focusing on continued refinements of our products include:</w:t>
      </w:r>
    </w:p>
    <w:p>
      <w:pPr>
        <w:spacing w:after="0" w:line="124" w:lineRule="exact"/>
        <w:rPr>
          <w:sz w:val="20"/>
          <w:szCs w:val="20"/>
          <w:color w:val="auto"/>
        </w:rPr>
      </w:pPr>
    </w:p>
    <w:p>
      <w:pPr>
        <w:ind w:left="660" w:right="40" w:hanging="328"/>
        <w:spacing w:after="0" w:line="28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Better fat adipose tissue and saturated fat mimics</w:t>
      </w:r>
      <w:r>
        <w:rPr>
          <w:rFonts w:ascii="Arial" w:cs="Arial" w:eastAsia="Arial" w:hAnsi="Arial"/>
          <w:sz w:val="18"/>
          <w:szCs w:val="18"/>
          <w:color w:val="auto"/>
        </w:rPr>
        <w:t>: We are researching new materials and technologies capable of mimicking saturated</w:t>
      </w:r>
      <w:r>
        <w:rPr>
          <w:rFonts w:ascii="Arial" w:cs="Arial" w:eastAsia="Arial" w:hAnsi="Arial"/>
          <w:sz w:val="18"/>
          <w:szCs w:val="18"/>
          <w:i w:val="1"/>
          <w:iCs w:val="1"/>
          <w:color w:val="auto"/>
        </w:rPr>
        <w:t xml:space="preserve"> </w:t>
      </w:r>
      <w:r>
        <w:rPr>
          <w:rFonts w:ascii="Arial" w:cs="Arial" w:eastAsia="Arial" w:hAnsi="Arial"/>
          <w:sz w:val="18"/>
          <w:szCs w:val="18"/>
          <w:color w:val="auto"/>
        </w:rPr>
        <w:t>fat in terms of texture and appearance, but without the nutritional drawbacks of saturated fat.</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Alternative functional proteins</w:t>
      </w:r>
      <w:r>
        <w:rPr>
          <w:rFonts w:ascii="Arial" w:cs="Arial" w:eastAsia="Arial" w:hAnsi="Arial"/>
          <w:sz w:val="18"/>
          <w:szCs w:val="18"/>
          <w:color w:val="auto"/>
        </w:rPr>
        <w:t>: We pursue new non-animal proteins that add function to our food products, including native proteins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denature during cooking, protein binders and protein emulsifying agents and proteins.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Additional connective tissue equivalents</w:t>
      </w:r>
      <w:r>
        <w:rPr>
          <w:rFonts w:ascii="Arial" w:cs="Arial" w:eastAsia="Arial" w:hAnsi="Arial"/>
          <w:sz w:val="18"/>
          <w:szCs w:val="18"/>
          <w:color w:val="auto"/>
        </w:rPr>
        <w:t>: We are seeking materials and methods to introduce additional cartilaginous-like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heterogeneity in the form of both texture and appearance in our food products.</w:t>
      </w:r>
    </w:p>
    <w:p>
      <w:pPr>
        <w:spacing w:after="0" w:line="107"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Encapsulation materials and technology: </w:t>
      </w:r>
      <w:r>
        <w:rPr>
          <w:rFonts w:ascii="Arial" w:cs="Arial" w:eastAsia="Arial" w:hAnsi="Arial"/>
          <w:sz w:val="18"/>
          <w:szCs w:val="18"/>
          <w:color w:val="auto"/>
        </w:rPr>
        <w:t>We are seeking new materials and technologies to expand the scope of controlled-release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systems in our food products as it relates to delivering flavor, color and texturizing agents.</w:t>
      </w:r>
    </w:p>
    <w:p>
      <w:pPr>
        <w:spacing w:after="0" w:line="107"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Materials and technologies to support flavor and texture development: </w:t>
      </w:r>
      <w:r>
        <w:rPr>
          <w:rFonts w:ascii="Arial" w:cs="Arial" w:eastAsia="Arial" w:hAnsi="Arial"/>
          <w:sz w:val="18"/>
          <w:szCs w:val="18"/>
          <w:color w:val="auto"/>
        </w:rPr>
        <w:t>We are seeking non-GMO enzymes that can assist with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enzymolysis as it relates to flavor reactions.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each of 2017 and 2018, we experienced strong net revenue growth compared to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382" w:right="259" w:bottom="1440" w:gutter="0" w:footer="0" w:header="0"/>
        </w:sectPr>
      </w:pPr>
    </w:p>
    <w:bookmarkStart w:id="97" w:name="page98"/>
    <w:bookmarkEnd w:id="97"/>
    <w:p>
      <w:pPr>
        <w:ind w:right="340"/>
        <w:spacing w:after="0" w:line="262" w:lineRule="auto"/>
        <w:rPr>
          <w:sz w:val="20"/>
          <w:szCs w:val="20"/>
          <w:color w:val="auto"/>
        </w:rPr>
      </w:pPr>
      <w:r>
        <w:rPr>
          <w:rFonts w:ascii="Arial" w:cs="Arial" w:eastAsia="Arial" w:hAnsi="Arial"/>
          <w:sz w:val="18"/>
          <w:szCs w:val="18"/>
          <w:color w:val="auto"/>
        </w:rPr>
        <w:t>previous year, which masked this seasonal impact. As our business continues to grow, we expect to see additional seasonality effects, with revenue growth tending to be greater in the second and third quarters of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are the Beyond Burger, Beyond Beef, Beyond Chicken, Beyond Meat, Beyond Sausage, Beyond Breakfast Sausage, The Cookout Classic, The Future of Protein and The Future of Protein Beyond Meat, all of which are registered or pending registration with the U.S. Patent and Trademark Office. Our trademarks are valuable assets that reinforce the distinctiveness of our brand to our consumers. We have applied for or have trademark registrations internationally as well, including in Argentina, Australia, Brazil, Canada, Chile, China, Colombia, Costa Rica, Egypt, the European Union, Hong Kong, India, Indonesia, Israel, Japan, Mexico, the Middle East, New Zealand, Norway, the Philippines, South Korea, Russia, Saudi Arabia, Singapore, South Africa, Switzerland, Taiwan, Thailand, Turkey and the United Arab Emirates. We believe the protection of our trademarks, copyrights, patents, domain names, trade dress and trade secrets are important to our success.</w:t>
      </w:r>
    </w:p>
    <w:p>
      <w:pPr>
        <w:spacing w:after="0" w:line="15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Our domain name is www.beyondmeat.com, which drew approximately 5.4 million visitors from August 2018 to July 2019 based on Google Analytics.</w:t>
      </w:r>
    </w:p>
    <w:p>
      <w:pPr>
        <w:spacing w:after="0" w:line="148" w:lineRule="exact"/>
        <w:rPr>
          <w:sz w:val="20"/>
          <w:szCs w:val="20"/>
          <w:color w:val="auto"/>
        </w:rPr>
      </w:pPr>
    </w:p>
    <w:p>
      <w:pPr>
        <w:jc w:val="both"/>
        <w:ind w:right="220" w:firstLine="324"/>
        <w:spacing w:after="0" w:line="262"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At July 15, 2019, we had one issued patent in the United States and five pending patent applications in the United States and 13 pending international patent applications.</w:t>
      </w:r>
    </w:p>
    <w:p>
      <w:pPr>
        <w:spacing w:after="0" w:line="14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or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Along with our co-manufacturers, brokers, distributors and ingredients and packaging suppliers, we are subject to extensive laws and regulations in the United States by federal, state and local government authorities. In the United States, the primary federal agencies governing the manufacture, distribution, labeling and advertising of our products are the U.S. Food and Drug Administration, or FDA, and the U.S. Federal Trade Commission, or FTC. Under various federal statutes and implementing regulations, these agencies, among other things, prescribe the requirements and establish the standards for quality and safety and regulate our product composition, manufacturing, labeling and other marketing and advertising to consumers. Among other things, the facilities in which our products and ingredients are manufactured must register with the FDA, comply with current good manufacturing practices, or GMPs and comply 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82" w:right="259" w:bottom="1440" w:gutter="0" w:footer="0" w:header="0"/>
        </w:sectPr>
      </w:pPr>
    </w:p>
    <w:bookmarkStart w:id="98" w:name="page99"/>
    <w:bookmarkEnd w:id="98"/>
    <w:p>
      <w:pPr>
        <w:ind w:right="100"/>
        <w:spacing w:after="0" w:line="252" w:lineRule="auto"/>
        <w:rPr>
          <w:sz w:val="20"/>
          <w:szCs w:val="20"/>
          <w:color w:val="auto"/>
        </w:rPr>
      </w:pPr>
      <w:r>
        <w:rPr>
          <w:rFonts w:ascii="Arial" w:cs="Arial" w:eastAsia="Arial" w:hAnsi="Arial"/>
          <w:sz w:val="18"/>
          <w:szCs w:val="18"/>
          <w:color w:val="auto"/>
        </w:rPr>
        <w:t>a range of food safety requirements established by and implemented under the Food Safety Modernization Act of 2011. The FDA has the authority to inspect these facilities to evaluate compliance with these requirements. The FDA also requires that certain nutrition and product information appear on our product labels and, more generally, that our labels and labeling be truthful and non-misleading. Similarly, the FTC requires that our marketing and advertising be truthful, non-misleading and not deceptive to consumers. We are also restricted from making certain types of claims about our products, including nutrient content claims, health claims, and claims regarding the effects of our products on any structure or function of the body, whether express or implied, unless we satisfy certain regulatory requirements.</w:t>
      </w:r>
    </w:p>
    <w:p>
      <w:pPr>
        <w:spacing w:after="0" w:line="15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the U.S. Department of Agriculture, or USDA, regulates certain categories of food products, including meat and poultry products. Although our plant-based products are not currently regulated by the USDA, in February 2018, the agency received a petition from industry requesting that it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w:t>
      </w:r>
    </w:p>
    <w:p>
      <w:pPr>
        <w:spacing w:after="0" w:line="15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We believe that our products are manufactured and labeled in material compliance with all relevant state requirements, including the recent Missouri law, and pay close attention to any developments at the state or federal level that could apply to our products and our labeling claims.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subject to the laws of Australia, Canada, Hong Kong, Israel and the United Kingdom.</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subject to labor and employment laws, laws governing advertising, privacy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entered into a one-year supply agreement with Roquette America, Inc., or Roquette, which provides us with pea protein sourced from yellow peas from Canada and France. The agreement expires on December 31, 2019. This agreement increases the amount of pea protein to be supplied by Roquette in 2019 compared to a previous agreement with Roquette which was superseded by this new agreement. The pea protein obtained pursuant to the supply agreement is obtained on a purchase order basis regularly, per fairly equal quantities, throughout the term. Roquette is not obligated to supply us with pea protein in amounts in excess of the regular spread by month of the total minimum quantity required to be purchased by us. We have the right to cancel purchase orders if we provide timely written notice; however, the total annual amount purchased must be at least the minimum amount specified in the agreement. We also have the right to be indemnified by Roquette in certain circumstances. Roquette is located in France and ships the pea protein to an intermediary storage facility in Chicago, Illinois.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382" w:right="259" w:bottom="1440" w:gutter="0" w:footer="0" w:header="0"/>
        </w:sectPr>
      </w:pPr>
    </w:p>
    <w:bookmarkStart w:id="99" w:name="page100"/>
    <w:bookmarkEnd w:id="99"/>
    <w:p>
      <w:pPr>
        <w:ind w:right="40" w:firstLine="324"/>
        <w:spacing w:after="0" w:line="253" w:lineRule="auto"/>
        <w:rPr>
          <w:sz w:val="20"/>
          <w:szCs w:val="20"/>
          <w:color w:val="auto"/>
        </w:rPr>
      </w:pPr>
      <w:r>
        <w:rPr>
          <w:rFonts w:ascii="Arial" w:cs="Arial" w:eastAsia="Arial" w:hAnsi="Arial"/>
          <w:sz w:val="18"/>
          <w:szCs w:val="18"/>
          <w:color w:val="auto"/>
        </w:rPr>
        <w:t>We have a three-year supply agreement with PURIS Proteins, LLC, or Puris, under which we may purchase domestically sourced pea protein. The agreement expires on December 31, 2021. We obtain protein under the supply agreement on a purchase order basis. We have the right to cancel purchase orders if we provide timely written notice; however, the total amount purchased in each year must be at least either the minimum volume specified for that year in the agreement or an amount based on a formula. We also have the right to be indemnified by Puris and must indemnify Puris in certain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and other claims cannot be predicted with certainty, management does not believe the ultimate resolution of the current matters will have a material adverse effect on our business, financial condition, results of operations or cash flows.</w:t>
      </w:r>
    </w:p>
    <w:p>
      <w:pPr>
        <w:spacing w:after="0" w:line="14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deny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5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Don Lee Farms is seeking from Beyond Meat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 We are currently in the process of litigating this matter and intend to vigorously defend ourselves against the claims.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82"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June 29,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120" w:type="dxa"/>
            <w:vAlign w:val="bottom"/>
            <w:tcBorders>
              <w:bottom w:val="single" w:sz="8" w:color="CCEEFF"/>
            </w:tcBorders>
          </w:tcPr>
          <w:p>
            <w:pPr>
              <w:spacing w:after="0"/>
              <w:rPr>
                <w:sz w:val="19"/>
                <w:szCs w:val="19"/>
                <w:color w:val="auto"/>
              </w:rPr>
            </w:pPr>
          </w:p>
        </w:tc>
        <w:tc>
          <w:tcPr>
            <w:tcW w:w="626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Position</w:t>
            </w:r>
          </w:p>
        </w:tc>
      </w:tr>
      <w:tr>
        <w:trPr>
          <w:trHeight w:val="25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 Brown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Seth Goldman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 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J. Nelson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Charles Muth</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Growth Officer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Dariush Ajami</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Innovation Officer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Stephanie Pullings Hart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Teri L. Witteman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Bohlen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20" w:type="dxa"/>
            <w:vAlign w:val="bottom"/>
            <w:shd w:val="clear" w:color="auto" w:fill="CCEEFF"/>
          </w:tcPr>
          <w:p>
            <w:pPr>
              <w:spacing w:after="0"/>
              <w:rPr>
                <w:sz w:val="23"/>
                <w:szCs w:val="23"/>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Diane Carhart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J. Lane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Bernhard van Lengerich, Ph.D.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 Segal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Christopher Isaac Stone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Thompson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5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Kathy N. Waller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Ethan Brown is the founder of Beyond Meat and has served as our President and Chief Executive Officer and as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since our inception in 2009. He also served as our Secretary since our inception to September 2018. Mr. Brown began his career with a focus on clean energy and the environment, serving as an energy analyst for the National Governors’ Center for Best Practices. He then joined Ballard Power Systems (NASDAQ: BLDP), a hydrogen fuel-cell company where he worked for several years, being promoted from an entry-level manager to reporting directly to the Chief Executive Officer before leaving to found Beyond Meat. Mr. Brown also created and opened a center for fuel reformation and has held several industry positions, including Vice Chairman of the Board at The National Hydrogen Association and Secretary of the United States Fuel Cell Council. He is a Henry Crown Fellow at the Aspen Institute and, along with Beyond Meat, is the recipient of the United Nation’s highest environmental accolade, Champion of the Earth (2018). Mr. Brown holds a MBA from Columbia University and an MPP with a focus on Environment from the University of Maryland. We believe Mr. Brown’s strategic vision for the company and his expertise in technology and business operations makes him qualified to serve on our board.</w:t>
      </w:r>
    </w:p>
    <w:p>
      <w:pPr>
        <w:spacing w:after="0" w:line="13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Seth Goldman joined Beyond Meat as Executive Chair and as a member of our board of directors in February 2013. Mr.</w:t>
      </w:r>
      <w:r>
        <w:rPr>
          <w:rFonts w:ascii="Arial" w:cs="Arial" w:eastAsia="Arial" w:hAnsi="Arial"/>
          <w:sz w:val="18"/>
          <w:szCs w:val="18"/>
          <w:i w:val="1"/>
          <w:iCs w:val="1"/>
          <w:color w:val="auto"/>
        </w:rPr>
        <w:t xml:space="preserve"> </w:t>
      </w:r>
      <w:r>
        <w:rPr>
          <w:rFonts w:ascii="Arial" w:cs="Arial" w:eastAsia="Arial" w:hAnsi="Arial"/>
          <w:sz w:val="18"/>
          <w:szCs w:val="18"/>
          <w:color w:val="auto"/>
        </w:rPr>
        <w:t>Goldman is also currently the TeaEO Emeritus and Innovation Catalyst for Coca-Cola Company’s Venturing &amp; Emerging Brands, a part-time position he has held since November 2015. Mr. Goldman co-founded Honest Tea Inc., a bottled organic tea company, in February 1998, which was later sold to The Coca-Cola Company, and previously served as Honest Tea’s President and TeaEO until 2015. In 2015, Mr. Goldman was named the #1 Disruptor by Beverage World, and Beverage Executive of the Year by Beverage Industry magazine. He has also been recognized as an Ernst &amp; Young Entrepreneur of the Year and the Washington DC Business Hall of Fame. In 2018, Partnership for a Healthier America recognized Mr. Goldman with its Visionary CEO award. Mr. Goldman serves on the advisory boards of Ripple Foods, a dairy-free plant-based milk company (November 2015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8" w:right="239" w:bottom="1440" w:gutter="0" w:footer="0" w:header="0"/>
        </w:sectPr>
      </w:pPr>
    </w:p>
    <w:bookmarkStart w:id="101" w:name="page102"/>
    <w:bookmarkEnd w:id="101"/>
    <w:p>
      <w:pPr>
        <w:ind w:right="20"/>
        <w:spacing w:after="0" w:line="252" w:lineRule="auto"/>
        <w:rPr>
          <w:sz w:val="20"/>
          <w:szCs w:val="20"/>
          <w:color w:val="auto"/>
        </w:rPr>
      </w:pPr>
      <w:r>
        <w:rPr>
          <w:rFonts w:ascii="Arial" w:cs="Arial" w:eastAsia="Arial" w:hAnsi="Arial"/>
          <w:sz w:val="18"/>
          <w:szCs w:val="18"/>
          <w:color w:val="auto"/>
        </w:rPr>
        <w:t>to present), the Yale School of Management (July 2013 to present), the American Beverage Association (April 2010 to present), and Bethesda Green, a local sustainability non-profit he co-founded (January 2008 to present). He has a BA degree in Government from Harvard College and a Masters of Private &amp; Public Management degree from Yale School of Management and is a Henry Crown Fellow of the Aspen Institute. We believe that Mr. Goldman is qualified to serve on our board of directors due to his extensive experience working at fast-growing brands in the food and beverage industry, his experience founding and building an entrepreneurial company and his knowledge of sustainable business practices.</w:t>
      </w:r>
    </w:p>
    <w:p>
      <w:pPr>
        <w:spacing w:after="0" w:line="13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Mark J. Nelson</w:t>
      </w:r>
      <w:r>
        <w:rPr>
          <w:rFonts w:ascii="Arial" w:cs="Arial" w:eastAsia="Arial" w:hAnsi="Arial"/>
          <w:sz w:val="18"/>
          <w:szCs w:val="18"/>
          <w:color w:val="auto"/>
        </w:rPr>
        <w:t>. Mark J. Nelson rejoined Beyond Meat as Chief Operating Officer and Chief Financial Officer in May 2017.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was also appointed Treasurer and Secretary and resigned his Chief Operating Officer position. He resigned as Secretary in May 2019. Mr. Nelson briefly served as Senior Vice President and Chief Financial Officer of Biolase (NASDAQ: BIOL), a medical device company, from March 2017 to May 2017. From February 2016 to March 2017, Mr. Nelson served as our Chief Operating Officer and Chief Financial Officer and from December 2015 to February 2016 served solely as our Chief Financial Officer. From April 2013 to November 2015, Mr. Nelson was Treasurer and Chief Financial Officer of Farmer Bros. Co. (NASDAQ: FARM), a manufacturer, wholesaler and distributor of coffee, tea, spices and culinary products. Prior to that, Mr. Nelson served as Chief Accounting Officer (April 2010 to April 2013), Vice President, Corporate Controller (June 2008 to April 2010) and Vice President and General Manager (June 2006 to May 2008) at Newport Corporation, a formerly publicly traded global supplier of advanced-technology products and systems. He also worked at Thermo Fisher (NYSE: TMO), a biotechnology product development company from June 2002 to October 2004. Mr. Nelson has a BS degree in Business Administration from the University of Massachusetts at Amherst, and an MBA degree from Babson College.</w:t>
      </w:r>
    </w:p>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Charles Muth</w:t>
      </w:r>
      <w:r>
        <w:rPr>
          <w:rFonts w:ascii="Arial" w:cs="Arial" w:eastAsia="Arial" w:hAnsi="Arial"/>
          <w:sz w:val="18"/>
          <w:szCs w:val="18"/>
          <w:color w:val="auto"/>
        </w:rPr>
        <w:t>. Charles Muth joined Beyond Meat as Chief Growth Officer in May 2017. In addition to his role at Beyond Meat, Mr. Muth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on the board of directors of Bali Beverage Company LLC, a beverage company, which specializes in beverages made from mangosteen. From January 2014 to January 2017, Mr. Muth led the creation of a new entrepreneurial sales and commercial organization within the Coca-Cola Company called Venturing &amp; Emerging Brands as Senior Vice-President. From January 2010 to January 2017, Mr. Muth was Vice President of Sales at Honest Tea Inc. after its acquisition by the Coca-Cola Company. From February 2004 to January 2010, Mr. Muth was Senior Vice President of Sales and Marketing at The Philadelphia Coca-Cola Bottling Company. Mr. Muth also served as Managing Director of Seagram’s non-alcoholic mixer business from 2002 to 2004 after its acquisition by the Coca-Cola Company. Prior to the acquisition, Mr. Muth served as the Vice President and General Manager of Joseph E. Seagram &amp; Sons, Inc.’s global non-alcoholic beverages business unit from 1992 to 2002. Mr. Muth has a BS degree in Marketing and Management from Montclair State University and an MBA degree in Finance from Fairleigh Dickenson University.</w:t>
      </w:r>
    </w:p>
    <w:p>
      <w:pPr>
        <w:spacing w:after="0" w:line="13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Dariush Ajami, Ph.D. </w:t>
      </w:r>
      <w:r>
        <w:rPr>
          <w:rFonts w:ascii="Arial" w:cs="Arial" w:eastAsia="Arial" w:hAnsi="Arial"/>
          <w:sz w:val="17"/>
          <w:szCs w:val="17"/>
          <w:color w:val="auto"/>
        </w:rPr>
        <w:t>Dariush Ajami, Ph.D., joined Beyond Meat in June 2015. Since July 2018, Dr. Ajami has been Chief Innovation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Beyond Meat. He served as Director of Chemistry from June 2015 to August 2016, Director of Research from August 2016 to August 2017 and Vice President of Innovation from August 2017 to July 2018. Prior to joining Beyond Meat, Mr. Ajami was an Assistant Professor of Molecular Assembly at The Scripps Research Institute and Skaggs Institute of Chemical Biology from July 2008 to June 2015, where he worked on the fundamentals of molecular assembly, natural products and their applications in therapeutic development. Mr. Ajami has a BS degree in Chemistry from Isfahan University, Iran, a M.S. in Organic Chemistry from the Chemistry and Chemical Engineering Research Center of Iran, and a Ph.D. degree in Organic Chemistry from Technical University of Brunswick (Technische Universität Braunschweig), Germany.</w:t>
      </w:r>
    </w:p>
    <w:p>
      <w:pPr>
        <w:spacing w:after="0" w:line="11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Stephanie Pullings Hart</w:t>
      </w:r>
      <w:r>
        <w:rPr>
          <w:rFonts w:ascii="Arial" w:cs="Arial" w:eastAsia="Arial" w:hAnsi="Arial"/>
          <w:sz w:val="18"/>
          <w:szCs w:val="18"/>
          <w:color w:val="auto"/>
        </w:rPr>
        <w:t>. Stephanie Pullings Hart joined Beyond Meat as Senior Vice President, Operations in January 2018. Prior to 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role, Ms. Hart was Vice President, Technical &amp; Production for Nestlé USA’s Confections and Global Foods and Ice Cream divisions from March 2016 to January 2018. She assumed her role in Nestlé USA, a subsidiary of Nestlé SA (SWX: NESN), after a three-year assignment as the Executive Director Technical &amp; Production, Nestlé Australia Ltd. from January 2013 to March 2016. Ms. Hart also worked as the Vice President, Operations, Nestlé Nutrition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82" w:right="239" w:bottom="1440" w:gutter="0" w:footer="0" w:header="0"/>
        </w:sectPr>
      </w:pPr>
    </w:p>
    <w:bookmarkStart w:id="102" w:name="page103"/>
    <w:bookmarkEnd w:id="102"/>
    <w:p>
      <w:pPr>
        <w:ind w:right="140"/>
        <w:spacing w:after="0" w:line="256" w:lineRule="auto"/>
        <w:rPr>
          <w:sz w:val="20"/>
          <w:szCs w:val="20"/>
          <w:color w:val="auto"/>
        </w:rPr>
      </w:pPr>
      <w:r>
        <w:rPr>
          <w:rFonts w:ascii="Arial" w:cs="Arial" w:eastAsia="Arial" w:hAnsi="Arial"/>
          <w:sz w:val="18"/>
          <w:szCs w:val="18"/>
          <w:color w:val="auto"/>
        </w:rPr>
        <w:t>Jenny Craig from January 2010 to December 2012. Ms. Hart began her career with Nestlé in 1995 and has held roles of increasing responsibility in manufacturing, research and development and human resources. She has a BS degree in Chemical Engineering from Florida State University and an Executive MBA degree from Benedictine College.</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Teri L. Witteman</w:t>
      </w:r>
      <w:r>
        <w:rPr>
          <w:rFonts w:ascii="Arial" w:cs="Arial" w:eastAsia="Arial" w:hAnsi="Arial"/>
          <w:sz w:val="18"/>
          <w:szCs w:val="18"/>
          <w:color w:val="auto"/>
        </w:rPr>
        <w:t>. Teri L. Witteman joined Beyond Meat as General Counsel and Secretary in May 2019. Prior to her current role, Ms.</w:t>
      </w:r>
      <w:r>
        <w:rPr>
          <w:rFonts w:ascii="Arial" w:cs="Arial" w:eastAsia="Arial" w:hAnsi="Arial"/>
          <w:sz w:val="18"/>
          <w:szCs w:val="18"/>
          <w:i w:val="1"/>
          <w:iCs w:val="1"/>
          <w:color w:val="auto"/>
        </w:rPr>
        <w:t xml:space="preserve"> </w:t>
      </w:r>
      <w:r>
        <w:rPr>
          <w:rFonts w:ascii="Arial" w:cs="Arial" w:eastAsia="Arial" w:hAnsi="Arial"/>
          <w:sz w:val="18"/>
          <w:szCs w:val="18"/>
          <w:color w:val="auto"/>
        </w:rPr>
        <w:t>Witteman was a partner with Musick, Peeler &amp; Garrett LLP from April 2016 to May 2019, specializing in the areas of SEC compliance, corporate governance, and mergers and acquisitions. Before joining Musick Peeler, Ms. Witteman was an attorney with Anglin Flewelling Rasmussen Campbell &amp; Trytten LLP from September 2004 to April 2016. From December 2012 to September 2018, Ms. Witteman served as Secretary of Farmer Bros. Co. (NASDAQ: FARM), a national coffee roaster, wholesaler and distributor of coffee, tea and culinary products. Ms. Witteman began her career with Latham &amp; Watkins LLP in Los Angeles, where she focused on corporate finance and mergers and acquisitions. Ms. Witteman received a Juris Doctor, Order of the Coif, from UCLA School of Law, and a BA in Economics from the University of California, Berkeley.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Business background information regarding Mr. Brown is set forth under “Executive Officers” above.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Business background information regarding Mr. Goldman is set forth under “Executive Officers” above.</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Gregory Bohlen. </w:t>
      </w:r>
      <w:r>
        <w:rPr>
          <w:rFonts w:ascii="Arial" w:cs="Arial" w:eastAsia="Arial" w:hAnsi="Arial"/>
          <w:sz w:val="18"/>
          <w:szCs w:val="18"/>
          <w:color w:val="auto"/>
        </w:rPr>
        <w:t>Gregory Bohlen has served as a member of our board of directors since February 2013. Mr. Bohlen co-founded Union</w:t>
      </w:r>
      <w:r>
        <w:rPr>
          <w:rFonts w:ascii="Arial" w:cs="Arial" w:eastAsia="Arial" w:hAnsi="Arial"/>
          <w:sz w:val="18"/>
          <w:szCs w:val="18"/>
          <w:i w:val="1"/>
          <w:iCs w:val="1"/>
          <w:color w:val="auto"/>
        </w:rPr>
        <w:t xml:space="preserve"> </w:t>
      </w:r>
      <w:r>
        <w:rPr>
          <w:rFonts w:ascii="Arial" w:cs="Arial" w:eastAsia="Arial" w:hAnsi="Arial"/>
          <w:sz w:val="18"/>
          <w:szCs w:val="18"/>
          <w:color w:val="auto"/>
        </w:rPr>
        <w:t>Grove Venture Partners, a venture capital firm, in March 2014 and serves as a Managing Partner. Prior to that, Mr. Bohlen served as Managing Director, Venture Capital at Morgan Creek Capital Management, LLC, an investment management services company, from November 2011 to March 2014 to extend Morgan Creek’s venture exposure. From November 2002 to November 2011, Mr. Bohlen served as a managing director of Wasatch Advisors Cross Creek Fund, a venture capital firm. Mr. Bohlen’s experience and relationships in the venture capital and investment banking communities span over 30 years, and he has invested in over 50 venture-backed companies. Mr. Bohlen has a BS degree in Agricultural Economics and a MBA degree from the University of Illinois at Urbana-Champaign. We believe that Mr. Bohlen is qualified to serve on our board of directors due to his deep experience in working with entrepreneurial companies.</w:t>
      </w:r>
    </w:p>
    <w:p>
      <w:pPr>
        <w:spacing w:after="0" w:line="131"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i w:val="1"/>
          <w:iCs w:val="1"/>
          <w:color w:val="auto"/>
        </w:rPr>
        <w:t>Diane Carhart</w:t>
      </w:r>
      <w:r>
        <w:rPr>
          <w:rFonts w:ascii="Arial" w:cs="Arial" w:eastAsia="Arial" w:hAnsi="Arial"/>
          <w:sz w:val="18"/>
          <w:szCs w:val="18"/>
          <w:color w:val="auto"/>
        </w:rPr>
        <w:t>. Diane Carhart has served as a member of our board of directors since January 2016. Ms. Carhart joined Stonyfield Farm,</w:t>
      </w:r>
      <w:r>
        <w:rPr>
          <w:rFonts w:ascii="Arial" w:cs="Arial" w:eastAsia="Arial" w:hAnsi="Arial"/>
          <w:sz w:val="18"/>
          <w:szCs w:val="18"/>
          <w:i w:val="1"/>
          <w:iCs w:val="1"/>
          <w:color w:val="auto"/>
        </w:rPr>
        <w:t xml:space="preserve"> </w:t>
      </w:r>
      <w:r>
        <w:rPr>
          <w:rFonts w:ascii="Arial" w:cs="Arial" w:eastAsia="Arial" w:hAnsi="Arial"/>
          <w:sz w:val="18"/>
          <w:szCs w:val="18"/>
          <w:color w:val="auto"/>
        </w:rPr>
        <w:t>Inc., an organic yogurt maker, as Chief Financial Officer in April 1992. and also began serving as Chief Operating Officer in August 2006. Ms. Carhart has a BS degree in Accounting from the University of Connecticut and an MBA degree with a finance concentration from Boston University. We believe that Ms. Carhart is qualified to serve on our board because she has more than 40 years in accounting, finance and operations management with 26 years in the food industry.</w:t>
      </w:r>
    </w:p>
    <w:p>
      <w:pPr>
        <w:spacing w:after="0" w:line="13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Raymond J. Lane. </w:t>
      </w:r>
      <w:r>
        <w:rPr>
          <w:rFonts w:ascii="Arial" w:cs="Arial" w:eastAsia="Arial" w:hAnsi="Arial"/>
          <w:sz w:val="18"/>
          <w:szCs w:val="18"/>
          <w:color w:val="auto"/>
        </w:rPr>
        <w:t>Raymond J. Lane has served as a member of our board of directors since February 2015. Mr. Lane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at GreatPoint Ventures, a venture capital firm since March 2015. Mr. Lane has served as a Partner Emeritus and Advisor of Kleiner, Perkins, Caufield &amp; Byers LLC, a venture capital firm, since April 2013 and was a Managing Partner of Kleiner, Perkins, Caufield &amp; Byers LLC from September 2000 to April 2013. Mr. Lane has served on the board of directors of Hewlett Packard Enterprises (NYSE: HPE) from November 2015 to the present. In addition, Mr. Lane previously served as a member of the board of directors of Hewlett Packard, Inc. (NYSE: HPQ) from September 2010 to November 2015, where he also was the executive Chairman of the Board from September 2011 to April 2013 and the non-executive Chairman of the Board from November 2010 to September 2011. Prior to joining Kleiner Perkins, Mr. Lane was President and Chief Operating Officer and a director of Oracle Corporation, a software company. Mr. Lane also served as Chairman of the Board of Trustees of Carnegie Mellon University from July 2009 to July 2015. Mr. Lane holds a BS degree 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82" w:right="239" w:bottom="1440" w:gutter="0" w:footer="0" w:header="0"/>
        </w:sectPr>
      </w:pPr>
    </w:p>
    <w:bookmarkStart w:id="103" w:name="page104"/>
    <w:bookmarkEnd w:id="103"/>
    <w:p>
      <w:pPr>
        <w:ind w:right="60"/>
        <w:spacing w:after="0" w:line="262" w:lineRule="auto"/>
        <w:rPr>
          <w:sz w:val="20"/>
          <w:szCs w:val="20"/>
          <w:color w:val="auto"/>
        </w:rPr>
      </w:pPr>
      <w:r>
        <w:rPr>
          <w:rFonts w:ascii="Arial" w:cs="Arial" w:eastAsia="Arial" w:hAnsi="Arial"/>
          <w:sz w:val="18"/>
          <w:szCs w:val="18"/>
          <w:color w:val="auto"/>
        </w:rPr>
        <w:t>Mathematics and honorary Ph.D. Science from West Virginia University. We believe that Mr. Lane is qualified to serve on our board of directors due to his experience in working with entrepreneurial companies and his experience on other public company boards of directors.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Bernhard van Lengerich, Ph.D. </w:t>
      </w:r>
      <w:r>
        <w:rPr>
          <w:rFonts w:ascii="Arial" w:cs="Arial" w:eastAsia="Arial" w:hAnsi="Arial"/>
          <w:sz w:val="18"/>
          <w:szCs w:val="18"/>
          <w:color w:val="auto"/>
        </w:rPr>
        <w:t>Bernhard van Lengerich, Ph.D., has served as a member of our board of directors since November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Dr. van Lengerich joined General Mills, Inc. (NYSE: GIS), a multinational manufacturer and marketer of branded consumer food, in 1994 and was the Chief Scientific Officer and Vice President for Technology Strategy from 2007 until his retirement from General Mills in March 2015. Dr. van Lengerich is the founder of Seeding the Future Foundation, a 501c(3) organization focusing on food security in sub-Saharan Africa. He also founded Food System Strategies, LLC in 2015, pursuant to which he provides strategic advisory services to companies along the food value chain. Dr. van Lengerich served as our interim Chief Technical Officer and head of Research, Development and Innovation from February 2016 to February 2017 and has provided advisory services to us pursuant to an advisor agreement with Food System Strategies, LLC since October 2015. At General Mills, he led the development of key enabling capabilities resulting in both, new product innovations driving top line growth and major productivity benefits for General Mills’ Holistic Margin Management program. He also led a new Game Changer program and created a novel “Cashless Venturing” initiative, enabling faster and more disruptive innovations. Dr. van Lengerich is inventor/co-inventor of over 150 national and international patents and patent applications and he is an IFT Fellow. He has MS and Ph.D. degrees in Food and Biotechnology from the Technical University of Berlin, which awarded him an Honorarium Professorship and where he also teaches Extrusion Processing. We believe that Dr. van Lengerich is qualified to serve on our board of directors due to his experience in the food industry and strong food science and technology background.</w:t>
      </w:r>
    </w:p>
    <w:p>
      <w:pPr>
        <w:spacing w:after="0" w:line="1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Ned Segal</w:t>
      </w:r>
      <w:r>
        <w:rPr>
          <w:rFonts w:ascii="Arial" w:cs="Arial" w:eastAsia="Arial" w:hAnsi="Arial"/>
          <w:sz w:val="18"/>
          <w:szCs w:val="18"/>
          <w:color w:val="auto"/>
        </w:rPr>
        <w:t>. Ned Segal has served as a member of our board of directors since November 2018. Mr. Segal has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Twitter Inc. (NYSE: TWTR) since August 2017. From January 2015 to August 2017, Mr. Segal served as Senior Vice President of Finance of Intuit Inc. (NASDAQ: INTU), a small business and financial software company. From April 2013 to January 2015, Mr. Segal served as Chief Financial Officer of RPX Corporation, a former publicly traded company that provides patent risk management and discovery services. From 1996 to April 2013, Mr. Segal held various positions at The Goldman Sachs Group, Inc. (NYSE: GS), most recently as Head of Global Software Investment Banking. Mr. Segal holds a BS degree in Spanish from Georgetown University. We believe that Mr. Segal is qualified to serve on our board because of his experience in finance at a number of major public companies.</w:t>
      </w:r>
    </w:p>
    <w:p>
      <w:pPr>
        <w:spacing w:after="0" w:line="135"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i w:val="1"/>
          <w:iCs w:val="1"/>
          <w:color w:val="auto"/>
        </w:rPr>
        <w:t xml:space="preserve">Christopher Isaac “Biz” Stone. </w:t>
      </w:r>
      <w:r>
        <w:rPr>
          <w:rFonts w:ascii="Arial" w:cs="Arial" w:eastAsia="Arial" w:hAnsi="Arial"/>
          <w:sz w:val="18"/>
          <w:szCs w:val="18"/>
          <w:color w:val="auto"/>
        </w:rPr>
        <w:t>Christopher Isaac “Biz” Stone has served as a member of our board of directors since January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Stone is a Co-founder of Twitter, Inc. (NYSE: TWTR) where he has served as Creative Director since 2006 with a hiatus as Advisor between 2012 and 2017. Mr. Stone was the Co-Founder and Chief Executive Officer at Jelly Industries, Inc. from January 2013 to March 2017. Biz served as Special Advisor to the founders of Pinterest from March 2017 to March 2018, has been a Visiting Fellow at Oxford University since August 2015, has served as an advisor to The Global AI Council since August 2018 and is an active angel investor in companies such as Slack, Square, and Intercom. In addition to Twitter, Inc., Mr. Stone co-founded A Medium Corporation in January 2012, which provides an online publishing platform and has served as a member of its Board of Directors since January 2012 and as Creative Director from February 2012 to April 2013. He was also Chairman of the Board of Polaroid Swing, Inc. from July 2016 to November 2017 and was an independent director of Workpop, Inc. from September 2014 until May 2017. His honors include Inc. magazine’s Entrepreneur of the Decade, TIME magazine’s 100 Most Influential People in the World, GQ magazine’s Nerd of the Year and The Economist’s “Innovation Award.” We believe that Mr. Stone is qualified to serve on our board of directors due to his extensive experience in working with entrepreneurial companies.</w:t>
      </w:r>
    </w:p>
    <w:p>
      <w:pPr>
        <w:spacing w:after="0" w:line="139"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i w:val="1"/>
          <w:iCs w:val="1"/>
          <w:color w:val="auto"/>
        </w:rPr>
        <w:t xml:space="preserve">Donald Thompson. </w:t>
      </w:r>
      <w:r>
        <w:rPr>
          <w:rFonts w:ascii="Arial" w:cs="Arial" w:eastAsia="Arial" w:hAnsi="Arial"/>
          <w:sz w:val="18"/>
          <w:szCs w:val="18"/>
          <w:color w:val="auto"/>
        </w:rPr>
        <w:t>Donald Thompson has served as a member of our board of directors since October 2015. Mr. Thompson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Founder and Chief Executive Officer of Cleveland Avenue, LLC, which he founded in 2015. Mr. Thompson served as Chief Executive Officer and President of McDonald’s Corp. (NYSE: MCD) from July 2012 to March 2015 and as Chief Operating Officer of McDonald’s Corp.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82" w:right="239" w:bottom="1440" w:gutter="0" w:footer="0" w:header="0"/>
        </w:sectPr>
      </w:pPr>
    </w:p>
    <w:bookmarkStart w:id="104" w:name="page105"/>
    <w:bookmarkEnd w:id="104"/>
    <w:p>
      <w:pPr>
        <w:spacing w:after="0" w:line="251" w:lineRule="auto"/>
        <w:rPr>
          <w:sz w:val="20"/>
          <w:szCs w:val="20"/>
          <w:color w:val="auto"/>
        </w:rPr>
      </w:pPr>
      <w:r>
        <w:rPr>
          <w:rFonts w:ascii="Arial" w:cs="Arial" w:eastAsia="Arial" w:hAnsi="Arial"/>
          <w:sz w:val="18"/>
          <w:szCs w:val="18"/>
          <w:color w:val="auto"/>
        </w:rPr>
        <w:t>from January 2010 to June 2012. Mr. Thompson has been a member of the board of directors of Northern Trust Corporation (NASDAQ: NTRS), a financial services company, since March 2015 and has been a member of the board of directors of Royal Caribbean Cruises Ltd. (NYSE: RCL), a global cruise company, since May 2015. Mr. Thompson has been a member of the Advisory Board of DocuSign, Inc. (NASDAQ: DOCU), an electronic signature technology company, since February 2016. He serves on the Board of Trustees of Northwestern Memorial Hospital, Cleveland Avenue Foundation for Education and Purdue University (July 2009 to present). Mr. Thompson served as a member of the board of directors of McDonald’s Corp. from January 2011 to March 2015 and as a member of the board of directors of Exelon Corporation (NYSE: EXC), an energy company, from May 2007 to April 2013. Mr. Thompson has a BS degree in Electrical Engineering from Purdue University and a Doctor of Science degree from Excelsior College in Albany, New York. We believe that Mr. Thompson is qualified to serve on our board of directors due to his experience in the food industry and his experience on other public company boards of directors.</w:t>
      </w:r>
    </w:p>
    <w:p>
      <w:pPr>
        <w:spacing w:after="0" w:line="14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Kathy N. Waller</w:t>
      </w:r>
      <w:r>
        <w:rPr>
          <w:rFonts w:ascii="Arial" w:cs="Arial" w:eastAsia="Arial" w:hAnsi="Arial"/>
          <w:sz w:val="18"/>
          <w:szCs w:val="18"/>
          <w:color w:val="auto"/>
        </w:rPr>
        <w:t>. Kathy N. Waller has served as a member of our board of directors since November 2018. Before her retirement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Waller was Executive Vice President, Chief Financial Officer and President, Enabling Services of The Coca-Cola Company (NYSE: KO). Ms. Waller joined The Coca-Cola Company in 1987 as a senior accountant in the Accounting Research Department and has served in a number of accounting and finance roles of increasing responsibility. From July 2004 to August 2009, Ms. Waller served as Chief of Internal Audit. In December 2005, she was elected Vice President of The Coca-Cola Company, and in August 2009, she was elected Controller. In August 2013, she became Vice President, Finance and Controller, assuming additional responsibilities for corporate treasury, corporate tax and finance capabilities, and served in that position until April 2014, when she was appointed Chief Financial Officer and elected Executive Vice President. Ms. Waller assumed expanded responsibility for The Coca-Cola Company's strategic governance areas when she was also appointed to serve as President, Enabling Services, on May 1, 2017. Ms. Waller joined the board of directors of CGI, Group. Inc. in December 2018 and serves on its Audit Committee. She received a BA degree from the University of Rochester in New York and a MBA degree from the William E. Simon School of Business Administration at the University of Rochester, and is a CPA. We believe that Ms. Waller is qualified to serve on our board because she has more than 30 years of experience in accounting and finance at a major public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Composition</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board of directors consists of ten members. In addition, the number of directors is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48" w:lineRule="exact"/>
        <w:rPr>
          <w:sz w:val="20"/>
          <w:szCs w:val="20"/>
          <w:color w:val="auto"/>
        </w:rPr>
      </w:pPr>
    </w:p>
    <w:p>
      <w:pPr>
        <w:ind w:left="660" w:right="34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 directors are Seth Goldman, Christopher Isaac “Biz” Stone and Kathy N. Waller, and their terms will expire at the annual meeting of stockholders to be held in 2020;</w:t>
      </w:r>
    </w:p>
    <w:p>
      <w:pPr>
        <w:spacing w:after="0" w:line="142"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are Gregory Bohlen, Bernhard van Lengerich and Donald Thompson, and their terms will expire at the annual meeting of stockholders to be held in 2021; and</w:t>
      </w:r>
    </w:p>
    <w:p>
      <w:pPr>
        <w:spacing w:after="0" w:line="142"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are Ethan Brown, Diane Carhart, Raymond J. Lane and Ned Segal, and their terms will expire at the annual meeting of stockholders to be held in 2022.</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82" w:right="239" w:bottom="1440" w:gutter="0" w:footer="0" w:header="0"/>
        </w:sectPr>
      </w:pPr>
    </w:p>
    <w:bookmarkStart w:id="105" w:name="page106"/>
    <w:bookmarkEnd w:id="105"/>
    <w:p>
      <w:pPr>
        <w:jc w:val="both"/>
        <w:ind w:right="20"/>
        <w:spacing w:after="0" w:line="256" w:lineRule="auto"/>
        <w:rPr>
          <w:sz w:val="20"/>
          <w:szCs w:val="20"/>
          <w:color w:val="auto"/>
        </w:rPr>
      </w:pPr>
      <w:r>
        <w:rPr>
          <w:rFonts w:ascii="Arial" w:cs="Arial" w:eastAsia="Arial" w:hAnsi="Arial"/>
          <w:sz w:val="18"/>
          <w:szCs w:val="18"/>
          <w:color w:val="auto"/>
        </w:rPr>
        <w:t>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common stock is listed on the Nasdaq Global Select Market, or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with that listed company.</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or (2) be an affiliated person of the listed company or any of its subsidiaries.</w:t>
      </w:r>
    </w:p>
    <w:p>
      <w:pPr>
        <w:spacing w:after="0" w:line="15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5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each of Messrs. Bohlen, Lane, Stone, Thompson and Segal and Mses. Carhart and Waller do not have relationships that would interfere with the exercise of independent judgment in carrying out the responsibilities of a director and that each of these directors is “independent” as that term is defined under the applicable rules of the SEC and the listing standards of Nasdaq. Ethan Brown, Seth Goldman and Bernhard van Lengerich are not independent under Nasdaq’s independence standards.</w:t>
      </w:r>
    </w:p>
    <w:p>
      <w:pPr>
        <w:spacing w:after="0" w:line="1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382" w:right="2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board of directors has no set policy with respect to the separation of the offices of Executive Chair and Chief Executive Officer. Currently, Seth Goldman serves as Executive Chair and Chairman of the Board and Ethan Brown serves as Chief Executive Officer. Raymond J. Lane serves as our lead independent director. The board of directors believes that this overall structure of a separate Chairman of the Board and Chief Executive Officer, combined with a lead independent director, results in an effective balancing of responsibilities, experience and independent perspectives that meets the current corporate governance needs and oversight responsibilities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One of the key functions of our board of directors is to oversee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assesses and monitors whether any of our compensation policies and programs has the potential to encourage excessive risk-taking.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Copies of the charters for each committee are available on the investor relations portion of our website at www.beyondmeat.com. Members serve on these committees until their resignations or removal. The inclusion of our website in this prospectus does not include or incorporate by reference the information on our website into this prospectus.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audit committee consists of Diane Carhart, Ned Segal and Kathy N. Waller, each of whom will meet the requirements for independence under the listing standards of Nasdaq and SEC rules and regulations. Kathy N. Waller is the chair of our audit committee and Mr. Segal and Ms. Waller are “audit committee financial experts” as such term is defined under the SEC rules implementing SOX Section 407. Our audit committee is responsible for, among other things:</w:t>
      </w:r>
    </w:p>
    <w:p>
      <w:pPr>
        <w:spacing w:after="0" w:line="15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helping to ensure the independence and overseeing performance of the independent registered public accounting firm;</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8" w:right="239" w:bottom="1440" w:gutter="0" w:footer="0" w:header="0"/>
        </w:sectPr>
      </w:pPr>
    </w:p>
    <w:bookmarkStart w:id="107" w:name="page108"/>
    <w:bookmarkEnd w:id="107"/>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related-party transactions; and</w:t>
      </w:r>
    </w:p>
    <w:p>
      <w:pPr>
        <w:spacing w:after="0" w:line="171"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42" w:lineRule="exact"/>
        <w:rPr>
          <w:sz w:val="20"/>
          <w:szCs w:val="20"/>
          <w:color w:val="auto"/>
        </w:rPr>
      </w:pPr>
    </w:p>
    <w:p>
      <w:pPr>
        <w:ind w:right="860" w:firstLine="324"/>
        <w:spacing w:after="0" w:line="262" w:lineRule="auto"/>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Nasdaq and is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compensation committee consists of Raymond J. Lane and Donald Thompson, each of whom meet the requirements for independence under the listing standards of Nasdaq and SEC rules and regulations. In addition, each member of our compensation committee is also a non-employee director, as defined pursuant to Rule 16b-3 of the Exchange Act. Mr. Thompson is the chair of our compensation committee. The compensation committee is responsible for, among other things:</w:t>
      </w:r>
    </w:p>
    <w:p>
      <w:pPr>
        <w:spacing w:after="0" w:line="150" w:lineRule="exact"/>
        <w:rPr>
          <w:sz w:val="20"/>
          <w:szCs w:val="20"/>
          <w:color w:val="auto"/>
        </w:rPr>
      </w:pPr>
    </w:p>
    <w:p>
      <w:pPr>
        <w:ind w:left="660" w:right="560" w:hanging="328"/>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 including our Chief Executive Officer;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administering our equity compensation plans and agreements with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approving and administering incentive compensation and equity compensation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our overall compensation philosophy;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compensation committee operates under a written charter, which satisfies the applicable rules of the SEC and the listing standards of Nasdaq and is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Our nominating and corporate governance committee consists of Greg Bohlen and Christopher Stone, each of whom meets the requirements for independence under the listing standards of Nasdaq and SEC rules and regulations. Christopher Stone is the chair of our nominating and corporate governance committee. The nominating and corporate governance committee is responsible for, among other things:</w:t>
      </w:r>
    </w:p>
    <w:p>
      <w:pPr>
        <w:spacing w:after="0" w:line="131" w:lineRule="exact"/>
        <w:rPr>
          <w:sz w:val="20"/>
          <w:szCs w:val="20"/>
          <w:color w:val="auto"/>
        </w:rPr>
      </w:pPr>
    </w:p>
    <w:p>
      <w:pPr>
        <w:ind w:left="660" w:right="420" w:hanging="328"/>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the evaluation and the performance of our board of directors and of individual directors;</w:t>
      </w:r>
    </w:p>
    <w:p>
      <w:pPr>
        <w:spacing w:after="0" w:line="171"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our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contributing to succession planning;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382" w:right="279" w:bottom="1440" w:gutter="0" w:footer="0" w:header="0"/>
        </w:sectPr>
      </w:pPr>
    </w:p>
    <w:bookmarkStart w:id="108" w:name="page109"/>
    <w:bookmarkEnd w:id="108"/>
    <w:p>
      <w:pPr>
        <w:ind w:right="160" w:firstLine="324"/>
        <w:spacing w:after="0" w:line="262" w:lineRule="auto"/>
        <w:rPr>
          <w:sz w:val="20"/>
          <w:szCs w:val="20"/>
          <w:color w:val="auto"/>
        </w:rPr>
      </w:pPr>
      <w:r>
        <w:rPr>
          <w:rFonts w:ascii="Arial" w:cs="Arial" w:eastAsia="Arial" w:hAnsi="Arial"/>
          <w:sz w:val="18"/>
          <w:szCs w:val="18"/>
          <w:color w:val="auto"/>
        </w:rPr>
        <w:t>Our nominating and corporate governance committee operates under a written charte, which satisfies the applicable rules of the SEC and the listing standards of Nasdaq and is available on our website at www.beyondmeat.com.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on our board of directors or compensation committee. Certain members of our compensation committee are affiliated with entities that purchased our preferred stock. Please see “Certain Relationships and Related-Party Transactions— Sales of Securities”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www.beyondmeat.com.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The inclusion of our website address in this prospectus does not include or incorporate by reference the information on our website into this prospectus.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Historically, we have neither had a formal compensation policy for our non-employee directors, nor have we had a formal policy of reimbursing expenses incurred by our non-employee directors in connection with their board service. However, we have reimbursed our non-employee directors for travel, lodging and other reasonable expenses incurred in connection with their attendance at board of directors or committee meetings and occasionally granted stock options to our non-employee directors. Except to the limited extent described below, we did not provide our non-employee directors, in their capacities as such, with any cash, equity or other compensation in fiscal 2018.</w:t>
      </w:r>
    </w:p>
    <w:p>
      <w:pPr>
        <w:spacing w:after="0" w:line="15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The following table sets forth information regarding the compensation awarded, earned or paid for services rendered to us by our non-employee directors for fiscal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All Other</w:t>
            </w:r>
          </w:p>
        </w:tc>
        <w:tc>
          <w:tcPr>
            <w:tcW w:w="1600" w:type="dxa"/>
            <w:vAlign w:val="bottom"/>
          </w:tcPr>
          <w:p>
            <w:pPr>
              <w:ind w:left="620"/>
              <w:spacing w:after="0"/>
              <w:rPr>
                <w:sz w:val="20"/>
                <w:szCs w:val="20"/>
                <w:color w:val="auto"/>
              </w:rPr>
            </w:pPr>
            <w:r>
              <w:rPr>
                <w:rFonts w:ascii="Arial" w:cs="Arial" w:eastAsia="Arial" w:hAnsi="Arial"/>
                <w:sz w:val="16"/>
                <w:szCs w:val="16"/>
                <w:b w:val="1"/>
                <w:bCs w:val="1"/>
                <w:color w:val="auto"/>
              </w:rPr>
              <w:t>Total</w:t>
            </w:r>
          </w:p>
        </w:tc>
      </w:tr>
      <w:tr>
        <w:trPr>
          <w:trHeight w:val="180"/>
        </w:trPr>
        <w:tc>
          <w:tcPr>
            <w:tcW w:w="4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2180" w:type="dxa"/>
            <w:vAlign w:val="bottom"/>
          </w:tcPr>
          <w:p>
            <w:pPr>
              <w:spacing w:after="0"/>
              <w:rPr>
                <w:sz w:val="15"/>
                <w:szCs w:val="15"/>
                <w:color w:val="auto"/>
              </w:rPr>
            </w:pPr>
          </w:p>
        </w:tc>
        <w:tc>
          <w:tcPr>
            <w:tcW w:w="1740" w:type="dxa"/>
            <w:vAlign w:val="bottom"/>
            <w:gridSpan w:val="2"/>
          </w:tcPr>
          <w:p>
            <w:pPr>
              <w:jc w:val="center"/>
              <w:ind w:right="120"/>
              <w:spacing w:after="0" w:line="181" w:lineRule="exact"/>
              <w:rPr>
                <w:sz w:val="20"/>
                <w:szCs w:val="20"/>
                <w:color w:val="auto"/>
              </w:rPr>
            </w:pPr>
            <w:r>
              <w:rPr>
                <w:rFonts w:ascii="Arial" w:cs="Arial" w:eastAsia="Arial" w:hAnsi="Arial"/>
                <w:sz w:val="15"/>
                <w:szCs w:val="15"/>
                <w:b w:val="1"/>
                <w:bCs w:val="1"/>
                <w:color w:val="auto"/>
                <w:w w:val="99"/>
              </w:rPr>
              <w:t>Awards</w:t>
            </w:r>
            <w:r>
              <w:rPr>
                <w:rFonts w:ascii="Arial" w:cs="Arial" w:eastAsia="Arial" w:hAnsi="Arial"/>
                <w:sz w:val="20"/>
                <w:szCs w:val="20"/>
                <w:b w:val="1"/>
                <w:bCs w:val="1"/>
                <w:color w:val="auto"/>
                <w:w w:val="99"/>
                <w:vertAlign w:val="superscript"/>
              </w:rPr>
              <w:t>(1)</w:t>
            </w:r>
          </w:p>
        </w:tc>
        <w:tc>
          <w:tcPr>
            <w:tcW w:w="18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(Executive Chair)</w:t>
            </w:r>
          </w:p>
        </w:tc>
        <w:tc>
          <w:tcPr>
            <w:tcW w:w="2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175,000</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175,000</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Gregory Bohlen</w:t>
            </w:r>
          </w:p>
        </w:tc>
        <w:tc>
          <w:tcPr>
            <w:tcW w:w="218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Diane Carhart</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Raymond J. Lane</w:t>
            </w: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120,000</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120,000</w:t>
            </w:r>
          </w:p>
        </w:tc>
      </w:tr>
      <w:tr>
        <w:trPr>
          <w:trHeight w:val="270"/>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Michael A. Pucker</w:t>
            </w:r>
            <w:r>
              <w:rPr>
                <w:rFonts w:ascii="Arial" w:cs="Arial" w:eastAsia="Arial" w:hAnsi="Arial"/>
                <w:sz w:val="21"/>
                <w:szCs w:val="21"/>
                <w:color w:val="auto"/>
                <w:vertAlign w:val="superscript"/>
              </w:rPr>
              <w:t>(4)</w:t>
            </w:r>
          </w:p>
        </w:tc>
        <w:tc>
          <w:tcPr>
            <w:tcW w:w="2180" w:type="dxa"/>
            <w:vAlign w:val="bottom"/>
          </w:tcPr>
          <w:p>
            <w:pPr>
              <w:spacing w:after="0"/>
              <w:rPr>
                <w:sz w:val="23"/>
                <w:szCs w:val="23"/>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Ned Segal</w:t>
            </w:r>
          </w:p>
        </w:tc>
        <w:tc>
          <w:tcPr>
            <w:tcW w:w="3800" w:type="dxa"/>
            <w:vAlign w:val="bottom"/>
            <w:gridSpan w:val="2"/>
            <w:shd w:val="clear" w:color="auto" w:fill="CCEEFF"/>
          </w:tcPr>
          <w:p>
            <w:pPr>
              <w:jc w:val="center"/>
              <w:ind w:left="2090"/>
              <w:spacing w:after="0"/>
              <w:rPr>
                <w:sz w:val="20"/>
                <w:szCs w:val="20"/>
                <w:color w:val="auto"/>
              </w:rPr>
            </w:pPr>
            <w:r>
              <w:rPr>
                <w:rFonts w:ascii="Arial" w:cs="Arial" w:eastAsia="Arial" w:hAnsi="Arial"/>
                <w:sz w:val="18"/>
                <w:szCs w:val="18"/>
                <w:color w:val="auto"/>
              </w:rPr>
              <w:t>149,522</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149,522</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Christopher Isaac Stone</w:t>
            </w:r>
          </w:p>
        </w:tc>
        <w:tc>
          <w:tcPr>
            <w:tcW w:w="218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Donald Thompson</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Kathy N. Waller</w:t>
            </w:r>
          </w:p>
        </w:tc>
        <w:tc>
          <w:tcPr>
            <w:tcW w:w="3800" w:type="dxa"/>
            <w:vAlign w:val="bottom"/>
            <w:gridSpan w:val="2"/>
          </w:tcPr>
          <w:p>
            <w:pPr>
              <w:jc w:val="center"/>
              <w:ind w:left="2090"/>
              <w:spacing w:after="0"/>
              <w:rPr>
                <w:sz w:val="20"/>
                <w:szCs w:val="20"/>
                <w:color w:val="auto"/>
              </w:rPr>
            </w:pPr>
            <w:r>
              <w:rPr>
                <w:rFonts w:ascii="Arial" w:cs="Arial" w:eastAsia="Arial" w:hAnsi="Arial"/>
                <w:sz w:val="18"/>
                <w:szCs w:val="18"/>
                <w:color w:val="auto"/>
              </w:rPr>
              <w:t>149,522</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149,522</w:t>
            </w:r>
          </w:p>
        </w:tc>
      </w:tr>
      <w:tr>
        <w:trPr>
          <w:trHeight w:val="473"/>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80" w:hanging="332"/>
        <w:spacing w:after="0" w:line="24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the 2011 Equity Incentive Plan, or the 2011 Plan, as calculated in accordance with the Financial Accounting Standards Board Accounting Standards Codification Topic 718, or FASB ASC Topic 718. These amounts reflect our accounting expense for these stock options and do not represent the actual economic value that may be realized by each applicable non-employee director. There can be no assurance that these amounts will ever be realized. The valuation assumptions we used in calculating the fair value of these stock options are set forth in Note 8 to our financial statements. As required by SEC rules, the amounts shown exclude the impact of estimated forfeitures related to service-based vesting conditions. The number of outstanding stock options held by each non-employee director as of December 31, 2018 were: Mr. Goldman (97,897), Ms. Carhart (100,005), Mr. van Lengerich (133,147), Ms. Waller (16,734) and Mr. Segal (16,734).</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consists of fees paid to Mr. Goldman for services performed as a consultant in fiscal 2018.</w:t>
      </w:r>
    </w:p>
    <w:p>
      <w:pPr>
        <w:spacing w:after="0" w:line="5"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amount consists of fees paid to Food System Strategies, LLC that was earned for services Mr. van Lengerich performed as a consultant in fiscal 2018.</w:t>
      </w: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Pucker resigned as one of our directors immediately prior to the effectiveness of the registration statement on Form S-1 for our IPO.</w:t>
      </w:r>
    </w:p>
    <w:p>
      <w:pPr>
        <w:spacing w:after="0" w:line="16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November 2018, our board of directors approved an outside director compensation policy under which we pay our directors who are not employees of the company, other than Seth Goldman, an annual cash retainer for service on the board of directors and an additional annual cash retainer for service on each committee on which the director is a member, which is paid quarterly in arrears. The chairman of each committee receives higher annual cash retainers for such service. The fees paid to non-employee directors for service on the board of directors and for service on each committee of the board of directors on which the director is a member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Lead Independent</w:t>
            </w: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Member Annual</w:t>
            </w:r>
          </w:p>
        </w:tc>
        <w:tc>
          <w:tcPr>
            <w:tcW w:w="160" w:type="dxa"/>
            <w:vAlign w:val="bottom"/>
          </w:tcPr>
          <w:p>
            <w:pPr>
              <w:spacing w:after="0"/>
              <w:rPr>
                <w:sz w:val="16"/>
                <w:szCs w:val="16"/>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Chairperson Annual</w:t>
            </w:r>
          </w:p>
        </w:tc>
        <w:tc>
          <w:tcPr>
            <w:tcW w:w="160" w:type="dxa"/>
            <w:vAlign w:val="bottom"/>
          </w:tcPr>
          <w:p>
            <w:pPr>
              <w:spacing w:after="0"/>
              <w:rPr>
                <w:sz w:val="16"/>
                <w:szCs w:val="16"/>
                <w:color w:val="auto"/>
              </w:rPr>
            </w:pPr>
          </w:p>
        </w:tc>
        <w:tc>
          <w:tcPr>
            <w:tcW w:w="1440" w:type="dxa"/>
            <w:vAlign w:val="bottom"/>
          </w:tcPr>
          <w:p>
            <w:pPr>
              <w:jc w:val="center"/>
              <w:ind w:right="96"/>
              <w:spacing w:after="0"/>
              <w:rPr>
                <w:sz w:val="20"/>
                <w:szCs w:val="20"/>
                <w:color w:val="auto"/>
              </w:rPr>
            </w:pPr>
            <w:r>
              <w:rPr>
                <w:rFonts w:ascii="Arial" w:cs="Arial" w:eastAsia="Arial" w:hAnsi="Arial"/>
                <w:sz w:val="16"/>
                <w:szCs w:val="16"/>
                <w:b w:val="1"/>
                <w:bCs w:val="1"/>
                <w:color w:val="auto"/>
              </w:rPr>
              <w:t>Director Annual</w:t>
            </w:r>
          </w:p>
        </w:tc>
      </w:tr>
      <w:tr>
        <w:trPr>
          <w:trHeight w:val="228"/>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Cash Retainer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Cash Retainer</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6"/>
              <w:spacing w:after="0"/>
              <w:rPr>
                <w:sz w:val="20"/>
                <w:szCs w:val="20"/>
                <w:color w:val="auto"/>
              </w:rPr>
            </w:pPr>
            <w:r>
              <w:rPr>
                <w:rFonts w:ascii="Arial" w:cs="Arial" w:eastAsia="Arial" w:hAnsi="Arial"/>
                <w:sz w:val="16"/>
                <w:szCs w:val="16"/>
                <w:b w:val="1"/>
                <w:bCs w:val="1"/>
                <w:color w:val="auto"/>
              </w:rPr>
              <w:t>Cash Retainer</w:t>
            </w:r>
          </w:p>
        </w:tc>
      </w:tr>
      <w:tr>
        <w:trPr>
          <w:trHeight w:val="270"/>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48,000</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___________________</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ind w:left="340" w:right="80" w:hanging="332"/>
        <w:spacing w:after="0" w:line="260"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annual retainer to be paid to Kathy N. Waller for her service as chairperson of the audit committee shall commence on the date of the annual meeting to be held in 2019.</w:t>
      </w:r>
    </w:p>
    <w:p>
      <w:pPr>
        <w:spacing w:after="0" w:line="13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each non-employee director elected or appointed to our board of directors for the first time following the completion of our IPO will be granted two restricted stock unit awards upon the date of his or her initial election or appointment to be a non-employee director. The first restricted stock unit award has a grant date fair value of $195,000 and vests in equal monthly installments over the 3-year period following the grant date. The second restricted stock unit award will has a grant date fair value $105,000, pro-rated based on the number of full months that are expected to lapse between the non-employee director’s election or appointment to the board of directors and the next annual meeting of stockholders, and vests in equal monthly installments over the total number of full months following the grant date that are expected to lapse between the non-employee director’s election or appointment to the board of directors and the next annual meeting of stockholders.</w:t>
      </w:r>
    </w:p>
    <w:p>
      <w:pPr>
        <w:spacing w:after="0" w:line="15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Further, on the date of each annual meeting of stockholders, each director whose service as a non-employee member of the board of directors will continue will be granted a restricted stock unit award having a grant date fair value of $105,000. This restricted stock unit award will vest in equal monthly installments over the 12-month period following the grant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84" w:right="239" w:bottom="1440" w:gutter="0" w:footer="0" w:header="0"/>
        </w:sectPr>
      </w:pPr>
    </w:p>
    <w:bookmarkStart w:id="110" w:name="page111"/>
    <w:bookmarkEnd w:id="110"/>
    <w:p>
      <w:pPr>
        <w:ind w:right="20" w:firstLine="324"/>
        <w:spacing w:after="0" w:line="253" w:lineRule="auto"/>
        <w:rPr>
          <w:sz w:val="20"/>
          <w:szCs w:val="20"/>
          <w:color w:val="auto"/>
        </w:rPr>
      </w:pPr>
      <w:r>
        <w:rPr>
          <w:rFonts w:ascii="Arial" w:cs="Arial" w:eastAsia="Arial" w:hAnsi="Arial"/>
          <w:sz w:val="18"/>
          <w:szCs w:val="18"/>
          <w:color w:val="auto"/>
        </w:rPr>
        <w:t>All restricted stock unit awards granted to non-employee directors are expected to be made pursuant to the 2018 Plan and will vest pursuant to the applicable vesting schedule subject to the director providing service through each applicable vesting date; provided all such restricted stock unit awards will vest in full immediately prior to, and contingent upon, a change in control of the company if the non-employee director remains in continuous service as a member of the Board until immediately prior to the change in control. For additional information, see “Executive Compensation—Employee Benefit Plans—2018 Equity Incentive Plan.”</w:t>
      </w:r>
    </w:p>
    <w:p>
      <w:pPr>
        <w:spacing w:after="0" w:line="1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will also reimburse our non-employee directors for reasonable travel and out-of-pocket expenses incurred in connection with attending our board of director and committee meetings.</w:t>
      </w:r>
    </w:p>
    <w:p>
      <w:pPr>
        <w:spacing w:after="0" w:line="142"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The outside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entered into a consulting agreement with Seth Goldman on March 2, 2016, which was amended and restated on November 15, 2018 and amended on April 8, 2019. Pursuant to the consulting agreement, as amended, we have agreed to pay Mr. Goldman $20,210.33 per month for services rendered under the consulting agreement and, on the date of each annual meeting of the company’s stockholders after which Mr. Goldman’s non-employee service on the board of directors will continue, we have agreed to grant Mr. Goldman a restricted stock unit award under the 2018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 For additional information, see “Executive Compensation—Employee Benefit Plans—2018 Equity Incentive Plan.”</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April 2019, our board of directors approved an option grant to purchase 100,000 shares of our common stock and an option grant to purchase 5,000 shares of our common stock to Mr. Goldman, in each case which became effective upon the effectiveness of the registration statement for our IPO. The exercise price per share was equal to the initial public offering price of our common stock in the IPO. The options vest over four years, with 25% vesting on the one year anniversary date of the effectiveness of the registration statement for the IPO, subject to Mr. Goldman’s continued service through the applicable vesting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first entered into an advisor agreement with Food System Strategies, LLC in October 2015. Bernhard van Lengerich, Ph.D. is the Chief Executive Officer of Food System Strategies, LLC. Pursuant to this advisor agreement, we paid Food System Strategies, LLC $4,000 for each day that Dr. van Lengerich provided services to us. In February 2016, we entered into a new advisor agreement with Food System Strategies, LLC, which superseded the original agreement, and provided for a $25,000 monthly retainer and a non-qualified stock option covering 798,848 shares, which vests in equal monthly installments over three years in consideration of Dr. van Lengerich providing services as our interim Chief Technical Officer and the head of research and development, and the increased time commitment associated with these roles. In December 2016, the advisor agreement was amended to provide for a $10,000 monthly retainer to reflect the fact that Dr. van Lengerich would only be providing advisory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82" w:right="239" w:bottom="1440" w:gutter="0" w:footer="0" w:header="0"/>
        </w:sectPr>
      </w:pPr>
    </w:p>
    <w:bookmarkStart w:id="111" w:name="page112"/>
    <w:bookmarkEnd w:id="111"/>
    <w:p>
      <w:pPr>
        <w:ind w:right="320"/>
        <w:spacing w:after="0" w:line="262" w:lineRule="auto"/>
        <w:rPr>
          <w:sz w:val="20"/>
          <w:szCs w:val="20"/>
          <w:color w:val="auto"/>
        </w:rPr>
      </w:pPr>
      <w:r>
        <w:rPr>
          <w:rFonts w:ascii="Arial" w:cs="Arial" w:eastAsia="Arial" w:hAnsi="Arial"/>
          <w:sz w:val="18"/>
          <w:szCs w:val="18"/>
          <w:color w:val="auto"/>
        </w:rPr>
        <w:t>services for five to six days a month going forward. The advisor agreement may be terminated at any time upon written notice to the other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60"/>
          </w:cols>
          <w:pgMar w:left="240" w:top="382" w:right="3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fiscal 2018, determined in accordance with these rules were:</w:t>
      </w:r>
    </w:p>
    <w:p>
      <w:pPr>
        <w:spacing w:after="0" w:line="171"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Ethan Brown, our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Dariush Ajami, our Chief Innovation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Charles Muth, our Chief Growth Officer.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not required, we have also included in this compensation disclosure Mark J. Nelson, our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Therefore, for purposes of the disclosure set forth in this prospectus, we have included Mr. Nelson within the “named executive officer” group.</w:t>
      </w:r>
    </w:p>
    <w:p>
      <w:pPr>
        <w:spacing w:after="0" w:line="17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and arrangements summarized in this discussion.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The following table provides information regarding the compensation awarded to, earned by and paid to each of our named executive officers for the fiscal years indicated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Non-Equity</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Incentive Plan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Salary</w:t>
            </w: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 Awards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180"/>
        </w:trPr>
        <w:tc>
          <w:tcPr>
            <w:tcW w:w="25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 and Principal Position</w:t>
            </w:r>
          </w:p>
        </w:tc>
        <w:tc>
          <w:tcPr>
            <w:tcW w:w="94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7"/>
              </w:rPr>
              <w:t>Year</w:t>
            </w:r>
          </w:p>
        </w:tc>
        <w:tc>
          <w:tcPr>
            <w:tcW w:w="116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380" w:type="dxa"/>
            <w:vAlign w:val="bottom"/>
          </w:tcPr>
          <w:p>
            <w:pPr>
              <w:jc w:val="right"/>
              <w:ind w:right="452"/>
              <w:spacing w:after="0" w:line="18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5"/>
                <w:szCs w:val="15"/>
                <w:b w:val="1"/>
                <w:bCs w:val="1"/>
                <w:color w:val="auto"/>
                <w:w w:val="98"/>
              </w:rPr>
              <w:t>($)</w:t>
            </w:r>
            <w:r>
              <w:rPr>
                <w:rFonts w:ascii="Arial" w:cs="Arial" w:eastAsia="Arial" w:hAnsi="Arial"/>
                <w:sz w:val="20"/>
                <w:szCs w:val="20"/>
                <w:b w:val="1"/>
                <w:bCs w:val="1"/>
                <w:color w:val="auto"/>
                <w:w w:val="98"/>
                <w:vertAlign w:val="superscript"/>
              </w:rPr>
              <w:t>(2)</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5"/>
                <w:szCs w:val="15"/>
                <w:color w:val="auto"/>
              </w:rPr>
            </w:pPr>
          </w:p>
        </w:tc>
        <w:tc>
          <w:tcPr>
            <w:tcW w:w="1360" w:type="dxa"/>
            <w:vAlign w:val="bottom"/>
          </w:tcPr>
          <w:p>
            <w:pPr>
              <w:jc w:val="right"/>
              <w:ind w:right="49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218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 President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298,750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524,244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967,994</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288,789</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124,700</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413,489</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Dariush Ajami,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Innovation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233,450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1,225,807</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113,705</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1,572,962</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154,076</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22"/>
                <w:szCs w:val="22"/>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37,718</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205,463</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Muth, Chief Growth</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297,924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792,633</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147,504</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1,238,061</w:t>
            </w:r>
          </w:p>
        </w:tc>
      </w:tr>
      <w:tr>
        <w:trPr>
          <w:trHeight w:val="270"/>
        </w:trPr>
        <w:tc>
          <w:tcPr>
            <w:tcW w:w="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173,010</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75,067</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64,336</w:t>
            </w:r>
            <w:r>
              <w:rPr>
                <w:rFonts w:ascii="Arial" w:cs="Arial" w:eastAsia="Arial" w:hAnsi="Arial"/>
                <w:sz w:val="21"/>
                <w:szCs w:val="21"/>
                <w:color w:val="auto"/>
                <w:vertAlign w:val="superscript"/>
              </w:rPr>
              <w:t>(3)</w:t>
            </w:r>
          </w:p>
        </w:tc>
        <w:tc>
          <w:tcPr>
            <w:tcW w:w="10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312,413</w:t>
            </w:r>
          </w:p>
        </w:tc>
      </w:tr>
      <w:tr>
        <w:trPr>
          <w:trHeight w:val="209"/>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J. Nelson,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Financial Officer and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326,666</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121,591</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162,501</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610,758</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287,336</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117,042</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404,378</w:t>
            </w:r>
          </w:p>
        </w:tc>
      </w:tr>
      <w:tr>
        <w:trPr>
          <w:trHeight w:val="191"/>
        </w:trPr>
        <w:tc>
          <w:tcPr>
            <w:tcW w:w="222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bl>
    <w:p>
      <w:pPr>
        <w:ind w:left="340" w:right="340" w:hanging="332"/>
        <w:spacing w:after="0" w:line="25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our 2011 Plan as calculated in accordance with FASB ASC Topic 718. These amounts reflect our accounting expense for these stock options and do not represent the actual economic value that may be realized by each applicable named executive officer. There can be no assurance that these amounts will ever be realized. The valuation assumptions we used in calculating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8" w:right="239" w:bottom="1440" w:gutter="0" w:footer="0" w:header="0"/>
        </w:sectPr>
      </w:pPr>
    </w:p>
    <w:bookmarkStart w:id="113" w:name="page114"/>
    <w:bookmarkEnd w:id="113"/>
    <w:p>
      <w:pPr>
        <w:ind w:left="340" w:right="200"/>
        <w:spacing w:after="0" w:line="317" w:lineRule="auto"/>
        <w:rPr>
          <w:sz w:val="20"/>
          <w:szCs w:val="20"/>
          <w:color w:val="auto"/>
        </w:rPr>
      </w:pPr>
      <w:r>
        <w:rPr>
          <w:rFonts w:ascii="Arial" w:cs="Arial" w:eastAsia="Arial" w:hAnsi="Arial"/>
          <w:sz w:val="16"/>
          <w:szCs w:val="16"/>
          <w:color w:val="auto"/>
        </w:rPr>
        <w:t>fair value of these stock options are set forth in Note 8 to our financial statements. As required by SEC rules, the amounts shown exclude the impact of estimated forfeitures related to service-based vesting conditions.</w:t>
      </w:r>
    </w:p>
    <w:p>
      <w:pPr>
        <w:ind w:left="340" w:right="640" w:hanging="332"/>
        <w:spacing w:after="0" w:line="24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in this column reflect performance bonus awards earned by our named executive officers for fiscal 2018 and 2017 performance, as applicable.</w:t>
      </w: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amount represents a relocation assistance payment relating to closing costs on the sale of Mr. Muth’s residence.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93"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Each of our named executive officers is an at-will employee. Except as set forth below, we have not entered into any employment agreements or offer letters with our named executive officers.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Ethan Brown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January 2019, we entered into an amended and restated employment agreement with Mr. Brown. Pursuant to this agreement, Mr. Brown’s annual base salary is $500,000 and he is eligible for an annual target bonus opportunity of 50% of his base salary and certain change in control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Dariush Ajami</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Mr. Ajami’s annual base salary is $325,000. In November 2018, our compensation committee determined that Mr. Ajami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January 2019, we entered into an amended and restated employment letter with Mr. Muth. Pursuant to this agreement, Mr. Muth’s annual base salary is $365,000, he is eligible to earn an annual bonus with a target bonus equal to 50% of his annual base salary and he is eligible to receive a severance payment equal to six months of his base salary if we terminate his employment without cause at any time. For additional information on this severance benefit, see “—Severance Agreements not in Connection with a Change in Control.”</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November 2018, our compensation committee confirmed that Mr. Muth will be eligible to earn an annual bonus with a target bonus for fiscal 2019 equal to 50% of his annual base salary and determined that he will be eligible for certain change in control severance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J. Nelson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Mr. Nelson’s annual base salary is $365,000. In November 2018, our compensation committee determined that Mr. Nelson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1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unexercised stock options held by each of our named executive officers and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Nelson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Option Awards</w:t>
            </w:r>
          </w:p>
        </w:tc>
        <w:tc>
          <w:tcPr>
            <w:tcW w:w="17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Securities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Underlying</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Underlying</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Unexercised Options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Unexercised Options</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Option Exercise</w:t>
            </w:r>
          </w:p>
        </w:tc>
        <w:tc>
          <w:tcPr>
            <w:tcW w:w="1700" w:type="dxa"/>
            <w:vAlign w:val="bottom"/>
          </w:tcPr>
          <w:p>
            <w:pPr>
              <w:jc w:val="right"/>
              <w:ind w:right="91"/>
              <w:spacing w:after="0"/>
              <w:rPr>
                <w:sz w:val="20"/>
                <w:szCs w:val="20"/>
                <w:color w:val="auto"/>
              </w:rPr>
            </w:pPr>
            <w:r>
              <w:rPr>
                <w:rFonts w:ascii="Arial" w:cs="Arial" w:eastAsia="Arial" w:hAnsi="Arial"/>
                <w:sz w:val="16"/>
                <w:szCs w:val="16"/>
                <w:b w:val="1"/>
                <w:bCs w:val="1"/>
                <w:color w:val="auto"/>
              </w:rPr>
              <w:t>Option Expiration</w:t>
            </w:r>
          </w:p>
        </w:tc>
      </w:tr>
      <w:tr>
        <w:trPr>
          <w:trHeight w:val="180"/>
        </w:trPr>
        <w:tc>
          <w:tcPr>
            <w:tcW w:w="24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1720" w:type="dxa"/>
            <w:vAlign w:val="bottom"/>
            <w:gridSpan w:val="2"/>
          </w:tcPr>
          <w:p>
            <w:pPr>
              <w:ind w:left="380"/>
              <w:spacing w:after="0" w:line="181" w:lineRule="exact"/>
              <w:rPr>
                <w:sz w:val="20"/>
                <w:szCs w:val="20"/>
                <w:color w:val="auto"/>
              </w:rPr>
            </w:pPr>
            <w:r>
              <w:rPr>
                <w:rFonts w:ascii="Arial" w:cs="Arial" w:eastAsia="Arial" w:hAnsi="Arial"/>
                <w:sz w:val="16"/>
                <w:szCs w:val="16"/>
                <w:b w:val="1"/>
                <w:bCs w:val="1"/>
                <w:color w:val="auto"/>
              </w:rPr>
              <w:t>Grant Date</w:t>
            </w:r>
          </w:p>
        </w:tc>
        <w:tc>
          <w:tcPr>
            <w:tcW w:w="1840" w:type="dxa"/>
            <w:vAlign w:val="bottom"/>
            <w:gridSpan w:val="2"/>
          </w:tcPr>
          <w:p>
            <w:pPr>
              <w:jc w:val="center"/>
              <w:ind w:right="120"/>
              <w:spacing w:after="0" w:line="181" w:lineRule="exact"/>
              <w:rPr>
                <w:sz w:val="20"/>
                <w:szCs w:val="20"/>
                <w:color w:val="auto"/>
              </w:rPr>
            </w:pPr>
            <w:r>
              <w:rPr>
                <w:rFonts w:ascii="Arial" w:cs="Arial" w:eastAsia="Arial" w:hAnsi="Arial"/>
                <w:sz w:val="15"/>
                <w:szCs w:val="15"/>
                <w:b w:val="1"/>
                <w:bCs w:val="1"/>
                <w:color w:val="auto"/>
              </w:rPr>
              <w:t>(#) Exercisable</w:t>
            </w:r>
            <w:r>
              <w:rPr>
                <w:rFonts w:ascii="Arial" w:cs="Arial" w:eastAsia="Arial" w:hAnsi="Arial"/>
                <w:sz w:val="20"/>
                <w:szCs w:val="20"/>
                <w:b w:val="1"/>
                <w:bCs w:val="1"/>
                <w:color w:val="auto"/>
                <w:vertAlign w:val="superscript"/>
              </w:rPr>
              <w:t>(1)</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5"/>
                <w:szCs w:val="15"/>
                <w:b w:val="1"/>
                <w:bCs w:val="1"/>
                <w:color w:val="auto"/>
              </w:rPr>
              <w:t>(#) Unexercisable</w:t>
            </w:r>
            <w:r>
              <w:rPr>
                <w:rFonts w:ascii="Arial" w:cs="Arial" w:eastAsia="Arial" w:hAnsi="Arial"/>
                <w:sz w:val="20"/>
                <w:szCs w:val="20"/>
                <w:b w:val="1"/>
                <w:bCs w:val="1"/>
                <w:color w:val="auto"/>
                <w:vertAlign w:val="superscript"/>
              </w:rPr>
              <w:t>(1)</w:t>
            </w:r>
          </w:p>
        </w:tc>
        <w:tc>
          <w:tcPr>
            <w:tcW w:w="1820" w:type="dxa"/>
            <w:vAlign w:val="bottom"/>
            <w:gridSpan w:val="2"/>
          </w:tcPr>
          <w:p>
            <w:pPr>
              <w:ind w:left="480"/>
              <w:spacing w:after="0" w:line="181" w:lineRule="exact"/>
              <w:rPr>
                <w:sz w:val="20"/>
                <w:szCs w:val="20"/>
                <w:color w:val="auto"/>
              </w:rPr>
            </w:pPr>
            <w:r>
              <w:rPr>
                <w:rFonts w:ascii="Arial" w:cs="Arial" w:eastAsia="Arial" w:hAnsi="Arial"/>
                <w:sz w:val="15"/>
                <w:szCs w:val="15"/>
                <w:b w:val="1"/>
                <w:bCs w:val="1"/>
                <w:color w:val="auto"/>
              </w:rPr>
              <w:t>Price ($)</w:t>
            </w:r>
            <w:r>
              <w:rPr>
                <w:rFonts w:ascii="Arial" w:cs="Arial" w:eastAsia="Arial" w:hAnsi="Arial"/>
                <w:sz w:val="20"/>
                <w:szCs w:val="20"/>
                <w:b w:val="1"/>
                <w:bCs w:val="1"/>
                <w:color w:val="auto"/>
                <w:vertAlign w:val="superscript"/>
              </w:rPr>
              <w:t>(2)</w:t>
            </w:r>
          </w:p>
        </w:tc>
        <w:tc>
          <w:tcPr>
            <w:tcW w:w="1700" w:type="dxa"/>
            <w:vAlign w:val="bottom"/>
          </w:tcPr>
          <w:p>
            <w:pPr>
              <w:jc w:val="right"/>
              <w:ind w:right="591"/>
              <w:spacing w:after="0" w:line="181" w:lineRule="exact"/>
              <w:rPr>
                <w:sz w:val="20"/>
                <w:szCs w:val="20"/>
                <w:color w:val="auto"/>
              </w:rPr>
            </w:pPr>
            <w:r>
              <w:rPr>
                <w:rFonts w:ascii="Arial" w:cs="Arial" w:eastAsia="Arial" w:hAnsi="Arial"/>
                <w:sz w:val="16"/>
                <w:szCs w:val="16"/>
                <w:b w:val="1"/>
                <w:bCs w:val="1"/>
                <w:color w:val="auto"/>
              </w:rPr>
              <w:t>Date</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8/26/2013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202,130</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8/25/2023</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966,006</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182,434</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119,526</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110,718</w:t>
            </w:r>
            <w:r>
              <w:rPr>
                <w:rFonts w:ascii="Arial" w:cs="Arial" w:eastAsia="Arial" w:hAnsi="Arial"/>
                <w:sz w:val="21"/>
                <w:szCs w:val="21"/>
                <w:color w:val="auto"/>
                <w:vertAlign w:val="superscript"/>
              </w:rPr>
              <w:t>(6)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221,439</w:t>
            </w:r>
            <w:r>
              <w:rPr>
                <w:rFonts w:ascii="Arial" w:cs="Arial" w:eastAsia="Arial" w:hAnsi="Arial"/>
                <w:sz w:val="21"/>
                <w:szCs w:val="21"/>
                <w:color w:val="auto"/>
                <w:vertAlign w:val="superscript"/>
              </w:rPr>
              <w:t>(6)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Dariush Ajami</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6/2/2025</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5/12/2016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2,292</w:t>
            </w:r>
            <w:r>
              <w:rPr>
                <w:rFonts w:ascii="Arial" w:cs="Arial" w:eastAsia="Arial" w:hAnsi="Arial"/>
                <w:sz w:val="21"/>
                <w:szCs w:val="21"/>
                <w:color w:val="auto"/>
                <w:vertAlign w:val="superscript"/>
              </w:rPr>
              <w:t>(8)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1,041</w:t>
            </w:r>
            <w:r>
              <w:rPr>
                <w:rFonts w:ascii="Arial" w:cs="Arial" w:eastAsia="Arial" w:hAnsi="Arial"/>
                <w:sz w:val="21"/>
                <w:szCs w:val="21"/>
                <w:color w:val="auto"/>
                <w:vertAlign w:val="superscript"/>
              </w:rPr>
              <w:t>(8)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5/11/2026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r>
              <w:rPr>
                <w:rFonts w:ascii="Arial" w:cs="Arial" w:eastAsia="Arial" w:hAnsi="Arial"/>
                <w:sz w:val="21"/>
                <w:szCs w:val="21"/>
                <w:color w:val="auto"/>
                <w:vertAlign w:val="superscript"/>
              </w:rPr>
              <w:t>(9)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2/2/2017</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7,780</w:t>
            </w:r>
            <w:r>
              <w:rPr>
                <w:rFonts w:ascii="Arial" w:cs="Arial" w:eastAsia="Arial" w:hAnsi="Arial"/>
                <w:sz w:val="21"/>
                <w:szCs w:val="21"/>
                <w:color w:val="auto"/>
                <w:vertAlign w:val="superscript"/>
              </w:rPr>
              <w:t>(10)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5,554</w:t>
            </w:r>
            <w:r>
              <w:rPr>
                <w:rFonts w:ascii="Arial" w:cs="Arial" w:eastAsia="Arial" w:hAnsi="Arial"/>
                <w:sz w:val="21"/>
                <w:szCs w:val="21"/>
                <w:color w:val="auto"/>
                <w:vertAlign w:val="superscript"/>
              </w:rPr>
              <w:t>(10)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2/1/2027</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5/4/2017</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5/1/2027</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9,514</w:t>
            </w:r>
            <w:r>
              <w:rPr>
                <w:rFonts w:ascii="Arial" w:cs="Arial" w:eastAsia="Arial" w:hAnsi="Arial"/>
                <w:sz w:val="21"/>
                <w:szCs w:val="21"/>
                <w:color w:val="auto"/>
                <w:vertAlign w:val="superscript"/>
              </w:rPr>
              <w:t>(12)</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17,343</w:t>
            </w:r>
            <w:r>
              <w:rPr>
                <w:rFonts w:ascii="Arial" w:cs="Arial" w:eastAsia="Arial" w:hAnsi="Arial"/>
                <w:sz w:val="21"/>
                <w:szCs w:val="21"/>
                <w:color w:val="auto"/>
                <w:vertAlign w:val="superscript"/>
              </w:rPr>
              <w:t>(12)</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10/24/2018</w:t>
            </w: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66,669</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10/23/2028</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11/15/2018</w:t>
            </w:r>
          </w:p>
        </w:tc>
        <w:tc>
          <w:tcPr>
            <w:tcW w:w="120" w:type="dxa"/>
            <w:vAlign w:val="bottom"/>
          </w:tcPr>
          <w:p>
            <w:pPr>
              <w:spacing w:after="0"/>
              <w:rPr>
                <w:sz w:val="23"/>
                <w:szCs w:val="23"/>
                <w:color w:val="auto"/>
              </w:rPr>
            </w:pPr>
          </w:p>
        </w:tc>
        <w:tc>
          <w:tcPr>
            <w:tcW w:w="1840" w:type="dxa"/>
            <w:vAlign w:val="bottom"/>
            <w:gridSpan w:val="2"/>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(14)</w:t>
            </w:r>
          </w:p>
        </w:tc>
        <w:tc>
          <w:tcPr>
            <w:tcW w:w="1820" w:type="dxa"/>
            <w:vAlign w:val="bottom"/>
          </w:tcPr>
          <w:p>
            <w:pPr>
              <w:jc w:val="right"/>
              <w:spacing w:after="0"/>
              <w:rPr>
                <w:sz w:val="20"/>
                <w:szCs w:val="20"/>
                <w:color w:val="auto"/>
              </w:rPr>
            </w:pPr>
            <w:r>
              <w:rPr>
                <w:rFonts w:ascii="Arial" w:cs="Arial" w:eastAsia="Arial" w:hAnsi="Arial"/>
                <w:sz w:val="18"/>
                <w:szCs w:val="18"/>
                <w:color w:val="auto"/>
              </w:rPr>
              <w:t>61,875</w:t>
            </w:r>
            <w:r>
              <w:rPr>
                <w:rFonts w:ascii="Arial" w:cs="Arial" w:eastAsia="Arial" w:hAnsi="Arial"/>
                <w:sz w:val="21"/>
                <w:szCs w:val="21"/>
                <w:color w:val="auto"/>
                <w:vertAlign w:val="superscript"/>
              </w:rPr>
              <w:t>(14)</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11/14/2028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Charles Muth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72,923</w:t>
            </w:r>
            <w:r>
              <w:rPr>
                <w:rFonts w:ascii="Arial" w:cs="Arial" w:eastAsia="Arial" w:hAnsi="Arial"/>
                <w:sz w:val="21"/>
                <w:szCs w:val="21"/>
                <w:color w:val="auto"/>
                <w:vertAlign w:val="superscript"/>
              </w:rPr>
              <w:t>(15)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302,095</w:t>
            </w:r>
            <w:r>
              <w:rPr>
                <w:rFonts w:ascii="Arial" w:cs="Arial" w:eastAsia="Arial" w:hAnsi="Arial"/>
                <w:sz w:val="21"/>
                <w:szCs w:val="21"/>
                <w:color w:val="auto"/>
                <w:vertAlign w:val="superscript"/>
              </w:rPr>
              <w:t>(15)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Mark J. Nelson</w:t>
            </w:r>
          </w:p>
        </w:tc>
        <w:tc>
          <w:tcPr>
            <w:tcW w:w="1600" w:type="dxa"/>
            <w:vAlign w:val="bottom"/>
          </w:tcPr>
          <w:p>
            <w:pPr>
              <w:jc w:val="right"/>
              <w:spacing w:after="0"/>
              <w:rPr>
                <w:sz w:val="20"/>
                <w:szCs w:val="20"/>
                <w:color w:val="auto"/>
              </w:rPr>
            </w:pPr>
            <w:r>
              <w:rPr>
                <w:rFonts w:ascii="Arial" w:cs="Arial" w:eastAsia="Arial" w:hAnsi="Arial"/>
                <w:sz w:val="18"/>
                <w:szCs w:val="18"/>
                <w:color w:val="auto"/>
              </w:rPr>
              <w:t>12/1/2015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50,334</w:t>
            </w:r>
            <w:r>
              <w:rPr>
                <w:rFonts w:ascii="Arial" w:cs="Arial" w:eastAsia="Arial" w:hAnsi="Arial"/>
                <w:sz w:val="21"/>
                <w:szCs w:val="21"/>
                <w:color w:val="auto"/>
                <w:vertAlign w:val="superscript"/>
              </w:rPr>
              <w:t>(16)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100,664</w:t>
            </w:r>
            <w:r>
              <w:rPr>
                <w:rFonts w:ascii="Arial" w:cs="Arial" w:eastAsia="Arial" w:hAnsi="Arial"/>
                <w:sz w:val="21"/>
                <w:szCs w:val="21"/>
                <w:color w:val="auto"/>
                <w:vertAlign w:val="superscript"/>
              </w:rPr>
              <w:t>(16)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11/30/2025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r>
              <w:rPr>
                <w:rFonts w:ascii="Arial" w:cs="Arial" w:eastAsia="Arial" w:hAnsi="Arial"/>
                <w:sz w:val="21"/>
                <w:szCs w:val="21"/>
                <w:color w:val="auto"/>
                <w:vertAlign w:val="superscript"/>
              </w:rPr>
              <w:t>(17)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w:t>
            </w:r>
            <w:r>
              <w:rPr>
                <w:rFonts w:ascii="Arial" w:cs="Arial" w:eastAsia="Arial" w:hAnsi="Arial"/>
                <w:sz w:val="21"/>
                <w:szCs w:val="21"/>
                <w:color w:val="auto"/>
                <w:vertAlign w:val="superscript"/>
              </w:rPr>
              <w:t>(17)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19,032</w:t>
            </w:r>
            <w:r>
              <w:rPr>
                <w:rFonts w:ascii="Arial" w:cs="Arial" w:eastAsia="Arial" w:hAnsi="Arial"/>
                <w:sz w:val="21"/>
                <w:szCs w:val="21"/>
                <w:color w:val="auto"/>
                <w:vertAlign w:val="superscript"/>
              </w:rPr>
              <w:t>(18)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44,400</w:t>
            </w:r>
            <w:r>
              <w:rPr>
                <w:rFonts w:ascii="Arial" w:cs="Arial" w:eastAsia="Arial" w:hAnsi="Arial"/>
                <w:sz w:val="21"/>
                <w:szCs w:val="21"/>
                <w:color w:val="auto"/>
                <w:vertAlign w:val="superscript"/>
              </w:rPr>
              <w:t>(18)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r>
              <w:rPr>
                <w:rFonts w:ascii="Arial" w:cs="Arial" w:eastAsia="Arial" w:hAnsi="Arial"/>
                <w:sz w:val="21"/>
                <w:szCs w:val="21"/>
                <w:color w:val="auto"/>
                <w:vertAlign w:val="superscript"/>
              </w:rPr>
              <w:t>(19)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r>
              <w:rPr>
                <w:rFonts w:ascii="Arial" w:cs="Arial" w:eastAsia="Arial" w:hAnsi="Arial"/>
                <w:sz w:val="21"/>
                <w:szCs w:val="21"/>
                <w:color w:val="auto"/>
                <w:vertAlign w:val="superscript"/>
              </w:rPr>
              <w:t>(19)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2"/>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25,673</w:t>
            </w:r>
            <w:r>
              <w:rPr>
                <w:rFonts w:ascii="Arial" w:cs="Arial" w:eastAsia="Arial" w:hAnsi="Arial"/>
                <w:sz w:val="21"/>
                <w:szCs w:val="21"/>
                <w:color w:val="auto"/>
                <w:vertAlign w:val="superscript"/>
              </w:rPr>
              <w:t>(20)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51,354</w:t>
            </w:r>
            <w:r>
              <w:rPr>
                <w:rFonts w:ascii="Arial" w:cs="Arial" w:eastAsia="Arial" w:hAnsi="Arial"/>
                <w:sz w:val="21"/>
                <w:szCs w:val="21"/>
                <w:color w:val="auto"/>
                <w:vertAlign w:val="superscript"/>
              </w:rPr>
              <w:t>(20)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189"/>
        </w:trPr>
        <w:tc>
          <w:tcPr>
            <w:tcW w:w="24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awards were granted under our 2011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on the date of grant, as determined by our board of directors.</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202,130 shares of our common stock. One-fourth of the grant vested on May 26, 2014 and the remainder of the grant vested in 36 equal monthly installments thereafter, subject to Mr. Brown’s continuous service through the applicable vesting date. In addition, if we had terminated Mr. Brown’s employment without “cause” (as defined in the 2011 Plan), or if Mr. Brown had resigned for “good reason” (as defined in agreements applicable to Mr. Brown’s equity), in either case, upon the consummation of, or within 12 months following, a change in control in our ownership, then 50% of the then unvested shares subject to this option would have immediately vested (the “Prior Brown Acceleration”). However, these options have now fully vested based on their underlying four-year vesting schedule, so the Prior Brown Acceleration is no longer relevant to this option.</w:t>
      </w:r>
    </w:p>
    <w:p>
      <w:pPr>
        <w:spacing w:after="0" w:line="3" w:lineRule="exact"/>
        <w:rPr>
          <w:rFonts w:ascii="Arial" w:cs="Arial" w:eastAsia="Arial" w:hAnsi="Arial"/>
          <w:sz w:val="16"/>
          <w:szCs w:val="16"/>
          <w:color w:val="auto"/>
        </w:rPr>
      </w:pPr>
    </w:p>
    <w:p>
      <w:pPr>
        <w:ind w:left="340" w:right="20" w:hanging="332"/>
        <w:spacing w:after="0" w:line="251"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966,006 shares of our common stock. One-fourth of the grant vested on June 19, 2015 and the remainder of the grant vested in 36 equal monthly installments thereafter, subject to Mr. Brown’s continuous service through the applicable vesting date. In addition, the Prior Brown Acceleration applies to these option shares prior to their full vesting, however, these options have now fully vested based on their underlying four-year vesting schedule, so the Prior Brown Acceleration is no longer relevant to this option.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8" w:right="239" w:bottom="1440" w:gutter="0" w:footer="0" w:header="0"/>
        </w:sectPr>
      </w:pPr>
    </w:p>
    <w:bookmarkStart w:id="115" w:name="page116"/>
    <w:bookmarkEnd w:id="115"/>
    <w:p>
      <w:pPr>
        <w:ind w:left="332" w:right="4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301,960 shares of our common stock. One-fourth of the grant vested on July 20, 2017 and the remainder of the grant vested and will vest in 36 equal monthly installments thereafter, subject to Mr. Brown’s continuous service through the applicable vesting date. In addition, if we terminate Mr. Brown’s employment without “cause,” or if Mr. Brown resigns for “good reason,” in either case, within 3 months prior to, or within 18 months following, a “change in control” of the company (each, as defined in Mr. Brown’s change in control severance agreement), then 100% of the then unvested shares subject to this option will immediately vest (the “Brown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332,157 shares of our common stock. One-fourth of the grant vested on August 3, 2018 and the remainder of the grant vested and will vest in 36 equal monthly installments thereafter, subject to Mr. Brown’s continuous service through the applicable vesting date. In addition, the Brown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6,667 shares of our common stock. One-fourth of the grant vested on May 11, 2016 and the remainder of the grant vested and will vest in 36 equal monthly installments thereafter, subject to Mr. Ajami’s continuous service through the applicable vesting date. In addition, if we terminate Mr. Ajami’s employment without “cause,” or if Mr. Ajami resigns for “good reason,” in either case, within three months prior to, or within 18 months following, a change in control of the company (each, as defined in Mr. Ajami’s change in control severance agreement), then 100% of the then unvested shares subject to this option will immediately vest (the “Ajami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March 7,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18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18,561 shares of our common stock. One-fourth of the grant vested on February 4,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13,334 shares of our common stock. One-fourth of the grant vested on August 15,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May 1,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26,857 shares of our common stock. One-fourth of the grant vested on July 25,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66,669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61,875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500,025 shares of our common stock. One-fourth of the grant vested on May 30, 2018 and the remainder of the grant vested and will vest in 36 equal monthly installments thereafter, subject to Mr. Muth’s continuous service through the applicable vesting date. In addition, if we terminate Mr. Muth’s employment without “cause,” or if Mr. Muth resigns for “good reason,” in either case, within three months prior to, or within 18 months following, a “change in control” of the company (each, as defined in Mr. Muth’s change in control severance agreement), then 100% of the then unvested shares subject to this option will immediately vest.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53" w:lineRule="auto"/>
        <w:tabs>
          <w:tab w:leader="none" w:pos="3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402,663 shares of our common stock. One-fourth of the grant vested on December 1, 2016 and the remainder of the grant vested and will vest in 36 equal monthly installments thereafter, subject to Mr. Nelson’s continuous service through the applicable vesting date. In addition, if we terminate Mr. Nelson’s employment without “cause,” or if Mr. Nelson resigns for “good reason,” in</w:t>
      </w: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72"/>
          </w:cols>
          <w:pgMar w:left="248" w:top="384" w:right="279" w:bottom="1440" w:gutter="0" w:footer="0" w:header="0"/>
        </w:sectPr>
      </w:pPr>
    </w:p>
    <w:bookmarkStart w:id="116" w:name="page117"/>
    <w:bookmarkEnd w:id="116"/>
    <w:p>
      <w:pPr>
        <w:ind w:left="340" w:right="180"/>
        <w:spacing w:after="0" w:line="322" w:lineRule="auto"/>
        <w:rPr>
          <w:sz w:val="20"/>
          <w:szCs w:val="20"/>
          <w:color w:val="auto"/>
        </w:rPr>
      </w:pPr>
      <w:r>
        <w:rPr>
          <w:rFonts w:ascii="Arial" w:cs="Arial" w:eastAsia="Arial" w:hAnsi="Arial"/>
          <w:sz w:val="16"/>
          <w:szCs w:val="16"/>
          <w:color w:val="auto"/>
        </w:rPr>
        <w:t>either case, within three months prior to, or within 18 months following, a “change in control” of the company (each, as defined in Mr. Nelson’s change in control severance agreement), then 100% of the then unvested shares subject to this option will immediately vest (the “Nelson Acceleration”). For additional information on this change in control severance benefit, see “-Change in Control Severance Agreements.”</w:t>
      </w:r>
    </w:p>
    <w:p>
      <w:pPr>
        <w:spacing w:after="0" w:line="2" w:lineRule="exact"/>
        <w:rPr>
          <w:sz w:val="20"/>
          <w:szCs w:val="20"/>
          <w:color w:val="auto"/>
        </w:rPr>
      </w:pPr>
    </w:p>
    <w:p>
      <w:pPr>
        <w:ind w:left="34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145,341 shares of our common stock. One-fourth of the grant vested on December 1, 2016 and the remainder of the grant vested and will vest in 36 equal monthly installments thereafter, subject to Mr. Nelson’s continuous service through each vesting date. In addition, the Nelson Acceleration applies to these option shares prior to their full vesting.</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152,238 shares of our common stock. One-fourth of the grant vested on February 4, 2017 and the remainder of the grant vested and will vest in 36 equal monthly installments thereafter, subject to Mr. Nelson’s continuous service through the applicable vesting date. In addition, the Nelson Acceleration applies to these option share prior to their full vesting.</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70,024 shares of our common stock. One-fourth of the grant vested on July 20, 2017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77,027 shares of our common stock. One-fourth of the grant vested on August 3, 2018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board of directors approved options to purchase common stock to Messrs. Brown, Nelson, Muth and Ajami effective upon the effectiveness of the registration statement for the IPO. The option grants are as follows: Mr. Brown, 500,000 shares; Mr. Nelson, 200,000 shares; Mr. Muth, 100,000 shares; and Mr. Ajami, 100,000 shares. In addition, our board granted options to purchase 40,000 shares of common stock to Mr. Brown, options to purchase 5,000 shares of common stock to Mr. Goldman, and options to purchase 5,000 shares of common stock to Mr. Nelson, which in each case became effective upon the effectiveness of the registration statement for our IPO. The exercise price per share for each of options described above was $25 per share. The options vest over four years, with 25% vesting on the one year anniversary date of the effectiveness of the registration statement, subject each officer’s continued employment with us through the applicable vesting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 not in Connection with a Change in Control</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Pursuant to the offer letter entered into with Charles Muth on May 5, 2017, if we terminate Mr. Muth’s employment without cause at any time, Mr. Muth will be entitled to a severance payment equal to six months of Mr. Muth’s base salary.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Agreements</w:t>
      </w:r>
    </w:p>
    <w:p>
      <w:pPr>
        <w:spacing w:after="0" w:line="193"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In November 2018, our compensation committee approved change in control severance benefits for our named executive officers. These benefits are provided to Mr. Brown in an amended and restated employment agreement that was entered into with Mr. Brown in January 2019. We have also entered into change in control severance agreements with Mr. Nelson, Mr. Ajami and Mr. Muth providing for these benefits.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11" w:right="279" w:bottom="1440" w:gutter="0" w:footer="0" w:header="0"/>
        </w:sectPr>
      </w:pPr>
    </w:p>
    <w:bookmarkStart w:id="117" w:name="page118"/>
    <w:bookmarkEnd w:id="117"/>
    <w:p>
      <w:pPr>
        <w:jc w:val="both"/>
        <w:ind w:right="320" w:firstLine="324"/>
        <w:spacing w:after="0" w:line="254" w:lineRule="auto"/>
        <w:rPr>
          <w:sz w:val="20"/>
          <w:szCs w:val="20"/>
          <w:color w:val="auto"/>
        </w:rPr>
      </w:pPr>
      <w:r>
        <w:rPr>
          <w:rFonts w:ascii="Arial" w:cs="Arial" w:eastAsia="Arial" w:hAnsi="Arial"/>
          <w:sz w:val="18"/>
          <w:szCs w:val="18"/>
          <w:color w:val="auto"/>
        </w:rPr>
        <w:t>These agreements with Mr. Brown, Mr. Nelson, Mr. Ajami and Mr. Muth provide that if, within the period beginning three months prior to, and ending 18 months following, a change in control of the company, we terminate such officer’s employment without cause or such officer resigns for good reason, such officer will be eligible to receive the following severance benefits, subject to, among other things, executing a general release of claims in favor of the company and complying with the terms of his confidentiality agreement:</w:t>
      </w:r>
    </w:p>
    <w:p>
      <w:pPr>
        <w:spacing w:after="0" w:line="150" w:lineRule="exact"/>
        <w:rPr>
          <w:sz w:val="20"/>
          <w:szCs w:val="20"/>
          <w:color w:val="auto"/>
        </w:rPr>
      </w:pPr>
    </w:p>
    <w:p>
      <w:pPr>
        <w:ind w:left="660" w:right="280" w:hanging="328"/>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cash payment equal to 18 months of his then-current base salary in the case of Mr. Brown and 12 months of his then-current base salary in the case of Mr. Nelson, Mr. Ajami and Mr. Muth;</w:t>
      </w:r>
    </w:p>
    <w:p>
      <w:pPr>
        <w:spacing w:after="0" w:line="142"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cash payment equal to the COBRA premiums that would be due for COBRA coverage (assuming such coverage is elected) for a period of 18 months in the case of Mr. Brown and 12 months in the case of Mr. Nelson, Mr. Ajami and Mr. Muth; and</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100% immediate vesting acceleration of all of the shares of our common stock underlying any then-outstanding unvested stock options and other unvested equity awards that are subject to time-based vesting.</w:t>
      </w:r>
    </w:p>
    <w:p>
      <w:pPr>
        <w:spacing w:after="0" w:line="14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each applicable agreement contains a “better after-tax” provision, which provides that if any of the payments or benefits provided to an executive constitutes a parachute payment under Section 280G of the Code, the payments or benefits will either be (i) reduced or (ii) provided in full, whichever results in the named executive officer receiving the greater amount after taking into account all applicable federal, state and local income taxes, including the excise tax under Section 4999 of the Code.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Our 2011 Equity Incentive Plan was amended, restated and re-named the 2018 Equity Incentive Plan, or 2018 Plan, by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our stockholders on November 15, 2018 and November 27, 2018, respectively. The 2018 Plan became effective on April 30, 2019.</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The maximum aggregate number of shares that may be issued under the 2018 Plan is 14,482,356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addition, the number of shares reserved for issuance under the 2018 Plan will be increased automatically on the first day of each fiscal year beginning with the 2020 fiscal year, by a number equal to the least of:</w:t>
      </w:r>
    </w:p>
    <w:p>
      <w:pPr>
        <w:spacing w:after="0" w:line="13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2,144,521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number of shares determined by our board of directors.</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If an award expires, is forfeited or becomes unexercisable for any reason without having been exercised in full, or is surrendered pursuant to an exchange program, the unissued shares that were subject to the award will, unless the 2018 Plan is terminated, continue to be available under the 2018 Plan for issuance pursuant to future awards. In addition, any shares which are retained by the company upon exercise of an award in order to satisfy the exercise or purchase price for such award or any withholding taxes due with respect to such award will be treated as not issued and will continue to be available under the 2018 Plan for issuance pursuant to future awards. Shares issued under the 2018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again be available for future grant under the 2018 Plan. To the extent an award under the 2018 Plan is paid out in cash rather than shares, such cash payment will not result in reducing the number of Shares available for issuance under the 2018 Plan.</w:t>
      </w:r>
    </w:p>
    <w:p>
      <w:pPr>
        <w:spacing w:after="0" w:line="13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Our board of directors has delegated its authority to administer the 2018 Plan to our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our 2018 Plan, the administrator has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82" w:right="239" w:bottom="1440" w:gutter="0" w:footer="0" w:header="0"/>
        </w:sectPr>
      </w:pPr>
    </w:p>
    <w:bookmarkStart w:id="118" w:name="page119"/>
    <w:bookmarkEnd w:id="118"/>
    <w:p>
      <w:pPr>
        <w:spacing w:after="0" w:line="252" w:lineRule="auto"/>
        <w:rPr>
          <w:sz w:val="20"/>
          <w:szCs w:val="20"/>
          <w:color w:val="auto"/>
        </w:rPr>
      </w:pPr>
      <w:r>
        <w:rPr>
          <w:rFonts w:ascii="Arial" w:cs="Arial" w:eastAsia="Arial" w:hAnsi="Arial"/>
          <w:sz w:val="18"/>
          <w:szCs w:val="18"/>
          <w:color w:val="auto"/>
        </w:rPr>
        <w:t>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2018 Plan. The administrator also has the authority, subject to the terms of the 2018 Plan, to amend existing awards, to prescribe rules and to construe and interpret the 2018 Plan and awards granted thereunder and to institute an exchange program by which outstanding awards may be surrendered in exchange for awards of the same type which may have a lower exercise price or different terms, awards of a different type and/or cash subject to stockholder approval.</w:t>
      </w:r>
    </w:p>
    <w:p>
      <w:pPr>
        <w:spacing w:after="0" w:line="131"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Employees, members of our board of directors who are not employees and consultants are eligible to participate in our 2018</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Non-employee director</w:t>
      </w:r>
      <w:r>
        <w:rPr>
          <w:rFonts w:ascii="Arial" w:cs="Arial" w:eastAsia="Arial" w:hAnsi="Arial"/>
          <w:sz w:val="18"/>
          <w:szCs w:val="18"/>
          <w:color w:val="auto"/>
        </w:rPr>
        <w:t>s. Our 2018 Plan provides that all non-employee directors will be eligible to receive all types of awards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2018 Plan except for incentive stock options. We intend to implement a formal policy pursuant to which our non-employee directors will be eligible to receive equity awards under our 2018 Plan. In addition, in order to provide a maximum limit on awards that can be provided to our non-employee directors under the 2018 Plan, our 2018 Plan provides that no non-employee director may receive awards under the 2018 Plan that, when combined with cash compensation received for service as a non-employee director, exceeds $ 650,000 in a calendar year, increased to $900,000 in the calendar year of his or her initial services as a non-employee director. For purposes of this limit, the value of stock options and stock appreciation rights will be calculated using the Black-Scholes valuation methodology on the date of grant, and the value for all other types of awards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w:t>
      </w:r>
    </w:p>
    <w:p>
      <w:pPr>
        <w:spacing w:after="0" w:line="128"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b w:val="1"/>
          <w:bCs w:val="1"/>
          <w:color w:val="auto"/>
        </w:rPr>
        <w:t xml:space="preserve">Types of award. </w:t>
      </w:r>
      <w:r>
        <w:rPr>
          <w:rFonts w:ascii="Arial" w:cs="Arial" w:eastAsia="Arial" w:hAnsi="Arial"/>
          <w:sz w:val="18"/>
          <w:szCs w:val="18"/>
          <w:color w:val="auto"/>
        </w:rPr>
        <w:t>Our 2018 Plan provides for the grant of incentive stock options, within the meaning of Section 422 of the Code,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our subsidiaries.</w:t>
      </w:r>
    </w:p>
    <w:p>
      <w:pPr>
        <w:spacing w:after="0" w:line="12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administrator may grant incentive and/or non-statutory stock options under our 2018 Plan, provided that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may only be granted to employees. The exercise price of such options must generally be equal to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2018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 The maximum aggregate number of shares of our common stock that may be issued under the 2018 Plan pursuant to incentive stock options may not exceed the maximum number of shares reserved under the 2018 Plan and to the extent allowable under Section 422 of the Internal Revenue Code, or the Code, any other shares that become available for issuance or reissuance pursuant to the terms of the 2018 Plan.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382" w:right="259" w:bottom="1440" w:gutter="0" w:footer="0" w:header="0"/>
        </w:sectPr>
      </w:pPr>
    </w:p>
    <w:bookmarkStart w:id="119" w:name="page120"/>
    <w:bookmarkEnd w:id="119"/>
    <w:p>
      <w:pPr>
        <w:ind w:right="20" w:firstLine="324"/>
        <w:spacing w:after="0" w:line="257"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our 2018 Plan. Stock appreciation rights allow the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appreciation in the fair market value of our common stock between the date of grant and the exercise date. Subject to the provisions of our 2018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may be granted under our 2018 Plan. Restricted stock awards are grants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are 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Restricted stock units may be granted under our 2018 Plan, and may include the right to dividend equivalents,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Performance units/performance shares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be granted under our 2018 Plan.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performance shares are awards that will result in a payment to a participant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based on one or more of the following performance criteria and any adjustment(s) thereto, in each case as determined by the administrator: (i) sales or non-</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sales revenue; (ii) return on revenues; (iii) operating income; (iv) income or earnings including operating income; (v) income or earnings before or after taxes, interest, depreciation, and/or amortization; (vi) income or earnings from continuing operations; (vii) net income; (viii) pre-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tax income or after-tax income; (ix) net income excluding amortization of intangible assets, depreciation and impairment of goodwill and intangible assets, and/or excluding charges attributable to the adoption of new accounting pronouncements; (x) raising of financing or fundraising; (xi) project financing; (xii) revenue backlog; (xiii) gross margin; (xiv) operating margin or profit margin; (xv) 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w:t>
      </w:r>
    </w:p>
    <w:p>
      <w:pPr>
        <w:spacing w:after="0" w:line="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tax profit; (xxiii) strategic business criteria, consisting of one or more objectives based on meeting specified market penetration or market share, completion of strategic agreements such as licenses, funded collaborations, joint ventures, acquisitions, and the like, geographic</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360" w:right="299" w:bottom="1440" w:gutter="0" w:footer="0" w:header="0"/>
        </w:sectPr>
      </w:pPr>
    </w:p>
    <w:bookmarkStart w:id="120" w:name="page121"/>
    <w:bookmarkEnd w:id="120"/>
    <w:p>
      <w:pPr>
        <w:spacing w:after="0" w:line="251" w:lineRule="auto"/>
        <w:rPr>
          <w:sz w:val="20"/>
          <w:szCs w:val="20"/>
          <w:color w:val="auto"/>
        </w:rPr>
      </w:pPr>
      <w:r>
        <w:rPr>
          <w:rFonts w:ascii="Arial" w:cs="Arial" w:eastAsia="Arial" w:hAnsi="Arial"/>
          <w:sz w:val="18"/>
          <w:szCs w:val="18"/>
          <w:color w:val="auto"/>
        </w:rPr>
        <w:t>business expansion, objective customer satisfaction or information technology goals, and/or intellectual property asset metrics; (xxiv) objective goals relating to divestitures, joint ventures, mergers, acquisitions, and similar transactions; (xxv) objective goals relating to staff management, results from staff attitude and/or opinion surveys, staff satisfaction scores, staff safety, staff accident and/or injury rates, compliance headcount, performance management, and completion of critical staff training initiatives; (xxvi) objective goals relating to projects, including project completion timing and/or achievement of milestones, project budget, and technical progress against work plans; and (xxvii) enterprise resource planning. However, awards issued to participants may take into account other factors (including subjective factors). In addition,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3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Unless the administrator provides otherwise, our 2018 Plan generally does not allow for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and only the recipient of an option or stock appreciation right may exercise such an award during his or her lifetime.</w:t>
      </w:r>
    </w:p>
    <w:p>
      <w:pPr>
        <w:spacing w:after="0" w:line="9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Certain adjustments. </w:t>
      </w:r>
      <w:r>
        <w:rPr>
          <w:rFonts w:ascii="Arial" w:cs="Arial" w:eastAsia="Arial" w:hAnsi="Arial"/>
          <w:sz w:val="18"/>
          <w:szCs w:val="18"/>
          <w:color w:val="auto"/>
        </w:rPr>
        <w:t>In the event of certain corporate events or changes in our capitalization, to prevent diminution or enlargement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or potential benefits available under the 2018 Plan, the administrator will make adjustments to one or more of the number, kind and class of securities that may be delivered under the 2018 Plan and/or the number, kind, class and price of securities covered by each outstanding award.</w:t>
      </w:r>
    </w:p>
    <w:p>
      <w:pPr>
        <w:spacing w:after="0" w:line="12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color w:val="auto"/>
        </w:rPr>
        <w:t xml:space="preserve">Liquidation or dissolution. </w:t>
      </w:r>
      <w:r>
        <w:rPr>
          <w:rFonts w:ascii="Arial" w:cs="Arial" w:eastAsia="Arial" w:hAnsi="Arial"/>
          <w:sz w:val="18"/>
          <w:szCs w:val="18"/>
          <w:color w:val="auto"/>
        </w:rPr>
        <w:t>In the event of our proposed winding up, liquidation or dissolution, the administrator will notify participants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practicable and all awards will terminate immediately prior to the consummation of such proposed transaction.</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Our 2018 Plan provides that in the event of certain significant corporate transactions, including: (1) a transfer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without the consent of any Participant,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(v) in the case of options, participants may be given an opportunity to exercise options prior to the transaction and, if not exercised, such options may be terminated upon consummation of the transaction.</w:t>
      </w:r>
    </w:p>
    <w:p>
      <w:pPr>
        <w:spacing w:after="0" w:line="132"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The administrator may provide, in an individual award agreement or in any other written agreement between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us that the stock award will be subject to additional acceleration of vesting and exercisability in the event of a change of control. Under the 2018 Plan, a “change of control” is generally (1) a merger, consolidation, or any other corporate reorganization in which</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382" w:right="279" w:bottom="1440" w:gutter="0" w:footer="0" w:header="0"/>
        </w:sectPr>
      </w:pPr>
    </w:p>
    <w:bookmarkStart w:id="121" w:name="page122"/>
    <w:bookmarkEnd w:id="121"/>
    <w:p>
      <w:pPr>
        <w:ind w:right="40"/>
        <w:spacing w:after="0" w:line="254" w:lineRule="auto"/>
        <w:rPr>
          <w:sz w:val="20"/>
          <w:szCs w:val="20"/>
          <w:color w:val="auto"/>
        </w:rPr>
      </w:pPr>
      <w:r>
        <w:rPr>
          <w:rFonts w:ascii="Arial" w:cs="Arial" w:eastAsia="Arial" w:hAnsi="Arial"/>
          <w:sz w:val="18"/>
          <w:szCs w:val="18"/>
          <w:color w:val="auto"/>
        </w:rPr>
        <w:t>our stockholders immediately before the transaction do not own, directly or indirectly, more than a majority of the combined voting power of the surviving entity (or the parent of the surviving entity), (2) the consummation of the sale, transfer or other disposition of all or substantially all of our assets, (3) an unapproved change in the majority of the board of directors during any 12-month period, and (4) the acquisition by any person or company of more than 50% of the total voting power of our then outstanding stock.</w:t>
      </w:r>
    </w:p>
    <w:p>
      <w:pPr>
        <w:spacing w:after="0" w:line="128"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8"/>
          <w:szCs w:val="18"/>
          <w:b w:val="1"/>
          <w:bCs w:val="1"/>
          <w:color w:val="auto"/>
        </w:rPr>
        <w:t xml:space="preserve">Clawback/recovery. </w:t>
      </w:r>
      <w:r>
        <w:rPr>
          <w:rFonts w:ascii="Arial" w:cs="Arial" w:eastAsia="Arial" w:hAnsi="Arial"/>
          <w:sz w:val="18"/>
          <w:szCs w:val="18"/>
          <w:color w:val="auto"/>
        </w:rPr>
        <w:t>Stock awards granted under the 2018 Plan will be subject to recoupment in accordance with any clawback policy we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to adopt pursuant to applicable law and listing requirements. In addition, the administrator may impose such other clawback, recovery or recoupment provisions in any stock award agreement as it determines necessary or appropriate.</w:t>
      </w:r>
    </w:p>
    <w:p>
      <w:pPr>
        <w:spacing w:after="0" w:line="114"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Our board of directors has the authority to amend, suspend or terminate the 2018 Plan provided such 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impair the existing rights of any participant. Our 2018 Plan will automatically terminate on November 14, 2028 unless we terminate it sooner. We will obtain stockholder approval of any amendment to our 2018 Plan as required by applicable law or listing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Employee Stock Purchase Plan, or 2018 ESPP, was adopted by our board of directors on November 15, 2018 and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stockholders on November 27, 2018. The 2018 ESPP became effective on April 30, 2019. The 2018 ESPP is intended to qualify as an “employee stock purchase plan” within the meaning of Section 423 of the Code for U.S. employees. In addition, the 2018 ESPP authorizes grants of purchase rights that do not comply with Section 423 of the Code under a separate non-423 component for non-U.S. employees and certain non-U.S. service providers.</w:t>
      </w:r>
    </w:p>
    <w:p>
      <w:pPr>
        <w:spacing w:after="0" w:line="130"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804,195 shares of our common stock for issuance under the 2018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the 2018 ESPP will be increased automatically on the first day of each fiscal year for a period of up to ten years, starting with the 2020 fiscal year, by a number equal to the least of:</w:t>
      </w:r>
    </w:p>
    <w:p>
      <w:pPr>
        <w:spacing w:after="0" w:line="14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536,130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lesser number of shares determined by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hereof, no shares of our common stock have been purchased under the 2018 ESPP.</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2018 ESPP will be administered by our board of directors or a committee designated by our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delegated its authority to administer the 2018 ESPP to our compensation committee.</w:t>
      </w:r>
    </w:p>
    <w:p>
      <w:pPr>
        <w:spacing w:after="0" w:line="15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Generally, all regular employees, including executive officers, employed by us or by any of our designated affiliates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non-U.S. service providers may participate in the 2018 ESPP.</w:t>
      </w:r>
    </w:p>
    <w:p>
      <w:pPr>
        <w:spacing w:after="0" w:line="12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2018 ESPP, as determined by the administrator, including: (1) being customarily employed for more than 20 hours per week, (2) being customarily employed for more than 5 months per calendar year, or (3) continuous employment with us or one of our affiliates for a period of time (not to exceed 2 years). No employee may purchase shares under the 2018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2018 ESPP if immediately after such rights are granted, such employee has voting power over 5% or more of our outstanding capital stock measured by vote or value under Section 424(d) of the Code.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382" w:right="279" w:bottom="1440" w:gutter="0" w:footer="0" w:header="0"/>
        </w:sectPr>
      </w:pPr>
    </w:p>
    <w:bookmarkStart w:id="122" w:name="page123"/>
    <w:bookmarkEnd w:id="122"/>
    <w:p>
      <w:pPr>
        <w:ind w:right="560" w:firstLine="324"/>
        <w:spacing w:after="0" w:line="262" w:lineRule="auto"/>
        <w:rPr>
          <w:sz w:val="20"/>
          <w:szCs w:val="20"/>
          <w:color w:val="auto"/>
        </w:rPr>
      </w:pPr>
      <w:r>
        <w:rPr>
          <w:rFonts w:ascii="Arial" w:cs="Arial" w:eastAsia="Arial" w:hAnsi="Arial"/>
          <w:sz w:val="18"/>
          <w:szCs w:val="18"/>
          <w:color w:val="auto"/>
        </w:rPr>
        <w:t>Non-U.S. service providers must provide bona fide services to the company and may be subject to additional eligibility criteria as the administrator may determine even if such criteria is not consistent with Section 423 of the Code.</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The 2018 ESPP is expected to be implemented through a series of offerings under which participants are granted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purchase shares of our common stock on specified dates during such offerings. Under the 2018 ESPP, we may specify offerings with durations of not more than 27 months, and we may specify shorter purchase periods within each offering. Each offering will have one or more purchase dates on which shares of our common stock will be purchased for participants in the offering. An offering under the 2018 ESPP may be terminated under certain circumstances. The administrator will have the discretion to structure an offering so that if the fair market value of a share of our common stock on the first trading day of a new purchase period within that offering is less than or equal to the fair market value of a share of our common stock on the offering date for that offering, then that offering will terminate immediately as of that first trading day, and the participants in such terminated offering will be automatically enrolled in a new offering beginning on the first trading day of such new offering period. The administrator has not yet approved an offering under our 2018 ESPP and we are not certain whether or when this will occur.</w:t>
      </w:r>
    </w:p>
    <w:p>
      <w:pPr>
        <w:spacing w:after="0" w:line="13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Participants who are employees may contribute, normally through payroll deductions, up to 15% of their earnings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board of directors in each offering) for the purchase of our common stock under the ESPP. Participants who are not employees will contribute on an after-tax basis in a manner determined by the administrator.</w:t>
      </w:r>
    </w:p>
    <w:p>
      <w:pPr>
        <w:spacing w:after="0" w:line="14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Unless otherwise determined by the administrator, common stock will be purchased for the accounts of participants in the 2018 ESPP at a price per share that is at least the lesser of (1) 85% of the fair market value of a share of our common stock on the first date of an offering, or (2) 85% of the fair market value of a share of our common stock on the date of purchase.</w:t>
      </w:r>
    </w:p>
    <w:p>
      <w:pPr>
        <w:spacing w:after="0" w:line="13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that there occurs a change in our capital structure through such actions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stock dividend, combination, consolidation, recapitalization (including a recapitalization through a large nonrecurring cash dividend) or reclassification of our common stock, subdivision of our common stock, a rights offering, a reorganization, merger, spin-off, split-up, repurchase, or exchange of our common stock or other significant corporate transaction, or other change affecting our common stock, the administrator will make appropriate adjustments to: (1) the class(es) and maximum number of shares reserved under the 2018 ESPP, (2) the class(es) and maximum number of shares by which the share reserve may increase automatically each year, (3) the class(es) and number of shares and purchase price of all outstanding purchase rights, and (4) the class(es) and number of shares that are subject to purchase limits under ongoing offerings.</w:t>
      </w:r>
    </w:p>
    <w:p>
      <w:pPr>
        <w:spacing w:after="0" w:line="13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winding up, liquidation or dissolution, any offering period then in progress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shortened by setting a new purchase date and will terminate immediately prior to the consummation of such proposed dissolution or liquidation, unless provided otherwise by the administrator.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2018 ESPP provides that in the event of certain significant corporate transactions, including: (1) a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a successor corporation may assume or substitute each outstanding purchase right. If the successor corporation refuses to assume or substitute the purchase right, the offering period then in progress will be shortened, and a new purchase date will be set. The administrator will notify each participant that the purchase date has been changed and that the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382" w:right="259" w:bottom="1440" w:gutter="0" w:footer="0" w:header="0"/>
        </w:sectPr>
      </w:pPr>
    </w:p>
    <w:bookmarkStart w:id="123" w:name="page124"/>
    <w:bookmarkEnd w:id="123"/>
    <w:p>
      <w:pPr>
        <w:ind w:right="200"/>
        <w:spacing w:after="0" w:line="262" w:lineRule="auto"/>
        <w:rPr>
          <w:sz w:val="20"/>
          <w:szCs w:val="20"/>
          <w:color w:val="auto"/>
        </w:rPr>
      </w:pPr>
      <w:r>
        <w:rPr>
          <w:rFonts w:ascii="Arial" w:cs="Arial" w:eastAsia="Arial" w:hAnsi="Arial"/>
          <w:sz w:val="18"/>
          <w:szCs w:val="18"/>
          <w:color w:val="auto"/>
        </w:rPr>
        <w:t>participant’s purchase right will be exercised automatically on the new purchase date unless prior to such date the participant has withdrawn from the offering period.</w:t>
      </w:r>
    </w:p>
    <w:p>
      <w:pPr>
        <w:spacing w:after="0" w:line="12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administrator has the authority to amend, suspend or terminate our 2018 ESPP, except that,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described in our 2018 ESPP, no such action may adversely affect any outstanding rights to purchase stock under our 2018 ESPP without the holder’s consent. We will obtain stockholder approval of any amendment to our 2018 ESPP as required by applicable law or listing requirements.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Bonus Plan</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Executive Incentive Bonus Plan, or the Bonus Plan, allows our compensation committee to provide cash incentive awards to selected officers and key employees, including our named executive officers, based upon performance goals established by our compensation committee.</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the Bonus Plan, our compensation committee will determine the amount of the target award (which may, but is not required to be, based upon the participant’s base salary), the performance period and the performance goals to be applicable to any award. Performance goals that include our financial results may be determined in accordance with U.S. generally accepted accounting principles, or GAAP, or such financial results may consist of non-GAAP financial measures, and any goals or actual results may be adjusted by our compensation committee for any reason, including without limitation, one-time items or unbudgeted or unexpected items, when determining whether the performance goals have been met. The performance goals may be on the basis of any factors our compensation committee determines relevant and may be adjusted on an individual, divisional, business unit or company-wide basis. The performance goals may differ from participant to participant and from award to award.</w:t>
      </w:r>
    </w:p>
    <w:p>
      <w:pPr>
        <w:spacing w:after="0" w:line="1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compensation committee, may, in its sole discretion and at any time, increase, reduce or eliminate an award otherwise payable to a participant with respect to any performance period.</w:t>
      </w:r>
    </w:p>
    <w:p>
      <w:pPr>
        <w:spacing w:after="0" w:line="14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Actual awards will be paid in cash only after they are earned, which usually requires continued employment through the date the bonus is paid unless otherwise determined by our compensation committee.</w:t>
      </w:r>
    </w:p>
    <w:p>
      <w:pPr>
        <w:spacing w:after="0" w:line="14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board of directors or our compensation committee has the authority to amend, alter, suspend or terminate the Bonus Plan, provided such action does not impair the existing rights of any participant with respect to any earned bonus.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Welfare and Retirement 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maintain a defined contribution retirement plan for our eligible U.S. employees. Participants may make pre-tax contributions to the plan from their eligible earnings, and we may make matching contributions and profit sharing contributions to eligible participants, in each case, up to the statutorily prescribed annual limits on contributions under the Internal Revenue Code. The 401(k) plan permits us to make matching contributions and profit sharing contributions to eligible participants. The plan is intended to be qualified under Section 401(a) of the Internal Revenue Code, and the plan’s trust is intended to be tax exempt under Section 501(a) of the Internal Revenue Code. As a tax-qualified 401(k) plan, contributions to the 401(k) plan and income earned on such contributions, are not taxable to participants until withdrawn or distributed from the 401(k)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93"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None of our named executive officers participate in or has an account balance in any qualified or non-qualified defined benefit plan sponsored by us.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382"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not offered any nonqualified deferred compensation plans or arrangements or entered into any such arrangements with any of our named executive officers.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Tax Gross-ups</w:t>
      </w:r>
    </w:p>
    <w:p>
      <w:pPr>
        <w:spacing w:after="0" w:line="301" w:lineRule="exact"/>
        <w:rPr>
          <w:sz w:val="20"/>
          <w:szCs w:val="20"/>
          <w:color w:val="auto"/>
        </w:rPr>
      </w:pPr>
    </w:p>
    <w:p>
      <w:pPr>
        <w:ind w:right="880" w:firstLine="324"/>
        <w:spacing w:after="0" w:line="262"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paid by 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addition to the compensation arrangements with our directors and executive officers, including those discussed in the sections titled “Management” and “Executive Compensation,” and the registration rights described in the section titled “Description of Capital Stock— Registration Rights,” the following is a description of each transaction since January 1, 2015 and each currently proposed transaction in which:</w:t>
      </w:r>
    </w:p>
    <w:p>
      <w:pPr>
        <w:spacing w:after="0" w:line="148"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E Convertible Preferred Stock</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October 2, 2015 through January 29, 2016, we issued and sold an aggregate of 4,701,449 shares of our Series E convertible preferred stock, or Series E stock, at a purchase price of $3.68 per share for aggregate consideration of approximately $17,300,000.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E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815,235</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2,999,998</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Kleiner Perkins Caufield &amp; Byers</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407,617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1,499,999</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the Obvious Group</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135,872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499,998</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44,294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162,999</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54,348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199,999</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(5)</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271,744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999,998</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120" w:hanging="332"/>
        <w:spacing w:after="0" w:line="246"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375,823 shares of Series E stock purchased by Kleiner Perkins Caufield &amp; Byers XIV, LLC and 31,794 shares of Series E stock purchased by KPCB XIV Founders Fund, LLC.</w:t>
      </w: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shares of Series E stock purchased by Obvious Ventures I, L.P.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44,294 shares of Series E stock purchased by the Julie D. Farkas Revocable Trust for which Mr. Goldman’s wife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54,348 shares of Series E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271,744 shares of Series E stock purchased by Union Grove Partners Direct Venture Fund, LP, for which Mr. Bohlen serves on the investment committee of the record holder’s general partner.</w:t>
      </w:r>
    </w:p>
    <w:p>
      <w:pPr>
        <w:spacing w:after="0" w:line="2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September 2016 Subordinated Convertible Note Financing</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From September 9, 2016 through September 12, 2016, we issued and sold subordinated convertible promissory notes with an aggregate principal amount of $4,000,000 bearing interest at a rate of 1% per annum, compounded annually.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68" w:right="239" w:bottom="1440" w:gutter="0" w:footer="0" w:header="0"/>
        </w:sectPr>
      </w:pPr>
    </w:p>
    <w:bookmarkStart w:id="126" w:name="page127"/>
    <w:bookmarkEnd w:id="126"/>
    <w:p>
      <w:pPr>
        <w:ind w:right="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one of the holders of more than 5% of our capital stock, one of our executive officers and members of our board of directors, and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w w:val="99"/>
              </w:rPr>
              <w:t>Stockholder</w:t>
            </w:r>
          </w:p>
        </w:tc>
        <w:tc>
          <w:tcPr>
            <w:tcW w:w="8600" w:type="dxa"/>
            <w:vAlign w:val="bottom"/>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9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Directors and Executive Officers: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jc w:val="right"/>
              <w:ind w:right="3274"/>
              <w:spacing w:after="0"/>
              <w:rPr>
                <w:sz w:val="20"/>
                <w:szCs w:val="20"/>
                <w:color w:val="auto"/>
              </w:rPr>
            </w:pPr>
            <w:r>
              <w:rPr>
                <w:rFonts w:ascii="Arial" w:cs="Arial" w:eastAsia="Arial" w:hAnsi="Arial"/>
                <w:sz w:val="18"/>
                <w:szCs w:val="18"/>
                <w:color w:val="auto"/>
                <w:w w:val="98"/>
              </w:rPr>
              <w:t>Seth Goldman and related entities</w:t>
            </w:r>
            <w:r>
              <w:rPr>
                <w:rFonts w:ascii="Arial" w:cs="Arial" w:eastAsia="Arial" w:hAnsi="Arial"/>
                <w:sz w:val="21"/>
                <w:szCs w:val="21"/>
                <w:color w:val="auto"/>
                <w:w w:val="98"/>
                <w:vertAlign w:val="superscript"/>
              </w:rPr>
              <w:t>(1)</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195"/>
        </w:trPr>
        <w:tc>
          <w:tcPr>
            <w:tcW w:w="6240" w:type="dxa"/>
            <w:vAlign w:val="bottom"/>
          </w:tcPr>
          <w:p>
            <w:pPr>
              <w:jc w:val="right"/>
              <w:ind w:right="4434"/>
              <w:spacing w:after="0"/>
              <w:rPr>
                <w:sz w:val="20"/>
                <w:szCs w:val="20"/>
                <w:color w:val="auto"/>
              </w:rPr>
            </w:pPr>
            <w:r>
              <w:rPr>
                <w:rFonts w:ascii="Arial" w:cs="Arial" w:eastAsia="Arial" w:hAnsi="Arial"/>
                <w:sz w:val="16"/>
                <w:szCs w:val="16"/>
                <w:color w:val="auto"/>
              </w:rPr>
              <w:t>___________________</w:t>
            </w:r>
          </w:p>
        </w:tc>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8" w:lineRule="exact"/>
        <w:rPr>
          <w:sz w:val="20"/>
          <w:szCs w:val="20"/>
          <w:color w:val="auto"/>
        </w:rPr>
      </w:pPr>
    </w:p>
    <w:p>
      <w:pPr>
        <w:ind w:left="340" w:right="280" w:hanging="332"/>
        <w:spacing w:after="0" w:line="269"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$300,000 purchased by the Seth Goldman Revocable Trust for which Mr. Goldman serves as the trustee</w:t>
      </w:r>
      <w:r>
        <w:rPr>
          <w:rFonts w:ascii="Arial" w:cs="Arial" w:eastAsia="Arial" w:hAnsi="Arial"/>
          <w:sz w:val="18"/>
          <w:szCs w:val="18"/>
          <w:color w:val="auto"/>
        </w:rPr>
        <w:t>.</w:t>
      </w:r>
    </w:p>
    <w:p>
      <w:pPr>
        <w:spacing w:after="0" w:line="22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Series F Convertible Preferred Stock</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From October 7, 2016 through June 26, 2017, we issued and sold an aggregate of 4,866,758 shares of our Series F convertible preferred stock, or Series F stock, at a purchase price of $6.19 per share, for aggregate consideration of approximately $30,100,000.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F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161,686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999,999</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2,433,387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15,049,998</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202,107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1,249,996</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51,087</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315,968</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299,998</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(4)</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525,480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3,249,990</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400" w:hanging="332"/>
        <w:spacing w:after="0" w:line="24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148,894 shares of Series F stock purchased by Cleveland Avenue, LLC and held of record by CA Food I Fund LLC and 53,213 shares of Series F stock purchased by Donald Thompson, one of our directors, and held of record by Cleveland Manor Investments II LLC. Mr. Thompson has voting and dispositive control over the shares held by CA Food I Fund LLC and Cleveland Manor Investments II LLC. See “Principal Stockholders” for more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51,087 shares of Series F stock purchased by the Seth Goldman Revocable Trust for which Mr. Goldman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48,505 shares of Series F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280" w:hanging="332"/>
        <w:spacing w:after="0" w:line="253"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485,060 shares of Series F stock purchased by Union Grove Partners Venture Access Fund II-B, LP, 20,210 shares of Series F stock purchased by Union Grove Partners Direct Venture Fund, LP and 20,210 shares of Series F stock purchased by Union Grove Partners Venture Access Fund II, LP for which Mr. Bohlen serves on the investment committees of the general partners of each of the aforementioned record 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82" w:right="2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8"/>
          <w:szCs w:val="18"/>
          <w:b w:val="1"/>
          <w:bCs w:val="1"/>
          <w:i w:val="1"/>
          <w:iCs w:val="1"/>
          <w:color w:val="auto"/>
        </w:rPr>
        <w:t>August 2017 Subordinated Convertible Note Financing</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August 1, 2017 through November 3, 2017, we issued and sold subordinated convertible promissory notes with an aggregate principal amount of $10,000,000 bearing interest at a rate of 5% per annum, compounded annually.</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certain holders of more than 5% of our capital stock, one of our executive officers and certain members of our board of directors and as applicable,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5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0"/>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1,000,000</w:t>
            </w: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3,600,000</w:t>
            </w:r>
          </w:p>
        </w:tc>
      </w:tr>
      <w:tr>
        <w:trPr>
          <w:trHeight w:val="263"/>
        </w:trPr>
        <w:tc>
          <w:tcPr>
            <w:tcW w:w="958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r>
      <w:tr>
        <w:trPr>
          <w:trHeight w:val="243"/>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Bernhard van Lengerich</w:t>
            </w: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300,000</w:t>
            </w:r>
          </w:p>
        </w:tc>
      </w:tr>
      <w:tr>
        <w:trPr>
          <w:trHeight w:val="204"/>
        </w:trPr>
        <w:tc>
          <w:tcPr>
            <w:tcW w:w="958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ind w:left="340" w:right="42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$1,587,322 purchased by Cleveland Avenue, LLC and held of record by Beyond Meat CA LLC, notes in an aggregate principal amount of $1,587,322 purchased by Beyond Meat CA LLC, and notes in an aggregate principal amount of $425,356 purchased by Donald Thompson. Mr. Thompson has voting and dispositive control over the shares held by Beyond Meat CA LLC. See “Principal Stockholders” for more information.</w:t>
      </w:r>
    </w:p>
    <w:p>
      <w:pPr>
        <w:spacing w:after="0" w:line="1"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$1,000,000 purchased by the Seth Goldman Revocable Trust for which Mr. Goldman serves as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8" w:right="239" w:bottom="1440" w:gutter="0" w:footer="0" w:header="0"/>
        </w:sectPr>
      </w:pPr>
    </w:p>
    <w:bookmarkStart w:id="128" w:name="page129"/>
    <w:bookmarkEnd w:id="128"/>
    <w:p>
      <w:pPr>
        <w:ind w:left="340"/>
        <w:spacing w:after="0"/>
        <w:rPr>
          <w:sz w:val="20"/>
          <w:szCs w:val="20"/>
          <w:color w:val="auto"/>
        </w:rPr>
      </w:pPr>
      <w:r>
        <w:rPr>
          <w:rFonts w:ascii="Arial" w:cs="Arial" w:eastAsia="Arial" w:hAnsi="Arial"/>
          <w:sz w:val="18"/>
          <w:szCs w:val="18"/>
          <w:b w:val="1"/>
          <w:bCs w:val="1"/>
          <w:i w:val="1"/>
          <w:iCs w:val="1"/>
          <w:color w:val="auto"/>
        </w:rPr>
        <w:t>Series G Convertible Preferred Stock</w:t>
      </w:r>
    </w:p>
    <w:p>
      <w:pPr>
        <w:spacing w:after="0" w:line="19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From November 22, 2017 through June 29, 2018, we issued and sold an aggregate of 5,114,786 shares of our Series G convertible preferred stock, or Series G stock, at a purchase price of $10.94 per share, for aggregate consideration of approximately $55,953,000, including the conversion of the $10,000,000 of subordinated convertible promissory notes described above.</w:t>
      </w:r>
    </w:p>
    <w:p>
      <w:pPr>
        <w:spacing w:after="0" w:line="14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G stock issued to these related parties in this convertible preferred stock financing (amounts shown below are in addition to the convertible promissory notes described in the table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1,124,992</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731,301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7,999,999</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1,906,253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20,853,281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1,124,992</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537,494</w:t>
            </w:r>
          </w:p>
        </w:tc>
      </w:tr>
      <w:tr>
        <w:trPr>
          <w:trHeight w:val="191"/>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20" w:hanging="332"/>
        <w:spacing w:after="0" w:line="246"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1,862,511 shares of Series G stock purchased by Beyond Meat CA LLC and 43,742 shares of Series G stock purchased by Don Thompson, in each case held of record by Cleveland Manor Investments II LLC. Mr. Thompson has voting and dispositive control over the shares held by Cleveland Manor Investments II LLC. See “Principal Stockholders” for more information.</w:t>
      </w:r>
    </w:p>
    <w:p>
      <w:pPr>
        <w:spacing w:after="0" w:line="1" w:lineRule="exact"/>
        <w:rPr>
          <w:rFonts w:ascii="Arial" w:cs="Arial" w:eastAsia="Arial" w:hAnsi="Arial"/>
          <w:sz w:val="16"/>
          <w:szCs w:val="16"/>
          <w:color w:val="auto"/>
        </w:rPr>
      </w:pPr>
    </w:p>
    <w:p>
      <w:pPr>
        <w:ind w:left="340" w:right="380" w:hanging="332"/>
        <w:spacing w:after="0" w:line="253"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102,838 shares of Series G stock purchased by the Seth Goldman Revocable Trust for which Mr. Goldman serves as the trustee. These shares were subsequently transferred to the Goldman Farkas 2017 Descendants Trust, and Mr. Goldman no longer has voting or dispositive power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8" w:right="2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b w:val="1"/>
          <w:bCs w:val="1"/>
          <w:i w:val="1"/>
          <w:iCs w:val="1"/>
          <w:color w:val="auto"/>
        </w:rPr>
        <w:t>Series H Convertible Preferred Stock</w:t>
      </w:r>
    </w:p>
    <w:p>
      <w:pPr>
        <w:spacing w:after="0" w:line="193"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From October 5, 2018 through November 2, 2018 we issued and sold an aggregate of 2,075,216 shares of our Series H convertible preferred stock, or Series H stock, at a purchase price of $24.23 per share, for an aggregate consideration of approximately $50,283,000.</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H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173,570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4,205,581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(2)</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103,361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2,504,452</w:t>
            </w: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999,997</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123,813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2,999,992</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173,570 shares of Series H convertible preferred stock purchased by DNS-BYMT, LLC.</w:t>
      </w:r>
    </w:p>
    <w:p>
      <w:pPr>
        <w:spacing w:after="0" w:line="5"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76,669 shares of Series H convertible preferred stock purchased by Beyond Meat CA LLC, 6,129 shares of Series H convertible preferred stock purchased by CA Food I Fund, LLC and 20,563 shares of Series H convertible preferred stock purchased by Cleveland Manor Investments II LLC, one of our directors, and held of record by Cleveland Manor Investments II LLC. Mr. Thompson has voting and dispositive control over the shares held by CA Food I Fund LLC and Cleveland Manor Investments II LLC. See “Principal Stockholders” for more information.</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41,271 shares of Series H convertible preferred stock purchased by the Seth Goldman Revocable Trust for which Mr. Goldman serves as the trustee.</w:t>
      </w:r>
    </w:p>
    <w:p>
      <w:pPr>
        <w:ind w:left="340" w:right="20" w:hanging="332"/>
        <w:spacing w:after="0" w:line="253"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119,317 shares of Series H convertible preferred stock purchased by GreatPoint Ventures Innovation Fund, LP, for which Mr. Lane serves as Managing Partner, and 4,496 shares of Series H convertible preferred stock purchased by the GreatPoint Ventures Innovation Parallel Fund, LP., for which Mr. Lane serves as Managing Partner. See “Principal Stockholders” for more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8"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of our holders of more than 5% of our capital stock as well as certain of our executive officers and members of our board of directors and as applicable, their affiliates, have elected to sell some of their shares of common stock in this offering on the same terms as the other selling stockholders. The following table sets forth the aggregate number of shares of common stock that these related parties may sell in this offering and the total proceeds to be received net of underwriting discounts and commissions: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 of</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Common Stock if</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 to</w:t>
            </w: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40" w:type="dxa"/>
            <w:vAlign w:val="bottom"/>
          </w:tcPr>
          <w:p>
            <w:pPr>
              <w:spacing w:after="0"/>
              <w:rPr>
                <w:sz w:val="16"/>
                <w:szCs w:val="16"/>
                <w:color w:val="auto"/>
              </w:rPr>
            </w:pPr>
          </w:p>
        </w:tc>
        <w:tc>
          <w:tcPr>
            <w:tcW w:w="1580" w:type="dxa"/>
            <w:vAlign w:val="bottom"/>
          </w:tcPr>
          <w:p>
            <w:pPr>
              <w:jc w:val="center"/>
              <w:ind w:right="52"/>
              <w:spacing w:after="0"/>
              <w:rPr>
                <w:sz w:val="20"/>
                <w:szCs w:val="20"/>
                <w:color w:val="auto"/>
              </w:rPr>
            </w:pPr>
            <w:r>
              <w:rPr>
                <w:rFonts w:ascii="Arial" w:cs="Arial" w:eastAsia="Arial" w:hAnsi="Arial"/>
                <w:sz w:val="16"/>
                <w:szCs w:val="16"/>
                <w:b w:val="1"/>
                <w:bCs w:val="1"/>
                <w:color w:val="auto"/>
              </w:rPr>
              <w:t>Total Sales Price if</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Purchase</w:t>
            </w: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Sales</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Option to Purchase</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Common Stock in</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Additional Shares</w:t>
            </w: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in Base</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Additional Shares is</w:t>
            </w:r>
          </w:p>
        </w:tc>
      </w:tr>
      <w:tr>
        <w:trPr>
          <w:trHeight w:val="180"/>
        </w:trPr>
        <w:tc>
          <w:tcPr>
            <w:tcW w:w="48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6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Base Offering</w:t>
            </w:r>
          </w:p>
        </w:tc>
        <w:tc>
          <w:tcPr>
            <w:tcW w:w="158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rPr>
              <w:t>is Exercised</w:t>
            </w:r>
          </w:p>
        </w:tc>
        <w:tc>
          <w:tcPr>
            <w:tcW w:w="220" w:type="dxa"/>
            <w:vAlign w:val="bottom"/>
          </w:tcPr>
          <w:p>
            <w:pPr>
              <w:spacing w:after="0"/>
              <w:rPr>
                <w:sz w:val="15"/>
                <w:szCs w:val="15"/>
                <w:color w:val="auto"/>
              </w:rPr>
            </w:pPr>
          </w:p>
        </w:tc>
        <w:tc>
          <w:tcPr>
            <w:tcW w:w="150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w w:val="99"/>
              </w:rPr>
              <w:t>Offering</w:t>
            </w:r>
          </w:p>
        </w:tc>
        <w:tc>
          <w:tcPr>
            <w:tcW w:w="140" w:type="dxa"/>
            <w:vAlign w:val="bottom"/>
          </w:tcPr>
          <w:p>
            <w:pPr>
              <w:spacing w:after="0"/>
              <w:rPr>
                <w:sz w:val="15"/>
                <w:szCs w:val="15"/>
                <w:color w:val="auto"/>
              </w:rPr>
            </w:pPr>
          </w:p>
        </w:tc>
        <w:tc>
          <w:tcPr>
            <w:tcW w:w="1580" w:type="dxa"/>
            <w:vAlign w:val="bottom"/>
          </w:tcPr>
          <w:p>
            <w:pPr>
              <w:jc w:val="center"/>
              <w:ind w:right="52"/>
              <w:spacing w:after="0" w:line="181" w:lineRule="exact"/>
              <w:rPr>
                <w:sz w:val="20"/>
                <w:szCs w:val="20"/>
                <w:color w:val="auto"/>
              </w:rPr>
            </w:pPr>
            <w:r>
              <w:rPr>
                <w:rFonts w:ascii="Arial" w:cs="Arial" w:eastAsia="Arial" w:hAnsi="Arial"/>
                <w:sz w:val="16"/>
                <w:szCs w:val="16"/>
                <w:b w:val="1"/>
                <w:bCs w:val="1"/>
                <w:color w:val="auto"/>
              </w:rPr>
              <w:t>Exercised</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 Chief Executive Officer and Director</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39,130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6,026,020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6,930,000</w:t>
            </w:r>
          </w:p>
        </w:tc>
      </w:tr>
      <w:tr>
        <w:trPr>
          <w:trHeight w:val="270"/>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 xml:space="preserve">Gregory Bohlen, Director </w:t>
            </w:r>
            <w:r>
              <w:rPr>
                <w:rFonts w:ascii="Arial" w:cs="Arial" w:eastAsia="Arial" w:hAnsi="Arial"/>
                <w:sz w:val="21"/>
                <w:szCs w:val="21"/>
                <w:color w:val="auto"/>
                <w:vertAlign w:val="superscript"/>
              </w:rPr>
              <w:t>(1)</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62,194</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9,577,876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11,139,128</w:t>
            </w:r>
          </w:p>
        </w:tc>
      </w:tr>
      <w:tr>
        <w:trPr>
          <w:trHeight w:val="270"/>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Mark J. Nelson, Chief Financial Officer and Treasurer</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55,418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8,534,372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9,925,608</w:t>
            </w:r>
          </w:p>
        </w:tc>
      </w:tr>
      <w:tr>
        <w:trPr>
          <w:trHeight w:val="26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Chuck Muth, Chief Growth Officer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3,254,020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3,784,396</w:t>
            </w:r>
          </w:p>
        </w:tc>
      </w:tr>
      <w:tr>
        <w:trPr>
          <w:trHeight w:val="27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Diane Carhart, Director</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9,069</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1,396,626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1,396,626</w:t>
            </w:r>
          </w:p>
        </w:tc>
      </w:tr>
      <w:tr>
        <w:trPr>
          <w:trHeight w:val="26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Stephanie Pullings Hart, Senior Vice President, Operations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698,236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698,236</w:t>
            </w:r>
          </w:p>
        </w:tc>
      </w:tr>
      <w:tr>
        <w:trPr>
          <w:trHeight w:val="27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Seeding the Future Foundation </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52,174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8,034,796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9,240,000</w:t>
            </w:r>
          </w:p>
        </w:tc>
      </w:tr>
      <w:tr>
        <w:trPr>
          <w:trHeight w:val="26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Kleiner Perkins Caufield &amp; Byers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622,401</w:t>
            </w:r>
          </w:p>
        </w:tc>
        <w:tc>
          <w:tcPr>
            <w:tcW w:w="10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101,461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95,849,754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111,474,748</w:t>
            </w:r>
          </w:p>
        </w:tc>
      </w:tr>
      <w:tr>
        <w:trPr>
          <w:trHeight w:val="27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Obvious Ventures</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348,138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53,613,252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62,353,060</w:t>
            </w:r>
          </w:p>
        </w:tc>
      </w:tr>
      <w:tr>
        <w:trPr>
          <w:trHeight w:val="191"/>
        </w:trPr>
        <w:tc>
          <w:tcPr>
            <w:tcW w:w="480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See footnote 7 of table in “Principal and Selling Stockholders.”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Seeding the Future Foundation is a 501(c)(3) entity. Mr. Bernhard van Lengerich, along with his spouse, serve as directors.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9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October 2018, we entered into an amended and restated investor rights agreement with certain of our stockholders, which included the entities affiliated with Kleiner Perkins Caufield &amp; Byers, the entities affiliated with the Obvious Group, DNS-BYMT, LLC and the entities affiliated with Cleveland Avenue LLC as well as our directors, Seth Goldman, Bernhard van Lengerich and Ethan Brown and their affiliates to the extent applicable. These stockholders are entitled to rights with respect to the registration of their shares of common stock under the Securities Act under certain circumstances. For a description of these registration rights, see “Description of Capital Stock—Registration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 Agreement</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November 2015, we entered into an advisor agreement with Food System Strategies, LLC. In February 2016, we entered into a new advisor agreement with Food System Strategies, LLC, which was subsequently amended in December 2016. Dr. Bernhard van Lengerich, who is a member of our board of directors, is the Chief Executive Officer of Food System Strategies, LLC. As of December 31, 2018, we have paid $563,500 in fees to Food System Strategies, LLC pursuant to the advisor agreement. For more information regarding this advisor agreement, see “Management—Director Compensation Arrangements.”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Consulting Agreements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November 2018, we amended and restated a consulting agreement with Seth Goldman, our Executive Chair and a member of our board of directors, which was amended again in April 2019. As of December 31, 2018, we have paid $495,833 in fees and a $149,625 discretionary bonus to Mr. Goldman pursuant to this consulting agreement. For more information regarding this consulting agreement, see “Management— Director Compensation Arrangements.”</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 2018, the Company reimbursed Cleveland Avenue, LLC, a venture capital investment company, which holds more than 5% of the Company’s stock and is led by Don Thompson, for certain costs that were incurred by Cleveland Avenue, LLC in connection with Company presentations and the hosting of Company meetings. Cleveland Avenue, LLC received $121,546 in reimbursements for staff time, food, food preparation and facility rental costs for the period from January 2017 to December 2018.</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July 2019, we entered into a consulting agreement with Michael A. Pucker, a former member of our board of directors, pursuant to which Mr. Pucker will provide consulting services for up to one year in consideration for $ 40,000 and a restricted stock unit award with a grant date fair value of approximately $105,000, which will vest in equal monthly installments over one year, subject to Mr. Pucker providing services through each vesting date. Mr. Pucker is the Chairman and CEO of DNS Capital, LLC and a partner of Latham &amp; Watkins LLP, which firm is acting as counsel to the underwriters in connection with this offering. DNS Capital, LLC is an investment office for the enterprise of Gigi Pritzker, Mr. Pucker and their immediate family. DNS Capital also acts as an advisor to DNS - BYMT, LLC, which is a holder of more than 5% of our outstanding common stock. See “Principal and Selling Stockholders”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Amendment Letter</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March 2017, Mark J. Nelson, our Chief Financial Officer, terminated his employment with us but was re-employed by us in May 2017. In May 2017 we entered into an option amendment letter with Mr. Nelson, pursuant to which his outstanding stock options were amended to provide that his termination of employment from us would not be considered a termination of his “Continuous Service” (as defined by the 2011 Plan) and that his stock options would continue to vest pursuant to their terms. The intrinsic value of his amended options as of the date of the amendment was $389,441, which amount was equal to the fair market value of the options less the exercise price as of such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93"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officers. The indemnification agreements and our certificate of incorporation and bylaws require us to indemnify our directors and officers to the fullest extent permitted by Delaware law. For more information regarding these indemnification agreements, see “Management—Limitation of Liability and Indemnification.”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December 2015, we loaned Donald Thompson, a member of our board of directors and Seth Goldman, $380,498 and $570,747, respectively, pursuant to promissory notes at an annual interest rate of 1.68%, compounded annually, to allow them to purchase restricted shares of our common stock. The promissory notes were repaid in full by each of Mr. Thompson and Mr. Goldman on July 17, 2018 and July 9, 2018,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 Policy</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68" w:right="279" w:bottom="1440" w:gutter="0" w:footer="0" w:header="0"/>
        </w:sectPr>
      </w:pPr>
    </w:p>
    <w:bookmarkStart w:id="132" w:name="page133"/>
    <w:bookmarkEnd w:id="132"/>
    <w:p>
      <w:pPr>
        <w:ind w:right="360"/>
        <w:spacing w:after="0" w:line="262" w:lineRule="auto"/>
        <w:rPr>
          <w:sz w:val="20"/>
          <w:szCs w:val="20"/>
          <w:color w:val="auto"/>
        </w:rPr>
      </w:pPr>
      <w:r>
        <w:rPr>
          <w:rFonts w:ascii="Arial" w:cs="Arial" w:eastAsia="Arial" w:hAnsi="Arial"/>
          <w:sz w:val="18"/>
          <w:szCs w:val="18"/>
          <w:color w:val="auto"/>
        </w:rPr>
        <w:t>person has or will have a direct or indirect material interest. The written charter of our audit committee will provide that our audit committee shall review and approve in advance any related-party transaction.</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This policy was not in effect when we entered into the related-party transactions above, other than the consulting agreement with Mr. Pucker.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382" w:right="2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following table and footnotes set forth information with respect to the beneficial ownership of our common stock as of July 10, 2019, subject to certain assumptions set forth in the footnotes and as adjusted to reflect the sale of the shares of common stock offered in the public offering under this prospectus for:</w:t>
      </w:r>
    </w:p>
    <w:p>
      <w:pPr>
        <w:spacing w:after="0" w:line="148"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holder of 5% or more of the outstanding shares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the other selling stockholders.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SEC rules, each listed person’s beneficial ownership includes:</w:t>
      </w:r>
    </w:p>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shares the stockholder actually owns beneficially or of record;</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shares over which the stockholder has or shares voting or dispositive control (such as in the capacity as a general partner of an investment fund);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shares the stockholder has the right to acquire beneficial ownership of within 60 days after July 10, 2019.</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calculation of the percentage of beneficial ownership prior to this offering is based on 60,247,328 shares of common stock outstanding as of July 10, 2019, which include 75,443 shares to be sold upon exercise of options in connection with this offering. The percentage ownership information assumes no exercise of the underwriters’ option to purchase additional shares. Shares of common stock that a person has the right to acquire within 60 days after July 10,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As noted above, in connection with this offering, certain of the selling stockholders will exercise outstanding stock options in the aggregate amount of 75,443 shares of common stock. Such exercises have been reflected in the listed beneficial ownership for each stockholder below and have been included in the number of shares of common stock outstanding as of July 10, 2019.</w:t>
      </w:r>
    </w:p>
    <w:p>
      <w:pPr>
        <w:spacing w:after="0" w:line="159" w:lineRule="exact"/>
        <w:rPr>
          <w:sz w:val="20"/>
          <w:szCs w:val="20"/>
          <w:color w:val="auto"/>
        </w:rPr>
      </w:pPr>
    </w:p>
    <w:p>
      <w:pPr>
        <w:jc w:val="both"/>
        <w:ind w:right="420" w:firstLine="324"/>
        <w:spacing w:after="0" w:line="254" w:lineRule="auto"/>
        <w:rPr>
          <w:sz w:val="20"/>
          <w:szCs w:val="20"/>
          <w:color w:val="auto"/>
        </w:rPr>
      </w:pPr>
      <w:r>
        <w:rPr>
          <w:rFonts w:ascii="Arial" w:cs="Arial" w:eastAsia="Arial" w:hAnsi="Arial"/>
          <w:sz w:val="18"/>
          <w:szCs w:val="18"/>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119 Standard Street, El Segundo, CA 90245.</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color w:val="auto"/>
              </w:rPr>
              <w:t>5% or more stockholders: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w w:val="98"/>
              </w:rPr>
              <w:t>Entities affiliated with Kleiner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1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Perkins Caufield &amp;</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49"/>
        </w:trPr>
        <w:tc>
          <w:tcPr>
            <w:tcW w:w="40" w:type="dxa"/>
            <w:vAlign w:val="bottom"/>
          </w:tcPr>
          <w:p>
            <w:pPr>
              <w:spacing w:after="0"/>
              <w:rPr>
                <w:sz w:val="21"/>
                <w:szCs w:val="21"/>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Byers</w:t>
            </w:r>
            <w:r>
              <w:rPr>
                <w:rFonts w:ascii="Arial" w:cs="Arial" w:eastAsia="Arial" w:hAnsi="Arial"/>
                <w:sz w:val="19"/>
                <w:szCs w:val="19"/>
                <w:color w:val="auto"/>
                <w:vertAlign w:val="superscript"/>
              </w:rPr>
              <w:t>(1)</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7,751,463</w:t>
            </w:r>
          </w:p>
        </w:tc>
        <w:tc>
          <w:tcPr>
            <w:tcW w:w="12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7,751,463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12.87</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622,401</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7,129,062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11.78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101,461</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7,027,601</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11.53</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8"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Entities affiliated with</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9"/>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ind w:left="160"/>
              <w:spacing w:after="0" w:line="169" w:lineRule="exact"/>
              <w:rPr>
                <w:sz w:val="20"/>
                <w:szCs w:val="20"/>
                <w:color w:val="auto"/>
              </w:rPr>
            </w:pPr>
            <w:r>
              <w:rPr>
                <w:rFonts w:ascii="Arial" w:cs="Arial" w:eastAsia="Arial" w:hAnsi="Arial"/>
                <w:sz w:val="12"/>
                <w:szCs w:val="12"/>
                <w:color w:val="auto"/>
              </w:rPr>
              <w:t>Obvious Ventures</w:t>
            </w:r>
            <w:r>
              <w:rPr>
                <w:rFonts w:ascii="Arial" w:cs="Arial" w:eastAsia="Arial" w:hAnsi="Arial"/>
                <w:sz w:val="19"/>
                <w:szCs w:val="19"/>
                <w:color w:val="auto"/>
                <w:vertAlign w:val="superscript"/>
              </w:rPr>
              <w:t>(2)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4,462,542</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4,462,542</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348,138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4,114,404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56,752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4,057,652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6.66</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DNS-BYMT, LLC</w:t>
            </w:r>
            <w:r>
              <w:rPr>
                <w:rFonts w:ascii="Arial" w:cs="Arial" w:eastAsia="Arial" w:hAnsi="Arial"/>
                <w:sz w:val="19"/>
                <w:szCs w:val="19"/>
                <w:color w:val="auto"/>
                <w:vertAlign w:val="superscript"/>
              </w:rPr>
              <w:t>(3)</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7.29</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7.26</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4,390,084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7.20</w:t>
            </w:r>
          </w:p>
        </w:tc>
      </w:tr>
      <w:tr>
        <w:trPr>
          <w:trHeight w:val="284"/>
        </w:trPr>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149"/>
        </w:trPr>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w w:val="97"/>
              </w:rPr>
              <w:t>Named executive officers and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2"/>
                <w:szCs w:val="12"/>
                <w:b w:val="1"/>
                <w:bCs w:val="1"/>
                <w:color w:val="auto"/>
              </w:rPr>
              <w:t>directors</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Ethan Brown</w:t>
            </w:r>
            <w:r>
              <w:rPr>
                <w:rFonts w:ascii="Arial" w:cs="Arial" w:eastAsia="Arial" w:hAnsi="Arial"/>
                <w:sz w:val="19"/>
                <w:szCs w:val="19"/>
                <w:color w:val="auto"/>
                <w:vertAlign w:val="superscript"/>
              </w:rPr>
              <w:t>(4)</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1,604,027</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1,573,895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3,177,922</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39,130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3,138,792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5,870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3,132,922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5.01</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Donald Thompson</w:t>
            </w:r>
            <w:r>
              <w:rPr>
                <w:rFonts w:ascii="Arial" w:cs="Arial" w:eastAsia="Arial" w:hAnsi="Arial"/>
                <w:sz w:val="19"/>
                <w:szCs w:val="19"/>
                <w:color w:val="auto"/>
                <w:vertAlign w:val="superscript"/>
              </w:rPr>
              <w:t>(5)</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2,632,384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4.32</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Seth Goldman</w:t>
            </w:r>
            <w:r>
              <w:rPr>
                <w:rFonts w:ascii="Arial" w:cs="Arial" w:eastAsia="Arial" w:hAnsi="Arial"/>
                <w:sz w:val="19"/>
                <w:szCs w:val="19"/>
                <w:color w:val="auto"/>
                <w:vertAlign w:val="superscript"/>
              </w:rPr>
              <w:t>(6)</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1,019,011</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13,213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1,032,224</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1,032,224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1,032,224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1.69</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Gregory Bohlen</w:t>
            </w:r>
            <w:r>
              <w:rPr>
                <w:rFonts w:ascii="Arial" w:cs="Arial" w:eastAsia="Arial" w:hAnsi="Arial"/>
                <w:sz w:val="19"/>
                <w:szCs w:val="19"/>
                <w:color w:val="auto"/>
                <w:vertAlign w:val="superscript"/>
              </w:rPr>
              <w:t>(7)</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797,224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797,224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62,194</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735,030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10,138</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724,892</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1.19</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Mark J. Nelson</w:t>
            </w:r>
            <w:r>
              <w:rPr>
                <w:rFonts w:ascii="Arial" w:cs="Arial" w:eastAsia="Arial" w:hAnsi="Arial"/>
                <w:sz w:val="19"/>
                <w:szCs w:val="19"/>
                <w:color w:val="auto"/>
                <w:vertAlign w:val="superscript"/>
              </w:rPr>
              <w:t>(8)</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501,758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242,463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744,221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55,418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688,803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9,034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679,769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1.11</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Bernhard van Lengerich</w:t>
            </w:r>
            <w:r>
              <w:rPr>
                <w:rFonts w:ascii="Arial" w:cs="Arial" w:eastAsia="Arial" w:hAnsi="Arial"/>
                <w:sz w:val="19"/>
                <w:szCs w:val="19"/>
                <w:color w:val="auto"/>
                <w:vertAlign w:val="superscript"/>
              </w:rPr>
              <w:t>(9)</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453,076</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133,147</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586,223</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52,174</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534,049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7,826</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526,223</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Charles Muth</w:t>
            </w:r>
            <w:r>
              <w:rPr>
                <w:rFonts w:ascii="Arial" w:cs="Arial" w:eastAsia="Arial" w:hAnsi="Arial"/>
                <w:sz w:val="19"/>
                <w:szCs w:val="19"/>
                <w:color w:val="auto"/>
                <w:vertAlign w:val="superscript"/>
              </w:rPr>
              <w:t>(10)</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218,765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62,503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281,268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21,130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260,138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3,444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256,694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Raymond J. Lane</w:t>
            </w:r>
            <w:r>
              <w:rPr>
                <w:rFonts w:ascii="Arial" w:cs="Arial" w:eastAsia="Arial" w:hAnsi="Arial"/>
                <w:sz w:val="19"/>
                <w:szCs w:val="19"/>
                <w:color w:val="auto"/>
                <w:vertAlign w:val="superscript"/>
              </w:rPr>
              <w:t>(11)</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256,108</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Diane Carhart</w:t>
            </w:r>
            <w:r>
              <w:rPr>
                <w:rFonts w:ascii="Arial" w:cs="Arial" w:eastAsia="Arial" w:hAnsi="Arial"/>
                <w:sz w:val="19"/>
                <w:szCs w:val="19"/>
                <w:color w:val="auto"/>
                <w:vertAlign w:val="superscript"/>
              </w:rPr>
              <w:t>(12)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9,069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90,936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100,005</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9,069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90,936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90,936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Dariush Ajami</w:t>
            </w:r>
            <w:r>
              <w:rPr>
                <w:rFonts w:ascii="Arial" w:cs="Arial" w:eastAsia="Arial" w:hAnsi="Arial"/>
                <w:sz w:val="19"/>
                <w:szCs w:val="19"/>
                <w:color w:val="auto"/>
                <w:vertAlign w:val="superscript"/>
              </w:rPr>
              <w:t>(13)</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4,083</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83,494</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87,577</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87,577</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87,577</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9"/>
              </w:rPr>
              <w:t>Christopher Isaac Stone</w:t>
            </w:r>
            <w:r>
              <w:rPr>
                <w:rFonts w:ascii="Arial" w:cs="Arial" w:eastAsia="Arial" w:hAnsi="Arial"/>
                <w:sz w:val="19"/>
                <w:szCs w:val="19"/>
                <w:color w:val="auto"/>
                <w:w w:val="99"/>
                <w:vertAlign w:val="superscript"/>
              </w:rPr>
              <w:t>(14)</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18,519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Ned Segal</w:t>
            </w:r>
            <w:r>
              <w:rPr>
                <w:rFonts w:ascii="Arial" w:cs="Arial" w:eastAsia="Arial" w:hAnsi="Arial"/>
                <w:sz w:val="19"/>
                <w:szCs w:val="19"/>
                <w:color w:val="auto"/>
                <w:vertAlign w:val="superscript"/>
              </w:rPr>
              <w:t>(15)</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6,976</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11,976</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11,976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11,976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Kathy N. Waller</w:t>
            </w:r>
            <w:r>
              <w:rPr>
                <w:rFonts w:ascii="Arial" w:cs="Arial" w:eastAsia="Arial" w:hAnsi="Arial"/>
                <w:sz w:val="19"/>
                <w:szCs w:val="19"/>
                <w:color w:val="auto"/>
                <w:vertAlign w:val="superscript"/>
              </w:rPr>
              <w:t>(16)</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6,976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7,476</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7,476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7,476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All directors and executive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4"/>
          </w:tcPr>
          <w:p>
            <w:pPr>
              <w:ind w:left="160"/>
              <w:spacing w:after="0" w:line="126" w:lineRule="exact"/>
              <w:rPr>
                <w:sz w:val="20"/>
                <w:szCs w:val="20"/>
                <w:color w:val="auto"/>
              </w:rPr>
            </w:pPr>
            <w:r>
              <w:rPr>
                <w:rFonts w:ascii="Arial" w:cs="Arial" w:eastAsia="Arial" w:hAnsi="Arial"/>
                <w:sz w:val="12"/>
                <w:szCs w:val="12"/>
                <w:color w:val="auto"/>
              </w:rPr>
              <w:t>officers as a</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160"/>
              <w:spacing w:after="0" w:line="169" w:lineRule="exact"/>
              <w:rPr>
                <w:sz w:val="20"/>
                <w:szCs w:val="20"/>
                <w:color w:val="auto"/>
              </w:rPr>
            </w:pPr>
            <w:r>
              <w:rPr>
                <w:rFonts w:ascii="Arial" w:cs="Arial" w:eastAsia="Arial" w:hAnsi="Arial"/>
                <w:sz w:val="12"/>
                <w:szCs w:val="12"/>
                <w:color w:val="auto"/>
              </w:rPr>
              <w:t>group</w:t>
            </w:r>
            <w:r>
              <w:rPr>
                <w:rFonts w:ascii="Arial" w:cs="Arial" w:eastAsia="Arial" w:hAnsi="Arial"/>
                <w:sz w:val="19"/>
                <w:szCs w:val="19"/>
                <w:color w:val="auto"/>
                <w:vertAlign w:val="superscript"/>
              </w:rPr>
              <w:t>(17)</w:t>
            </w:r>
            <w:r>
              <w:rPr>
                <w:rFonts w:ascii="Arial" w:cs="Arial" w:eastAsia="Arial" w:hAnsi="Arial"/>
                <w:sz w:val="12"/>
                <w:szCs w:val="12"/>
                <w:color w:val="auto"/>
              </w:rPr>
              <w:t xml:space="preserve"> (15 persons)</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7,524,058</w:t>
            </w:r>
          </w:p>
        </w:tc>
        <w:tc>
          <w:tcPr>
            <w:tcW w:w="1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2,257,317</w:t>
            </w:r>
          </w:p>
        </w:tc>
        <w:tc>
          <w:tcPr>
            <w:tcW w:w="1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9,781,375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15.65</w:t>
            </w: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191,475</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9,589,900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15.28</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28,486</w:t>
            </w:r>
          </w:p>
        </w:tc>
        <w:tc>
          <w:tcPr>
            <w:tcW w:w="10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9,561,414</w:t>
            </w:r>
          </w:p>
        </w:tc>
        <w:tc>
          <w:tcPr>
            <w:tcW w:w="10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15.12</w:t>
            </w:r>
          </w:p>
        </w:tc>
      </w:tr>
      <w:tr>
        <w:trPr>
          <w:trHeight w:val="150"/>
        </w:trPr>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Other selling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4"/>
        </w:trPr>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2"/>
                <w:szCs w:val="12"/>
                <w:b w:val="1"/>
                <w:bCs w:val="1"/>
                <w:color w:val="auto"/>
              </w:rPr>
              <w:t>stockholders:</w:t>
            </w: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Strategic Partners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160"/>
              <w:spacing w:after="0" w:line="169" w:lineRule="exact"/>
              <w:rPr>
                <w:sz w:val="20"/>
                <w:szCs w:val="20"/>
                <w:color w:val="auto"/>
              </w:rPr>
            </w:pPr>
            <w:r>
              <w:rPr>
                <w:rFonts w:ascii="Arial" w:cs="Arial" w:eastAsia="Arial" w:hAnsi="Arial"/>
                <w:sz w:val="12"/>
                <w:szCs w:val="12"/>
                <w:color w:val="auto"/>
              </w:rPr>
              <w:t>Entities</w:t>
            </w:r>
            <w:r>
              <w:rPr>
                <w:rFonts w:ascii="Arial" w:cs="Arial" w:eastAsia="Arial" w:hAnsi="Arial"/>
                <w:sz w:val="19"/>
                <w:szCs w:val="19"/>
                <w:color w:val="auto"/>
                <w:vertAlign w:val="superscript"/>
              </w:rPr>
              <w:t>(18)</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1,003,964</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1,003,964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78,322</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925,642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12,767</w:t>
            </w:r>
          </w:p>
        </w:tc>
        <w:tc>
          <w:tcPr>
            <w:tcW w:w="10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912,875</w:t>
            </w:r>
          </w:p>
        </w:tc>
        <w:tc>
          <w:tcPr>
            <w:tcW w:w="10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1.51</w:t>
            </w:r>
          </w:p>
        </w:tc>
      </w:tr>
      <w:tr>
        <w:trPr>
          <w:trHeight w:val="155"/>
        </w:trPr>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Future Positive Health</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69"/>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ind w:left="160"/>
              <w:spacing w:after="0" w:line="169" w:lineRule="exact"/>
              <w:rPr>
                <w:sz w:val="20"/>
                <w:szCs w:val="20"/>
                <w:color w:val="auto"/>
              </w:rPr>
            </w:pPr>
            <w:r>
              <w:rPr>
                <w:rFonts w:ascii="Arial" w:cs="Arial" w:eastAsia="Arial" w:hAnsi="Arial"/>
                <w:sz w:val="19"/>
                <w:szCs w:val="19"/>
                <w:color w:val="auto"/>
                <w:vertAlign w:val="subscript"/>
              </w:rPr>
              <w:t>SPV</w:t>
            </w:r>
            <w:r>
              <w:rPr>
                <w:rFonts w:ascii="Arial" w:cs="Arial" w:eastAsia="Arial" w:hAnsi="Arial"/>
                <w:sz w:val="9"/>
                <w:szCs w:val="9"/>
                <w:color w:val="auto"/>
              </w:rPr>
              <w:t>(19)</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1,774,573</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1,774,573</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138,440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1,636,133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22,568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1,613,565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2.67</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S2G Entities</w:t>
            </w:r>
            <w:r>
              <w:rPr>
                <w:rFonts w:ascii="Arial" w:cs="Arial" w:eastAsia="Arial" w:hAnsi="Arial"/>
                <w:sz w:val="19"/>
                <w:szCs w:val="19"/>
                <w:color w:val="auto"/>
                <w:vertAlign w:val="superscript"/>
              </w:rPr>
              <w:t>(20)</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1,814,375</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1,814,375</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141,545</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1,672,830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23,074</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1,649,756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2.73</w:t>
            </w: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Gates Entities</w:t>
            </w:r>
            <w:r>
              <w:rPr>
                <w:rFonts w:ascii="Arial" w:cs="Arial" w:eastAsia="Arial" w:hAnsi="Arial"/>
                <w:sz w:val="19"/>
                <w:szCs w:val="19"/>
                <w:color w:val="auto"/>
                <w:vertAlign w:val="superscript"/>
              </w:rPr>
              <w:t>(21)</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1,688,971</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1,688,971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129,429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1,559,542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26,529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1,533,013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2.53</w:t>
            </w: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Morgan Creek Partners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4"/>
          </w:tcPr>
          <w:p>
            <w:pPr>
              <w:ind w:left="160"/>
              <w:spacing w:after="0" w:line="135" w:lineRule="exact"/>
              <w:rPr>
                <w:sz w:val="20"/>
                <w:szCs w:val="20"/>
                <w:color w:val="auto"/>
              </w:rPr>
            </w:pPr>
            <w:r>
              <w:rPr>
                <w:rFonts w:ascii="Arial" w:cs="Arial" w:eastAsia="Arial" w:hAnsi="Arial"/>
                <w:sz w:val="12"/>
                <w:szCs w:val="12"/>
                <w:color w:val="auto"/>
              </w:rPr>
              <w:t>Venture Access Funds,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L.P.</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1,610,024</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1,610,024</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2.67</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125,603</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1,484,421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20,475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1,463,946</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2.42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Mitsui &amp; Co. (U.S.A.), Inc.</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808,433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808,433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63,068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745,365</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735,084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1.21</w:t>
            </w: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Eminent Harmony Limited</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489,141</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489,141</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38,282</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450,859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6,240</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444,619</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Unicorn Link International,</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2"/>
                <w:szCs w:val="12"/>
                <w:color w:val="auto"/>
              </w:rPr>
              <w:t>Ltd.</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436,055</w:t>
            </w: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436,055</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33,895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402,160</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5,525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396,635</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Proof I Entities</w:t>
            </w:r>
            <w:r>
              <w:rPr>
                <w:rFonts w:ascii="Arial" w:cs="Arial" w:eastAsia="Arial" w:hAnsi="Arial"/>
                <w:sz w:val="19"/>
                <w:szCs w:val="19"/>
                <w:color w:val="auto"/>
                <w:vertAlign w:val="superscript"/>
              </w:rPr>
              <w:t>(22)</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1,317,830</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1,317,830</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2.19</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102,808</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1,215,022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16,308</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1,198,714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1.98</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MLC50 LP Inc.</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312,165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312,165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24,353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287,812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283,843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Humane Society of the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United States</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277,303</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277,303</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21,633</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255,670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3,526</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252,144</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7"/>
              </w:rPr>
              <w:t>Sidney W. Swartz Trusts</w:t>
            </w:r>
            <w:r>
              <w:rPr>
                <w:rFonts w:ascii="Arial" w:cs="Arial" w:eastAsia="Arial" w:hAnsi="Arial"/>
                <w:sz w:val="19"/>
                <w:szCs w:val="19"/>
                <w:color w:val="auto"/>
                <w:w w:val="97"/>
                <w:vertAlign w:val="superscript"/>
              </w:rPr>
              <w:t>(23)</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431,092</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431,092</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33,629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397,463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5,481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391,982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Closed Loop Capital</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Investments, L.P.</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269,220</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269,220</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21,002</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248,218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3,423</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244,795</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Powerplant Ventures, LP</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263,168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263,168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20,530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242,638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239,292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Bunge Ventures Ltd.</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979,556</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979,556</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76,418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903,138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12,457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890,681</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1.47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Primerose Development</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0"/>
        </w:trPr>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Group Limited</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1,589,640</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1,589,640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137,014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1,452,626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22,335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1,430,291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2.36</w:t>
            </w:r>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61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60" w:type="dxa"/>
            <w:vAlign w:val="bottom"/>
            <w:gridSpan w:val="6"/>
          </w:tcPr>
          <w:p>
            <w:pPr>
              <w:ind w:left="78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Common stock</w:t>
            </w:r>
          </w:p>
        </w:tc>
        <w:tc>
          <w:tcPr>
            <w:tcW w:w="112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8"/>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Hyunju Yang</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17,028</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17,028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4,110</w:t>
            </w:r>
          </w:p>
        </w:tc>
        <w:tc>
          <w:tcPr>
            <w:tcW w:w="10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12,918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12,248</w:t>
            </w:r>
          </w:p>
        </w:tc>
        <w:tc>
          <w:tcPr>
            <w:tcW w:w="100" w:type="dxa"/>
            <w:vAlign w:val="bottom"/>
          </w:tcPr>
          <w:p>
            <w:pPr>
              <w:spacing w:after="0"/>
              <w:rPr>
                <w:sz w:val="20"/>
                <w:szCs w:val="20"/>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 Formation Inc.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1,589,639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1,589,639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137,014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1,452,625</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22,335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1,430,290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2.36</w:t>
            </w: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Sugar Bear Investments,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134,610</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134,610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10,501</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124,109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1,711</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122,398</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TriplePoint Capital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119,891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119,891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110,538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109,014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Innovative Fund, 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1,131,725</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1,131,725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88,289</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1,043,436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14,392</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1,029,044</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1.70</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Brent Taylor</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414,656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414,656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32,348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382,308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377,035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CAVU Venture Partners II,</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LP</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386,494</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386,494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30,151</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356,343</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4,915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351,428</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West Investments IV,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90,107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38,603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128,710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9,692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119,018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117,438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Little Harbor SAZ, 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248,751</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248,751</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19,405</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229,346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3,163</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226,183</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The Bunting Family Private</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Fund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161,686</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161,686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12,613</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149,073</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2,056</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147,017</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General Mills,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176,768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176,768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13,790</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162,978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2,248</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160,730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Anni Roder</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34,905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34,905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32,182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31,739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Demming International Ltd.</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34,279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34,279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2,674</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31,605</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31,170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Scott Hairston</w:t>
            </w:r>
            <w:r>
              <w:rPr>
                <w:rFonts w:ascii="Arial" w:cs="Arial" w:eastAsia="Arial" w:hAnsi="Arial"/>
                <w:sz w:val="19"/>
                <w:szCs w:val="19"/>
                <w:color w:val="auto"/>
                <w:vertAlign w:val="superscript"/>
              </w:rPr>
              <w:t>(24)</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97,556</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97,556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27,826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69,730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4,174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65,556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Impact Assets,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257,626</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257,626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20,098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237,528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3,276</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234,252</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Ismene, Ltd.</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86,841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86,841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80,067</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78,963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Mortimer Trust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276,603</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276,603</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21,578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255,025</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3,517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251,508</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OurCrowd (Investment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35"/>
        </w:trPr>
        <w:tc>
          <w:tcPr>
            <w:tcW w:w="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w w:val="97"/>
              </w:rPr>
              <w:t>Beyond) LP, a BVI limited</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Partnership</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28,063</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28,063</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2,189</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25,874</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356</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25,518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Dae Kim</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260,039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260,039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20,286</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239,753</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3,307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236,446</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MSA Entities</w:t>
            </w:r>
            <w:r>
              <w:rPr>
                <w:rFonts w:ascii="Arial" w:cs="Arial" w:eastAsia="Arial" w:hAnsi="Arial"/>
                <w:sz w:val="19"/>
                <w:szCs w:val="19"/>
                <w:color w:val="auto"/>
                <w:vertAlign w:val="superscript"/>
              </w:rPr>
              <w:t>(25)</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243,500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243,500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18,996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224,504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221,408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Y Capital Management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21,024</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21,024</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1,640</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19,384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19,117</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w w:val="98"/>
              </w:rPr>
              <w:t>H. Barton Co-Invest Fund III,</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71,415</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71,415</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5,571</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65,844</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908</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64,936</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Welch Trust Entities(26)</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103,138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103,138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8,046</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95,092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93,782</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Ambrosia SPV 1</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91,412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91,412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84,281</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The Rebholz 2012 Trust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DTD 7/12/12</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31,097</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31,097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2,425</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28,672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28,277</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Blue Horizon Corporation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Inc.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45,704</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45,704</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3,565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42,139</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581</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41,558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Shaun Roger White Family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Trust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13,710</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13,710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1,069</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12,641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12,467</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David Zarfes</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45,902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45,902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42,322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Levin Entities</w:t>
            </w:r>
            <w:r>
              <w:rPr>
                <w:rFonts w:ascii="Arial" w:cs="Arial" w:eastAsia="Arial" w:hAnsi="Arial"/>
                <w:sz w:val="19"/>
                <w:szCs w:val="19"/>
                <w:color w:val="auto"/>
                <w:vertAlign w:val="superscript"/>
              </w:rPr>
              <w:t>(27)</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51,418</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51,418</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4,010</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47,408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652</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46,756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Moskowitz Entities</w:t>
            </w:r>
            <w:r>
              <w:rPr>
                <w:rFonts w:ascii="Arial" w:cs="Arial" w:eastAsia="Arial" w:hAnsi="Arial"/>
                <w:sz w:val="19"/>
                <w:szCs w:val="19"/>
                <w:color w:val="auto"/>
                <w:vertAlign w:val="superscript"/>
              </w:rPr>
              <w:t>(28)</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73,059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73,281</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5,716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67,565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66,634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New Crop Capital</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61,070</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61,070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56,306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55,530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Big Loud Capital,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8,428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4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Moore Entities</w:t>
            </w:r>
            <w:r>
              <w:rPr>
                <w:rFonts w:ascii="Arial" w:cs="Arial" w:eastAsia="Arial" w:hAnsi="Arial"/>
                <w:sz w:val="19"/>
                <w:szCs w:val="19"/>
                <w:color w:val="auto"/>
                <w:vertAlign w:val="superscript"/>
              </w:rPr>
              <w:t>(29)</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2,760</w:t>
            </w:r>
          </w:p>
        </w:tc>
        <w:tc>
          <w:tcPr>
            <w:tcW w:w="12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5,907</w:t>
            </w:r>
          </w:p>
        </w:tc>
        <w:tc>
          <w:tcPr>
            <w:tcW w:w="12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8,667</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760</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7,907</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7,783</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155"/>
        </w:trPr>
        <w:tc>
          <w:tcPr>
            <w:tcW w:w="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Other selling stockholder</w:t>
            </w: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69"/>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320"/>
              <w:spacing w:after="0" w:line="169" w:lineRule="exact"/>
              <w:rPr>
                <w:sz w:val="20"/>
                <w:szCs w:val="20"/>
                <w:color w:val="auto"/>
              </w:rPr>
            </w:pPr>
            <w:r>
              <w:rPr>
                <w:rFonts w:ascii="Arial" w:cs="Arial" w:eastAsia="Arial" w:hAnsi="Arial"/>
                <w:sz w:val="12"/>
                <w:szCs w:val="12"/>
                <w:color w:val="auto"/>
              </w:rPr>
              <w:t>investors</w:t>
            </w:r>
            <w:r>
              <w:rPr>
                <w:rFonts w:ascii="Arial" w:cs="Arial" w:eastAsia="Arial" w:hAnsi="Arial"/>
                <w:sz w:val="19"/>
                <w:szCs w:val="19"/>
                <w:color w:val="auto"/>
                <w:vertAlign w:val="superscript"/>
              </w:rPr>
              <w:t>(30)</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541,604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47,199</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588,803</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45,924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542,879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6,868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536,011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Other selling stockholder</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1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employees of the</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49"/>
        </w:trPr>
        <w:tc>
          <w:tcPr>
            <w:tcW w:w="40" w:type="dxa"/>
            <w:vAlign w:val="bottom"/>
          </w:tcPr>
          <w:p>
            <w:pPr>
              <w:spacing w:after="0"/>
              <w:rPr>
                <w:sz w:val="21"/>
                <w:szCs w:val="21"/>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Company</w:t>
            </w:r>
            <w:r>
              <w:rPr>
                <w:rFonts w:ascii="Arial" w:cs="Arial" w:eastAsia="Arial" w:hAnsi="Arial"/>
                <w:sz w:val="19"/>
                <w:szCs w:val="19"/>
                <w:color w:val="auto"/>
                <w:vertAlign w:val="superscript"/>
              </w:rPr>
              <w:t>(31)</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78,097</w:t>
            </w:r>
          </w:p>
        </w:tc>
        <w:tc>
          <w:tcPr>
            <w:tcW w:w="1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64,992</w:t>
            </w:r>
          </w:p>
        </w:tc>
        <w:tc>
          <w:tcPr>
            <w:tcW w:w="12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143,089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11,125</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131,964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885</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131,079</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61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Other selling stockholder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ambassador and other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26"/>
        </w:trPr>
        <w:tc>
          <w:tcPr>
            <w:tcW w:w="4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non-employee investors</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69"/>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320"/>
              <w:spacing w:after="0" w:line="169" w:lineRule="exact"/>
              <w:rPr>
                <w:sz w:val="20"/>
                <w:szCs w:val="20"/>
                <w:color w:val="auto"/>
              </w:rPr>
            </w:pPr>
            <w:r>
              <w:rPr>
                <w:rFonts w:ascii="Arial" w:cs="Arial" w:eastAsia="Arial" w:hAnsi="Arial"/>
                <w:sz w:val="12"/>
                <w:szCs w:val="12"/>
                <w:color w:val="auto"/>
              </w:rPr>
              <w:t>of the Company</w:t>
            </w:r>
            <w:r>
              <w:rPr>
                <w:rFonts w:ascii="Arial" w:cs="Arial" w:eastAsia="Arial" w:hAnsi="Arial"/>
                <w:sz w:val="19"/>
                <w:szCs w:val="19"/>
                <w:color w:val="auto"/>
                <w:vertAlign w:val="superscript"/>
              </w:rPr>
              <w:t>(32)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57,750</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57,750</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3,392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54,358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53,807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5"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the outstanding shares of our common stock.</w:t>
      </w:r>
    </w:p>
    <w:p>
      <w:pPr>
        <w:spacing w:after="0" w:line="5" w:lineRule="exact"/>
        <w:rPr>
          <w:sz w:val="20"/>
          <w:szCs w:val="20"/>
          <w:color w:val="auto"/>
        </w:rPr>
      </w:pPr>
    </w:p>
    <w:p>
      <w:pPr>
        <w:ind w:left="340" w:right="2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(i) 7,146,849 shares of common stock held by Kleiner Perkins Caufield &amp; Byers XIV, LLC (“KPCB XIV”) and (ii) 604,614 shares of common stock held by KPCB XIV Founders Fund, LLC (“KPCB XIV FF”). All shares are held for convenience in the name of “KPCB Holdings, Inc., as nominee” for the accounts of such entities. The managing member of KPCB XIV and KPCB XIV FF is KPCB XIV Associates, LLC (“KPCB XIV Associates”). Brook Byers, L. John Doerr, William Gordon and Theodore Schlein, the managing members of KPCB XIV Associates, may be deemed to have shared voting and dispositive power over the shares held by KPCB XIV and KPCB XIV FF. The address for each of the entities identified above is 2750 Sand Hill Road, Menlo Park, CA 94025.</w:t>
      </w:r>
    </w:p>
    <w:p>
      <w:pPr>
        <w:spacing w:after="0" w:line="2"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(i) 3,873,584 shares of common stock held by Obvious Group LLC (“Obvious Group”) and (ii) 588,958 shares of common stock held by Obvious Ventures I, L.P. (“OV1”). The sole managing member of Obvious Group is Evan Williams, who may be deemed to have sole voting and dispositive power over the shares held by Obvious Group. The general partner of Obvious Ventures I, L.P. is Obvious Ventures GP I, L.L.C. (“OV1 GP”). Evan Williams and James Joaquin, the managing members of OV1 GP, may be deemed to have shared voting and dispositive power over the shares held by OV1 GP. The address for Obvious Group is PO Box 849 Lafayette, CA 94549-0849. The address for OV1 and OV1 GP is 220 Halleck Street, Suite 120, San Francisco, CA 94129.</w:t>
      </w:r>
    </w:p>
    <w:p>
      <w:pPr>
        <w:spacing w:after="0" w:line="2"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4,390,084 shares of common stock held of record by DNS-BYMT, LLC. DNS-BYMT, LLC (“DNS”) is a manager-managed Delaware limited liability company. The controlling member of DNS is DNS Venture Partners, LLC (“DNS VP”), a manager-managed Delaware limited liability, and the sole managers of both DNS and DNS VP are P. Daniel Donohue and Edward Rabin who may be deemed to have shared voting and dispositive power over the shares held by DNS. Subsequent to July 10, 2019, DNS distributed 225,782 shares to certain of its members, including 97,556 shares to Scott Hairston, a portion of which are being sold in the offering (see footnote 24 below). The address for each of the entities identified above is 350 S Main Ave., Suite 402, Sioux Falls, SD 57104.</w:t>
      </w:r>
    </w:p>
    <w:p>
      <w:pPr>
        <w:spacing w:after="0" w:line="2"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(i) 1,604,027 shares of common stock and (ii) 1,573,895 shares of common stock issuable upon the exercise of stock options exercisable within 60 days after July 10, 2019. Pursuant to a personal loan from a lender that is not the company, all but 180,874 of Mr. Brown’s shares are subject to a “negative pledge” under which the sale or transfer of his shares would result in such loan becoming due.</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(i) 15,000 shares of common stock held by Donald Thompson, (ii) 520,181 shares of common stock held by Cleveland Manor Investments II LLC (“Cleveland Manor”), (iii) 1,940,680 shares of common stock held by Beyond Meat CA LLC (“BM CA”), and (iv) 156,523 shares of common stock held by CA Food I Fund, LLC (“CA Food”). Cleveland Avenue Food and Beverage Fund Holdings LLC (“CA F &amp; B”) is the sole member of BM CA. Cleveland Avenue GP, LLC (“CA GP”) is the sole manager of CA F &amp; B. Cleveland Avenue, LLC (“CA LLC”) is the sole manager of CA GP. Mr. Thompson is the sole manager of CA LLC and may be deemed to have sole voting and dispositive power over the shares held by BM CA. Mr. Thompson is the sole manager of Cleveland Manor and may be deemed to have sole voting and dispositive power over the shares held by Cleveland Manor. CA LLC is the sole manager of CA Food. Mr. Thompson is the sole manager of CA LLC and may be deemed to have sole voting and dispositive power over the shares held by CA Food. The address for each of the entities identified above is 222 N. Canal, St. Chicago, IL 60606.</w:t>
      </w:r>
    </w:p>
    <w:p>
      <w:pPr>
        <w:spacing w:after="0" w:line="3"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(i) 253,659 shares of common stock held by the Julie D. Farkas Revocable Trust, (ii) 92,358 shares of common stock held by the Seth Goldman Revocable Trust, (iii) an aggregate of 600 shares of common stock held by Seth Goldman’s sons, who are residing in Mr. Goldman’s household, (iv) 450 shares of common stock purchased by Impact Assets Inc., through a donor advised fund over which Mr. Goldman has dispositive control, and (v)</w:t>
      </w:r>
    </w:p>
    <w:p>
      <w:pPr>
        <w:spacing w:after="0" w:line="1" w:lineRule="exact"/>
        <w:rPr>
          <w:rFonts w:ascii="Arial" w:cs="Arial" w:eastAsia="Arial" w:hAnsi="Arial"/>
          <w:sz w:val="16"/>
          <w:szCs w:val="16"/>
          <w:color w:val="auto"/>
        </w:rPr>
      </w:pPr>
    </w:p>
    <w:p>
      <w:pPr>
        <w:ind w:left="340" w:right="120"/>
        <w:spacing w:after="0" w:line="253" w:lineRule="auto"/>
        <w:rPr>
          <w:rFonts w:ascii="Arial" w:cs="Arial" w:eastAsia="Arial" w:hAnsi="Arial"/>
          <w:sz w:val="16"/>
          <w:szCs w:val="16"/>
          <w:color w:val="auto"/>
        </w:rPr>
      </w:pPr>
      <w:r>
        <w:rPr>
          <w:rFonts w:ascii="Arial" w:cs="Arial" w:eastAsia="Arial" w:hAnsi="Arial"/>
          <w:sz w:val="16"/>
          <w:szCs w:val="16"/>
          <w:color w:val="auto"/>
        </w:rPr>
        <w:t>(a) 672,394 shares of common stock and (b) 13,213 shares of common stock issuable upon the exercise of stock options exercisable within 60 days after July 10, 2019 held in each case by Seth Goldman. Mr. Goldman’s spouse is the trustee of the Julie D. Farkas Revocable Trust and Mr. Goldman is the trustee of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614" w:right="239" w:bottom="1440" w:gutter="0" w:footer="0" w:header="0"/>
        </w:sectPr>
      </w:pPr>
    </w:p>
    <w:bookmarkStart w:id="137" w:name="page138"/>
    <w:bookmarkEnd w:id="137"/>
    <w:p>
      <w:pPr>
        <w:ind w:left="332"/>
        <w:spacing w:after="0"/>
        <w:rPr>
          <w:sz w:val="20"/>
          <w:szCs w:val="20"/>
          <w:color w:val="auto"/>
        </w:rPr>
      </w:pPr>
      <w:r>
        <w:rPr>
          <w:rFonts w:ascii="Arial" w:cs="Arial" w:eastAsia="Arial" w:hAnsi="Arial"/>
          <w:sz w:val="16"/>
          <w:szCs w:val="16"/>
          <w:color w:val="auto"/>
        </w:rPr>
        <w:t>Seth Goldman Revocable Trust. Therefore, Mr. Goldman may be deemed to have voting and dispositive power over the shares held by both trusts.</w:t>
      </w:r>
    </w:p>
    <w:p>
      <w:pPr>
        <w:spacing w:after="0" w:line="46" w:lineRule="exact"/>
        <w:rPr>
          <w:sz w:val="20"/>
          <w:szCs w:val="20"/>
          <w:color w:val="auto"/>
        </w:rPr>
      </w:pPr>
    </w:p>
    <w:p>
      <w:pPr>
        <w:ind w:left="332" w:right="2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291,954 shares of common stock held by Union Grove Partners Direct Venture Fund, LP, (ii) 20,210 shares of common stock held by Union Grove Partners Venture Access Fund II, LP, and (iii) 485,060 shares of common stock held by Union Grove Partners Venture Access Fund II-B, LP (collectively, the “Union Grove Funds”). Union Grove Venture Partners 2014, LLC is the general partner of Union Grove Partners Direct Venture Fund, LP. Union Grove Venture Partners 2015, LLC is the general partner of Union Grove Partners Venture Access Fund II, LP. Union Grove Venture Partners 2015-B, LLC is the general partner of Union Grove Partners Venture Access Fund II-B, LP. Mr. Bohlen serves on the investment committee of each of Union Grove Venture Partners 2014, LLC, Union Grove Venture Partners 2015, LLC and Union Grove Venture Partners 2015-B, LLC, and may be deemed to share voting and dispositive power over the shares held by the Union Grove Funds with the other members of the investment committee. The address for each of the entities identified above is 7203 Union Grove Church Rd., Chapel Hill, NC 27516.</w:t>
      </w:r>
    </w:p>
    <w:p>
      <w:pPr>
        <w:spacing w:after="0" w:line="3" w:lineRule="exact"/>
        <w:rPr>
          <w:rFonts w:ascii="Arial" w:cs="Arial" w:eastAsia="Arial" w:hAnsi="Arial"/>
          <w:sz w:val="16"/>
          <w:szCs w:val="16"/>
          <w:color w:val="auto"/>
        </w:rPr>
      </w:pPr>
    </w:p>
    <w:p>
      <w:pPr>
        <w:ind w:left="332" w:right="2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501,758 shares of common stock, which includes 36,908 shares of common stock issuable upon the exercise of stock options in connection with the offering and (ii) 242,463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53,633 shares of common stock held by Mr. van Lengerich, (ii) 133,147 shares of common stock issuable upon the exercise of stock options exercisable within 60 days after July 10, 2019, and (iii) 399,443 shares of common stock held by Seeding the Future Foundation, a 501(c)(3) organization. Seeding the Future Foundation is the selling stockholder in this transaction. Mr. van Lengerich is the founder and president of Seeding the Future Foundation. In addition, Mr. van Lengerich and his wife serve as the only board members of Seeding the Future Foundation. Therefore, Mr. van Lengerich may be deemed to have voting and dispositive power over the shares held by Seeding the Future Foundation. The address for Seeding the Future Foundation is 1855 Troy Lane Plymouth, MN 55447.</w:t>
      </w:r>
    </w:p>
    <w:p>
      <w:pPr>
        <w:spacing w:after="0" w:line="2" w:lineRule="exact"/>
        <w:rPr>
          <w:rFonts w:ascii="Arial" w:cs="Arial" w:eastAsia="Arial" w:hAnsi="Arial"/>
          <w:sz w:val="16"/>
          <w:szCs w:val="16"/>
          <w:color w:val="auto"/>
        </w:rPr>
      </w:pPr>
    </w:p>
    <w:p>
      <w:pPr>
        <w:ind w:left="332" w:right="30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218,765 shares of common stock and (ii) 62,503 shares of common stock issuable upon the exercise of stock options exercisable within 60 days after July 10, 2019.</w:t>
      </w:r>
    </w:p>
    <w:p>
      <w:pPr>
        <w:ind w:left="332" w:right="40" w:hanging="332"/>
        <w:spacing w:after="0" w:line="247"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222,170 shares of common stock held by GreatPoint Ventures Innovation Fund, LP, (ii) 4,496 shares of common stock held by GreatPoint Ventures Innovation Parallel Fund, L.P., and (iii) 29,442 shares of common stock held by Stephanie H. Lane and Raymond J. Lane as Community Property. GreatPoint Investment Partners, LLC is the general partner of GreatPoint Ventures Innovation Fund, L.P. and GreatPoint Ventures Innovation Parallel Fund, L.P. Mr. Lane serves on the investment committee of GreatPoint Investment Partners, LLC and may be deemed to share voting and dispositive power over the shares held by GreatPoint Ventures Innovation Fund, L.P. and GreatPoint Ventures Innovation Parallel Fund, L.P. with the other members of the investment committee. The address for each of the entities identified above is 744 Montgomery Street, 5th Floor San Francisco, CA 94111.</w:t>
      </w:r>
    </w:p>
    <w:p>
      <w:pPr>
        <w:spacing w:after="0" w:line="187"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9,069 shares of common stock, which includes 9,069 shares of common stock issuable upon the exercise of stock options in connection with the offering and (ii) 90,936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right="10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2,083 shares of common stock held by Dariush Ajami, (ii) 2,000 shares of common stock held by Mr. Ajami’s wife, and (ii) 83,494 shares of common stock issuable upon the exercise of stock options exercisable within 60 days after July 10, 2019.</w:t>
      </w:r>
    </w:p>
    <w:p>
      <w:pPr>
        <w:ind w:left="332" w:right="30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18,519 shares of common stock that are held by the Biz and Livy Stone Family Trust, for which Mr. Stone and his wife serve as co-trustees and for which Mr. Stone may be deemed to have voting and dispositive power over the shares held by the trust.</w:t>
      </w:r>
    </w:p>
    <w:p>
      <w:pPr>
        <w:ind w:left="332" w:right="58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5,000 shares of common stock and (ii) 6,976 shares of common stock issuable upon the exercise of stock options exercisable within 60 days after July 10, 2019.</w:t>
      </w:r>
    </w:p>
    <w:p>
      <w:pPr>
        <w:ind w:left="332" w:right="100" w:hanging="332"/>
        <w:spacing w:after="0" w:line="246"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500 shares of common stock and (ii) 6,976 shares of common stock issuable upon the exercise of stock options exercisable within 60 days after July 10, 2019.</w:t>
      </w:r>
    </w:p>
    <w:p>
      <w:pPr>
        <w:ind w:left="332" w:right="240" w:hanging="332"/>
        <w:spacing w:after="0" w:line="253" w:lineRule="auto"/>
        <w:tabs>
          <w:tab w:leader="none" w:pos="3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7,524,058 shares of common stock which includes 90,151 shares of common stock issuable upon the exercise of stock options in connection with the offering and (ii) 2,257,317 shares of common stock that may be acquired pursuant to the exercise of stock options within 60 days of July 10, 2019, and not including the options exercised in connection with the offering.</w:t>
      </w: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92"/>
          </w:cols>
          <w:pgMar w:left="248" w:top="411" w:right="259" w:bottom="1440" w:gutter="0" w:footer="0" w:header="0"/>
        </w:sectPr>
      </w:pPr>
    </w:p>
    <w:bookmarkStart w:id="138" w:name="page139"/>
    <w:bookmarkEnd w:id="138"/>
    <w:p>
      <w:pPr>
        <w:ind w:left="332"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797,608 shares of common stock held by Strategic Partners VIII Investments L.P. and (ii) 206,356 shares of common stock held by Strategic Partners VII Investments L.P. (Series D).</w:t>
      </w:r>
    </w:p>
    <w:p>
      <w:pPr>
        <w:ind w:left="332" w:right="4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1,224,491 shares of common stock held by Future Positive Health II SPV LLC and (ii) 550,082 shares of common stock held by Future Positive Health I SPV LLC.</w:t>
      </w:r>
    </w:p>
    <w:p>
      <w:pPr>
        <w:ind w:left="332" w:right="1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1,742,641 shares of common stock held by S2G Ventures Fund I, L.P. and (ii) 71,734 shares of common stock held by S2G Ventures Fund II, L.P.</w:t>
      </w:r>
    </w:p>
    <w:p>
      <w:pPr>
        <w:ind w:left="332" w:right="3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1,688,971 shares of common stock held by Gates Frontier, LLC. Subsequent to July 10, 2019, Gates Frontier, LLC transferred 252,000 shares of common stock to the Bill &amp; Melinda Gates Foundation Trust, of which 155,958 shares are being sold in this offering.</w:t>
      </w:r>
    </w:p>
    <w:p>
      <w:pPr>
        <w:ind w:left="332" w:right="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104,607 shares of common stock held by Proof I, LLC, (ii) 762,179 shares of common stock held by BM1 P, LLC and (iii) 451,044 shares of common stock held by BM2 P, LLC.</w:t>
      </w:r>
    </w:p>
    <w:p>
      <w:pPr>
        <w:ind w:left="332" w:right="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315,906 shares of common stock held by the Sidney W Swartz 1982 Trust B for Jeffrey Swartz, (ii) 75,413 shares of common stock held by the Sidney W Swartz 1982 Trust A for Jeffrey Swartz and (iii) 39,773 shares of common stock held by the Sidney W. Swartz 1982 Family Trust C for the Issue of Jeffrey Swartz.</w:t>
      </w:r>
    </w:p>
    <w:p>
      <w:pPr>
        <w:spacing w:after="0" w:line="1" w:lineRule="exact"/>
        <w:rPr>
          <w:rFonts w:ascii="Arial" w:cs="Arial" w:eastAsia="Arial" w:hAnsi="Arial"/>
          <w:sz w:val="16"/>
          <w:szCs w:val="16"/>
          <w:color w:val="auto"/>
        </w:rPr>
      </w:pPr>
    </w:p>
    <w:p>
      <w:pPr>
        <w:ind w:left="332" w:hanging="332"/>
        <w:spacing w:after="0"/>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97,556 shares of common stock distributed to Mr. Hairston from DNS-BYMT, LLC subsequent to July 10, 2019.</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157,862 shares of common stock held by MSA Enterprises AIV I, LP and (ii) 85,638 shares of common stock held by MSA Isolate, LP.</w:t>
      </w:r>
    </w:p>
    <w:p>
      <w:pPr>
        <w:spacing w:after="0" w:line="5" w:lineRule="exact"/>
        <w:rPr>
          <w:rFonts w:ascii="Arial" w:cs="Arial" w:eastAsia="Arial" w:hAnsi="Arial"/>
          <w:sz w:val="16"/>
          <w:szCs w:val="16"/>
          <w:color w:val="auto"/>
        </w:rPr>
      </w:pPr>
    </w:p>
    <w:p>
      <w:pPr>
        <w:ind w:left="332" w:right="1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51,419 shares of common stock held by the John F. Welch, Jr. 2004 Revocable Trust, (ii) 51,419 shares of common stock held by the Suzy Welch Revocable Trust and (iii) 300 shares of common stock held by the Welch Jr. 2004 Revocable Trust.</w:t>
      </w:r>
    </w:p>
    <w:p>
      <w:pPr>
        <w:ind w:left="332" w:hanging="332"/>
        <w:spacing w:after="0"/>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25,709 shares of common stock held by Eichner Investments LLC and (ii) Felicia Levin 1995 Family Trust UAD 12/15/1995.</w:t>
      </w:r>
    </w:p>
    <w:p>
      <w:pPr>
        <w:spacing w:after="0" w:line="5" w:lineRule="exact"/>
        <w:rPr>
          <w:rFonts w:ascii="Arial" w:cs="Arial" w:eastAsia="Arial" w:hAnsi="Arial"/>
          <w:sz w:val="16"/>
          <w:szCs w:val="16"/>
          <w:color w:val="auto"/>
        </w:rPr>
      </w:pPr>
    </w:p>
    <w:p>
      <w:pPr>
        <w:ind w:left="332" w:right="3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49,879 shares of common stock held by MMBL Enterprise WA, LLC and (ii) 23,180 shares of common stock and 222 shares of common stock issuable upon the exercise of stock options exercisable within 60 days after July 10, 2019 held by Beth Moskowitz.</w:t>
      </w:r>
    </w:p>
    <w:p>
      <w:pPr>
        <w:ind w:left="332" w:right="3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2,000 shares of common stock held by Maya Moore and (ii) 6,667 shares of common stock issuable upon the exercise of stock options exercisable within 60 days after July 10, 2019 held by Three 23, Inc.</w:t>
      </w:r>
    </w:p>
    <w:p>
      <w:pPr>
        <w:jc w:val="both"/>
        <w:ind w:left="332" w:right="1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selling stockholder investors not otherwise listed in this table who collectively beneficially own less than 1% of our common stock prior to the offering. Consists of (i) 541,604 shares of common stock, which includes 16,733 shares of common stock issuable upon the exercise of stock options in connection with the offering and (ii) 47,199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right="6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selling stockholder employees not otherwise listed in this table who collectively beneficially own less than 1% of our common stock prior to the offering. Consists of (i) 78,097 shares of common stock, which includes 5,803 shares of common stock issuable upon the exercise of stock options in connection with the offering and (ii) 64,992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right="100" w:hanging="332"/>
        <w:spacing w:after="0" w:line="260"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selling stockholder ambassador and other non-employee investors not otherwise listed in this table who collectively beneficially own less than 1% of our common stock prior to the offering. Consists of 57,750 shares of common stock.</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92"/>
          </w:cols>
          <w:pgMar w:left="248" w:top="384" w:right="25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our amended and restated bylaws. Copies of these documents have been filed with the SEC as exhibits to our registration statement, of which this prospectus forms a part.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500,500,000 shares of capital stock, par value $0.0001 per share, of which:</w:t>
      </w:r>
    </w:p>
    <w:p>
      <w:pPr>
        <w:spacing w:after="0" w:line="171"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500,000,000 shares are designated as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500,000 shares are designated as preferred stock.</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board of directors is authorized, without stockholder approval except as required by the listing standards of Nasdaq, to issue additional shares of our capital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15, 2019, we had 60,173,551 shares of common stock issued and outstanding held by 227 stockholders of record.</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68" w:right="279" w:bottom="1440" w:gutter="0" w:footer="0" w:header="0"/>
        </w:sectPr>
      </w:pPr>
    </w:p>
    <w:bookmarkStart w:id="140" w:name="page141"/>
    <w:bookmarkEnd w:id="140"/>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93"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shares of preferred stock outstanding as of June 29,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As of June 29, 2019, we had outstanding options to purchase up to an aggregate of 6,169,660 shares of common stock (which excludes 75,443 shares of common stock that will be sold in this offering by certain selling stockholders upon the exercise of vested options prior to the closing of this offering), with a weighted average exercise price of $11.01 pursuant to our 2018 Equity Incentive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of June 29, 2019, we had outstanding 140,560 restricted shares of our common stock which were subject to repurchase pursuant to restricted stock purchase agreements. Restricted shares vest upon the satisfaction of the service condition and provide the holders with certain stockholder rights, such as the right to vote the shares immediately upon grant and prior to their vesting.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of June 29, 2019, 70,360 shares of our common stock were issuable upon the vesting and settlement of outstanding RSUs. RSU grants in the six months ended June 29, 2019 vest 25% of the total award on the first anniversary of the grant date, and thereafter ratably vesting quarterly over the remaining three years of the award.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we had no warrants outstanding to purchase shares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The investor rights agreement was entered into in April 2011 and has been amended and restated from time to time in connection with our preferred stock financings. The last such amendment and restatement of this agreement occurred in October 2018. The registration of shares of our common stock by the exercise of registration rights described below would enable the holders to sell their shares without restriction under the Securities Act when the applicable registration statement was declared effective.</w:t>
      </w:r>
    </w:p>
    <w:p>
      <w:pPr>
        <w:spacing w:after="0" w:line="15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four years after the effective date of our IPO, or with respect to any particular stockholder, such time after the effective date of the registration statement that such stockholder can sell all of its shares under Rule 144 of the Securities Act during any three-month period without registration.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Pursuant to our investors’ rights agreement, the holders of up to 41,562,111 of our outstanding common stock are entitled to certain demand registration rights. At any time beginning 180 days after the closing of our IPO, the holders of at least 30% of these shares may, on not more than two occasions,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68" w:right="279" w:bottom="1440" w:gutter="0" w:footer="0" w:header="0"/>
        </w:sectPr>
      </w:pPr>
    </w:p>
    <w:bookmarkStart w:id="141" w:name="page142"/>
    <w:bookmarkEnd w:id="141"/>
    <w:p>
      <w:pPr>
        <w:ind w:right="320"/>
        <w:spacing w:after="0" w:line="256" w:lineRule="auto"/>
        <w:rPr>
          <w:sz w:val="20"/>
          <w:szCs w:val="20"/>
          <w:color w:val="auto"/>
        </w:rPr>
      </w:pPr>
      <w:r>
        <w:rPr>
          <w:rFonts w:ascii="Arial" w:cs="Arial" w:eastAsia="Arial" w:hAnsi="Arial"/>
          <w:sz w:val="18"/>
          <w:szCs w:val="18"/>
          <w:color w:val="auto"/>
        </w:rPr>
        <w:t>request that we register all or a portion of their shares. Such anticipated aggregate offering price must, net of underwriting discounts and commissions, stock transfer taxes and fees and disbursements of counsel to such holders (except such fees and disbursements borne and paid by us), exceed $5,000,000. We are only obligated to effect two registrations in response to these demand registration rights.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Pursuant to our investor rights agreement, in the event that we propose to register any of our securities under the Securities Act, the holders of shares of our common stock which were issued upon conversion of our convertible preferred stock into common stock in our IPO or issued upon exercise of a certain warrant will be entitled to, either for their own account or for the account of other security holders,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any time after we are qualified to file a registration statement on Form S-3, the holders of 15% of such registrable securities then outstanding may request in writing that we effect a registration on Form S-3 if the proposed aggregate offering price of the shares to be registered by the holders requesting registration is at least $1,000,000 net of underwriting discounts and commissions, stock transfer taxes and fees and disbursements of counsel to such holders (except such fees and disbursements borne and paid by us), subject to certain exceptions. We are only obligated to effect two such S-3 registrations in any 12-month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9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exceptions.</w:t>
      </w:r>
    </w:p>
    <w:p>
      <w:pPr>
        <w:spacing w:after="0" w:line="22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Certain provisions of Delaware law and certain provisions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has an equal number of directors, as nearly as possible, consisting of one-third of the total number of directors constituting our entire board of directors. The term of initial Class I directors will terminate on the date of the 2020 annual meeting, the term of the initial Class II directors shall terminate on the date of the 2021 annual meeting,</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382" w:right="279" w:bottom="1440" w:gutter="0" w:footer="0" w:header="0"/>
        </w:sectPr>
      </w:pPr>
    </w:p>
    <w:bookmarkStart w:id="142" w:name="page143"/>
    <w:bookmarkEnd w:id="142"/>
    <w:p>
      <w:pPr>
        <w:ind w:right="340"/>
        <w:spacing w:after="0" w:line="262" w:lineRule="auto"/>
        <w:rPr>
          <w:sz w:val="20"/>
          <w:szCs w:val="20"/>
          <w:color w:val="auto"/>
        </w:rPr>
      </w:pPr>
      <w:r>
        <w:rPr>
          <w:rFonts w:ascii="Arial" w:cs="Arial" w:eastAsia="Arial" w:hAnsi="Arial"/>
          <w:sz w:val="18"/>
          <w:szCs w:val="18"/>
          <w:color w:val="auto"/>
        </w:rPr>
        <w:t>and the term of the initial Class III directors shall terminate on the date of the 2022 annual meeting. At each annual meeting of stockholders beginning in 2020, successors to the class of directors whose term expires at that annual meeting will be elected for a three-year term.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two-thirds of the shares present in person or by proxy at the meeting and entitled to vote.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chairperson of our board of directors, by the lead independent director or by our Chief Executive Officer.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our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 that our bylaws may be amended, altered, or repealed by our board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82" w:right="239" w:bottom="1440" w:gutter="0" w:footer="0" w:header="0"/>
        </w:sectPr>
      </w:pPr>
    </w:p>
    <w:bookmarkStart w:id="143" w:name="page144"/>
    <w:bookmarkEnd w:id="143"/>
    <w:p>
      <w:pPr>
        <w:ind w:left="3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shall be the sole and exclusive forum for:</w:t>
      </w:r>
    </w:p>
    <w:p>
      <w:pPr>
        <w:spacing w:after="0" w:line="171"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action regarding our amended and restated certificate of incorporation or our amended and restated bylaws or any action asserting a claim against us that is governed by the internal affairs doctrine;</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w:t>
      </w:r>
    </w:p>
    <w:p>
      <w:pPr>
        <w:spacing w:after="0" w:line="14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Our amended and restated certificate of incorporation further provides that the federal district courts of the United States of America will be the exclusive forum for resolving any complaint asserting a cause of action arising under the Securities Act. A December 2018 decision by the Court of Chancery of the State of Delaware in </w:t>
      </w:r>
      <w:r>
        <w:rPr>
          <w:rFonts w:ascii="Arial" w:cs="Arial" w:eastAsia="Arial" w:hAnsi="Arial"/>
          <w:sz w:val="17"/>
          <w:szCs w:val="17"/>
          <w:i w:val="1"/>
          <w:iCs w:val="1"/>
          <w:color w:val="auto"/>
        </w:rPr>
        <w:t>Sciabacucchi v. Salzberg</w:t>
      </w:r>
      <w:r>
        <w:rPr>
          <w:rFonts w:ascii="Arial" w:cs="Arial" w:eastAsia="Arial" w:hAnsi="Arial"/>
          <w:sz w:val="17"/>
          <w:szCs w:val="17"/>
          <w:color w:val="auto"/>
        </w:rPr>
        <w:t xml:space="preserve"> determined that this type of exclusive forum provision is unenforceable;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13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exclusive forum provisions described above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9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8" w:right="259" w:bottom="1440" w:gutter="0" w:footer="0" w:header="0"/>
        </w:sectPr>
      </w:pPr>
    </w:p>
    <w:bookmarkStart w:id="144" w:name="page145"/>
    <w:bookmarkEnd w:id="144"/>
    <w:p>
      <w:pPr>
        <w:ind w:right="140"/>
        <w:spacing w:after="0" w:line="256" w:lineRule="auto"/>
        <w:rPr>
          <w:sz w:val="20"/>
          <w:szCs w:val="20"/>
          <w:color w:val="auto"/>
        </w:rPr>
      </w:pPr>
      <w:r>
        <w:rPr>
          <w:rFonts w:ascii="Arial" w:cs="Arial" w:eastAsia="Arial" w:hAnsi="Arial"/>
          <w:sz w:val="18"/>
          <w:szCs w:val="18"/>
          <w:color w:val="auto"/>
        </w:rPr>
        <w:t>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148"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may purchase insurance on behalf of any person whom we are required or permitted to indemnify.</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382" w:right="259" w:bottom="1440" w:gutter="0" w:footer="0" w:header="0"/>
        </w:sectPr>
      </w:pPr>
    </w:p>
    <w:bookmarkStart w:id="145" w:name="page146"/>
    <w:bookmarkEnd w:id="145"/>
    <w:p>
      <w:pPr>
        <w:ind w:right="260"/>
        <w:spacing w:after="0" w:line="262" w:lineRule="auto"/>
        <w:rPr>
          <w:sz w:val="20"/>
          <w:szCs w:val="20"/>
          <w:color w:val="auto"/>
        </w:rPr>
      </w:pPr>
      <w:r>
        <w:rPr>
          <w:rFonts w:ascii="Arial" w:cs="Arial" w:eastAsia="Arial" w:hAnsi="Arial"/>
          <w:sz w:val="18"/>
          <w:szCs w:val="18"/>
          <w:color w:val="auto"/>
        </w:rPr>
        <w:t>any of our directors or officers as to which indemnification is being sought, nor are we aware of any pending or threatened litigation that may result in claims for indemnification by any director or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transfer agent and registrar for our common stock is Equiniti Trust Company. The transfer agent and registrar’s address is 1110 Centre Point Curve, Suite 101, Mendota Heights, Minnesota 55120-4101.</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382" w:right="25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might occur could adversely affect market prices prevailing from time to time.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of our common stock in the public market could cause our share price to fall.”</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consummation of this offering, based on 60,167,521 shares of our common stock outstanding as of June 29, 2019, we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60,492,964 shares of common stock outstanding, which includes 75,443 shares of our common stock to be sold in this offering by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stockholders upon the exercise of vested options prior to the closing of this offering. Of these shares, all of the shares sold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as well as shares sold in our IPO, will be freely transferable without restriction or further registration under the Securities Act,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any shares purchased by one of our “affiliates,” as that term is defined in Rule 144 under the Securities Act may be sold only in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limitations described below.</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shares of common stock held by our stockholders prior to our IPO, of which 48,807,972 were outstanding as of June 29, 2019, are “restricted securities” as defined in Rule 144. Restricted shares may be sold in the public market only if registered under the Securities Act or if they qualify for an exemption from registration, including, among others, the exemptions provided by Rules 144 and 701 promulgated by the SEC under the Securities Act. As a result of the contractual 180-day and 90-day lock-up periods described below under “Lock-Up Agreements” and in “Underwriting” and the provisions of Rules 144 and 701, these shares will be available for sale in the public market as follows:</w:t>
      </w:r>
    </w:p>
    <w:p>
      <w:pPr>
        <w:spacing w:after="0" w:line="152" w:lineRule="exact"/>
        <w:rPr>
          <w:sz w:val="20"/>
          <w:szCs w:val="20"/>
          <w:color w:val="auto"/>
        </w:rPr>
      </w:pPr>
    </w:p>
    <w:p>
      <w:pPr>
        <w:ind w:left="660" w:right="360" w:hanging="328"/>
        <w:spacing w:after="0" w:line="25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beginning October 29, 2019, which is the 181st day after the date of the prospectus for our IPO, up to 48,807,972 shares held by existing stockholders prior to our IPO (including directors and officers, and the selling stockholders) that are not sold in this offering may be eligible for sale in the public market, of which 15,164,518 shares are held by affiliates and subject to the volume and other restrictions of Rule 144, as described below; and</w:t>
      </w:r>
    </w:p>
    <w:p>
      <w:pPr>
        <w:spacing w:after="0" w:line="150"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remainder of the shares of common stock not described above in this paragraph will be eligible for sale in the public market from time to time thereafter, subject in some cases to the volume and other restrictions of Rule 144, as described below.</w:t>
      </w:r>
    </w:p>
    <w:p>
      <w:pPr>
        <w:spacing w:after="0" w:line="14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addition, 131,542 of the shares purchased in our directed share program in connection with our IPO are subject to the180-day lock-up period for our IPO and will be eligible for sale in the public market beginning October 29, 2019, subject in some cases to the volume and other restrictions of Rule 144 and to certain other limits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all of our directors and executive officers, and holders of substantially all of our capital stock outstanding immediately prior to our IPO agreed that, subject to certain exceptions, until October 28, 2019, which is the 180th day after the date of the prospectus for our IPO, we and they will not, without the prior written consent of Goldman Sachs &amp; Co. LLC and J.P. Morgan Securities LLC, dispose of or hedge any shares or any securities convertible into or exchangeable for shares of our capital stock. Goldman Sachs &amp; Co. LLC and J.P. Morgan Securities LLC may, in their sole discretion, release any of the securities subject to these lock-up agreements at any time. See “Underwriting—Lock-Up.”</w:t>
      </w:r>
    </w:p>
    <w:p>
      <w:pPr>
        <w:spacing w:after="0" w:line="1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underwriters intend to waive, with respect to the shares being sold in this offering, the restrictions under these lock-up agreements applicable to us and the selling stockholders for purposes of this offering. The remaining shares held by the selling stockholders and not sold in this offering will continue to be locked up under the IPO lock-up agreement.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68"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general, under Rule 144, as currently in effect, an affiliate who beneficially owns shares that were purchased from us, or any affiliate, at least six months previously, is entitled to sell, upon the expiration of the lock-up agreements described in “Underwriting,” within any three-month period, a number of shares that does not exceed the greater of:</w:t>
      </w:r>
    </w:p>
    <w:p>
      <w:pPr>
        <w:spacing w:after="0" w:line="148" w:lineRule="exact"/>
        <w:rPr>
          <w:sz w:val="20"/>
          <w:szCs w:val="20"/>
          <w:color w:val="auto"/>
        </w:rPr>
      </w:pPr>
    </w:p>
    <w:p>
      <w:pPr>
        <w:ind w:left="660" w:right="340" w:hanging="328"/>
        <w:spacing w:after="0" w:line="25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 of our then-outstanding shares of common stock, which will equal approximately 604,930 shares immediately after this offering, based on the number of shares of our common stock outstanding as of June 29, 2019 (including 75,443 shares to be sold in this offering upon exercise of vested options); or</w:t>
      </w:r>
    </w:p>
    <w:p>
      <w:pPr>
        <w:spacing w:after="0" w:line="147"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of the sale with the SEC.</w:t>
      </w:r>
    </w:p>
    <w:p>
      <w:pPr>
        <w:spacing w:after="0" w:line="14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notice requirements and the availability of current public information about us. The sale of these shares, or the perception that sales will be made, may adversely affect the price of our common stock after this offering because a great supply of shares would be, or world be perceived to be, available for sale in the public market.</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 person that is not an affiliate of ours at the time of, or at any time during the three months preceding, a sale and who has beneficially owned restricted securities within the meaning of Rule 144 for at least six months may sell shares subject only to the availability of current public information about us, and any such person who has beneficially owned restricted shares of our common stock for at least one year may sell shares without restriction.</w:t>
      </w:r>
    </w:p>
    <w:p>
      <w:pPr>
        <w:spacing w:after="0" w:line="1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purchased shares from us in connection with a compensatory stock or option plan or other written agreement before the effective date of our initial public offering is entitled to resell such shares 90 days after the effective date of our initial public offering in reliance on Rule 144, without having to comply with the holding period requirements or other restrictions contained in Rule 701.</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our initial public offering. Securities issued in reliance on Rule 701 are restricted securities and, subject to the contractual lock-up restrictions described above, beginning July 30, 2019, may be sold by persons other than “affiliates,” as defined in Rule 144, subject only to the manner of sale provisions of Rule 144 and by “affiliates” under Rule 144 without compliance with its one-year minimum holding period requirement.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filed a registration statement on Form S-8 under the Securities Act to register all of the shares of common stock subject to outstanding stock options under our 2011 Plan or reserved for future issuance under our 2018 Plan and 2018 ESPP. This registration statement covers approximately 9,776,590 shares as of June 29, 2019. Shares registered under the registration statement will generally be available for sale in the open market after October 28, 2019. See “Certain Relationships and Related-Party Transactions—Amended and Restated Investors’ Rights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8"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Beginning on October 29, 2019, subject to certain exceptions and automatic extensions in certain circumstances, certain holders of shares of our common stock will be entitled to the rights described under “Description of Capital Stock—Registration Rights.” Registration of these shares under the Securities Act would result in these shares becoming freely tradeable without restriction under the Securities Act immediately upon effectiveness of the registration.</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468" w:right="31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HOLDERS OF COMMON STOCK</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This section discusses certain material U.S. federal income tax consequences of the ownership and sale, exchange or other taxable disposition of our common stock sold pursuant to this offering to a “non-U.S. holder” (as defined below). This discussion does not provide a complete analysis of all potential tax considerations. The information provided below is based upon provisions of the Internal Revenue Code of 1986, as amended, or Code, Treasury regulations promulgated thereunder, administrative rulings and judicial decisions, in each case, as currently in effect. These authorities may change at any time, possibly on a retroactive basis, or the Internal Revenue Service, or IRS, might interpret the existing authorities differently. In either case, the U.S. federal income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discussion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150"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income tax purposes (or investors in such entities);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or governmental organizations or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 employee stock option or otherwise as compensation for services;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(except to the extent specifically set forth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42"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360" w:right="279" w:bottom="1440" w:gutter="0" w:footer="0" w:header="0"/>
        </w:sectPr>
      </w:pPr>
    </w:p>
    <w:bookmarkStart w:id="150" w:name="page151"/>
    <w:bookmarkEnd w:id="150"/>
    <w:p>
      <w:pPr>
        <w:jc w:val="both"/>
        <w:ind w:right="40" w:firstLine="324"/>
        <w:spacing w:after="0" w:line="254" w:lineRule="auto"/>
        <w:rPr>
          <w:sz w:val="20"/>
          <w:szCs w:val="20"/>
          <w:color w:val="auto"/>
        </w:rPr>
      </w:pPr>
      <w:r>
        <w:rPr>
          <w:rFonts w:ascii="Arial" w:cs="Arial" w:eastAsia="Arial" w:hAnsi="Arial"/>
          <w:sz w:val="18"/>
          <w:szCs w:val="18"/>
          <w:color w:val="auto"/>
        </w:rPr>
        <w:t>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discussion does not address U.S. federal income tax considerations applicable to partnerships that hold our common stock, and partners in such partnerships should consult their tax advisors.</w:t>
      </w:r>
    </w:p>
    <w:p>
      <w:pPr>
        <w:spacing w:after="0" w:line="128"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gift and estate tax laws to their particular situations and the consequences of non-U.S., state or local laws, and tax treaties.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section, a “non-U.S. holder” is any holder of our common stock, other than an entity taxable as a partnership for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that is not:</w:t>
      </w:r>
    </w:p>
    <w:p>
      <w:pPr>
        <w:spacing w:after="0" w:line="17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 or otherwise treated as such for U.S. federal income tax purposes;</w:t>
      </w:r>
    </w:p>
    <w:p>
      <w:pPr>
        <w:spacing w:after="0" w:line="142"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one or more ”United States persons” (within the meaning of Section 7701(a)(30) of the Code) have authority to control all substantial decisions of the trust or (2) has a valid election in effect under applicable Treasury regulations to be treated as a United States person; 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source.</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and sale, exchange or other taxable disposition of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do not anticipate paying any distributions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exchange or other taxable disposition of our common stock. See “—Sale of Common Stock.”</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United States will generally be subject to U.S. withholding tax at a 30% rate. The withholding tax might not apply, however, or might apply at a reduced rate, under the terms of an applicable income tax treaty between the United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382" w:right="259" w:bottom="1440" w:gutter="0" w:footer="0" w:header="0"/>
        </w:sectPr>
      </w:pPr>
    </w:p>
    <w:bookmarkStart w:id="151" w:name="page152"/>
    <w:bookmarkEnd w:id="151"/>
    <w:p>
      <w:pPr>
        <w:ind w:right="60"/>
        <w:spacing w:after="0" w:line="252" w:lineRule="auto"/>
        <w:rPr>
          <w:sz w:val="20"/>
          <w:szCs w:val="20"/>
          <w:color w:val="auto"/>
        </w:rPr>
      </w:pPr>
      <w:r>
        <w:rPr>
          <w:rFonts w:ascii="Arial" w:cs="Arial" w:eastAsia="Arial" w:hAnsi="Arial"/>
          <w:sz w:val="18"/>
          <w:szCs w:val="18"/>
          <w:color w:val="auto"/>
        </w:rPr>
        <w:t>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or W-8BEN-E (or any successor form to the IRS Form W-8BEN or W-8BEN-E)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Distributions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(or in the case of an individual, a fixed base) by the non-U.S. holder in the United States, are not subject to such withholding tax. To obtain this exemption, a non-U.S. holder generally must provide us or our paying agent with an IRS Form W-8ECI properly certifying such exemption. Such effectively connected distributions or our paying agent,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that are attributable to such dividends, as adjusted for certain items, although an applicable income tax treaty between the United States and the non-U.S. holder’s country of residence might provide for a lower rate.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Subject to the discussion below regarding FATCA and backup withholding, non-U.S. holders will generally not be subject to U.S. federal income tax on any gains realized on the sale, exchange or other taxable disposition of our common stock unless:</w:t>
      </w:r>
    </w:p>
    <w:p>
      <w:pPr>
        <w:spacing w:after="0" w:line="142" w:lineRule="exact"/>
        <w:rPr>
          <w:sz w:val="20"/>
          <w:szCs w:val="20"/>
          <w:color w:val="auto"/>
        </w:rPr>
      </w:pPr>
    </w:p>
    <w:p>
      <w:pPr>
        <w:ind w:left="660" w:right="120" w:hanging="328"/>
        <w:spacing w:after="0" w:line="25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the case of an individual, a fixed base) maintained by the non-U.S. holder in the United States (in which case the special rules described below apply);</w:t>
      </w:r>
    </w:p>
    <w:p>
      <w:pPr>
        <w:spacing w:after="0" w:line="150"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taxable disposition of our common stock, and certain other requirements are met (in which case the gain would be subject to a flat 30% tax, or such reduced rate as may be specified by an applicable income tax treaty, which may be offset by U.S.-source capital losses, even though the individual is not considered a resident of the United States, provided that the non-U.S. holder has timely filed U.S. federal income tax returns with respect to such losses); or</w:t>
      </w:r>
    </w:p>
    <w:p>
      <w:pPr>
        <w:spacing w:after="0" w:line="15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42"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FIRPTA rules may apply to a sale, exchange or other taxable disposition of our common stock if we are at the time of the sale, exchange, or other taxable disposition, or were within the shorter of the five-year period preceding the disposition and the non-U.S. holder’s holding period, a “United States real property holding corporation,” or USRPHC. In general, we would be a USRPHC if the value of our interests in U.S. real property comprised at least half of the value of our business assets and our U.S.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382" w:right="259" w:bottom="1440" w:gutter="0" w:footer="0" w:header="0"/>
        </w:sectPr>
      </w:pPr>
    </w:p>
    <w:bookmarkStart w:id="152" w:name="page153"/>
    <w:bookmarkEnd w:id="152"/>
    <w:p>
      <w:pPr>
        <w:spacing w:after="0" w:line="252" w:lineRule="auto"/>
        <w:rPr>
          <w:sz w:val="20"/>
          <w:szCs w:val="20"/>
          <w:color w:val="auto"/>
        </w:rPr>
      </w:pPr>
      <w:r>
        <w:rPr>
          <w:rFonts w:ascii="Arial" w:cs="Arial" w:eastAsia="Arial" w:hAnsi="Arial"/>
          <w:sz w:val="18"/>
          <w:szCs w:val="18"/>
          <w:color w:val="auto"/>
        </w:rPr>
        <w:t>non-U.S. real property interests.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 at any time within the shorter of the five-year period preceding the disposition and the non-U.S. holder’s holding period. However, there can be no assurance that our common stock will be treated as regularly traded. Currently, we believe we are not, and do not anticipate becoming, a USRPHC. However, because the determination of whether we are a USRPHC depends on the fair market value of our U.S. real property relative to the fair market value of our other business and real estate assets, there can be no assurance that we will not become a USRPHC in the future.</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any gain from the sale, exchange or other taxable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the case of an individual, a fixed base)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Payments of dividends on, or proceeds on the disposition of, our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 Notwithstanding the foregoing, backup withholding and information reporting may apply if either we or our paying agent has actual knowledge, or reason to know, that you are a U.S. person.</w:t>
      </w:r>
    </w:p>
    <w:p>
      <w:pPr>
        <w:spacing w:after="0" w:line="15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from a payment to a non-U.S. holder of our common stock under the backup withholding rules can be credited against any U.S. federal income tax liability of the non-U.S. holder and may entitle the non-U.S. holder to a refund from the IRS, provided that the required information is furnished to the IRS in a timely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or FATCA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FATCA imposes U.S. federal withholding tax of 30% on certain types of U.S. source “withholdable payments” (including dividends and the gross proceeds from the sale, exchange or other taxable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to certain “pass-thru” payments received with respect to instruments held through foreign financial institutions no earlier than two years after the date on which applicable final Treasury regulations are issued. An intergovernmental agreement between the United States and an applicable foreign country may modify the requirements described in this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382" w:right="259" w:bottom="1440" w:gutter="0" w:footer="0" w:header="0"/>
        </w:sectPr>
      </w:pPr>
    </w:p>
    <w:bookmarkStart w:id="153" w:name="page154"/>
    <w:bookmarkEnd w:id="153"/>
    <w:p>
      <w:pPr>
        <w:ind w:right="400"/>
        <w:spacing w:after="0" w:line="262" w:lineRule="auto"/>
        <w:rPr>
          <w:sz w:val="20"/>
          <w:szCs w:val="20"/>
          <w:color w:val="auto"/>
        </w:rPr>
      </w:pPr>
      <w:r>
        <w:rPr>
          <w:rFonts w:ascii="Arial" w:cs="Arial" w:eastAsia="Arial" w:hAnsi="Arial"/>
          <w:sz w:val="18"/>
          <w:szCs w:val="18"/>
          <w:color w:val="auto"/>
        </w:rPr>
        <w:t>paragraph. Non-U.S. holders should consult their own tax advisors regarding the possible implications of FATCA on their investment in our common stock.</w:t>
      </w:r>
    </w:p>
    <w:p>
      <w:pPr>
        <w:spacing w:after="0" w:line="12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the sale, exchange or other taxable disposition of our common stock, including the consequences of any proposed change in applicable laws.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382" w:right="2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and the selling stockholders are offering the shares of common stock described in this prospectus through a number of underwriters. Goldman Sachs &amp; Co. LLC, J.P. Morgan Securities LLC and Credit Suisse Securities (USA) LLC are acting as representatives of the underwriters. Subject to the terms and conditions of the underwriting agreement, among us, the selling stockholders and the underwriters,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ind w:right="412"/>
              <w:spacing w:after="0"/>
              <w:rPr>
                <w:sz w:val="20"/>
                <w:szCs w:val="20"/>
                <w:color w:val="auto"/>
              </w:rPr>
            </w:pPr>
            <w:r>
              <w:rPr>
                <w:rFonts w:ascii="Arial" w:cs="Arial" w:eastAsia="Arial" w:hAnsi="Arial"/>
                <w:sz w:val="16"/>
                <w:szCs w:val="16"/>
                <w:b w:val="1"/>
                <w:bCs w:val="1"/>
                <w:color w:val="auto"/>
              </w:rPr>
              <w:t>Number of</w:t>
            </w:r>
          </w:p>
        </w:tc>
      </w:tr>
      <w:tr>
        <w:trPr>
          <w:trHeight w:val="228"/>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Shares</w:t>
            </w:r>
          </w:p>
        </w:tc>
      </w:tr>
      <w:tr>
        <w:trPr>
          <w:trHeight w:val="257"/>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Goldman Sachs &amp; Co. LLC</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958,750</w:t>
            </w:r>
          </w:p>
        </w:tc>
      </w:tr>
      <w:tr>
        <w:trPr>
          <w:trHeight w:val="26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J.P. Morgan Securities LLC</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958,750</w:t>
            </w:r>
          </w:p>
        </w:tc>
      </w:tr>
      <w:tr>
        <w:trPr>
          <w:trHeight w:val="277"/>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Credit Suisse Securities (USA) LLC</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520,000</w:t>
            </w:r>
          </w:p>
        </w:tc>
      </w:tr>
      <w:tr>
        <w:trPr>
          <w:trHeight w:val="26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BofA Securities, Inc.</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276,250</w:t>
            </w:r>
          </w:p>
        </w:tc>
      </w:tr>
      <w:tr>
        <w:trPr>
          <w:trHeight w:val="277"/>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Jefferies LLC</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276,250</w:t>
            </w:r>
          </w:p>
        </w:tc>
      </w:tr>
      <w:tr>
        <w:trPr>
          <w:trHeight w:val="26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William Blair &amp; Company, L.L.C.</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162,500</w:t>
            </w:r>
          </w:p>
        </w:tc>
      </w:tr>
      <w:tr>
        <w:trPr>
          <w:trHeight w:val="277"/>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Raymond James &amp; Associates, Inc.</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97,500</w:t>
            </w:r>
          </w:p>
        </w:tc>
      </w:tr>
      <w:tr>
        <w:trPr>
          <w:trHeight w:val="257"/>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3,250,000</w:t>
            </w:r>
          </w:p>
        </w:tc>
      </w:tr>
      <w:tr>
        <w:trPr>
          <w:trHeight w:val="20"/>
        </w:trPr>
        <w:tc>
          <w:tcPr>
            <w:tcW w:w="9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underwriters are committed to purchase all the common shares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4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underwriters propose to offer the common shares directly to the public at the public offering price set forth on the cover page of this prospectus and to certain dealers at that price less a concession not in excess of $3.60 per share. After the initial offering of the shares to the public, if all of the common shares are not sold at the public offering price, the underwriters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underwriters have an option to buy up to 487,500 additional shares of common stock from the selling stockholders.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and Expenses</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or the selling stockholders per share of common stock. The underwriting fee is $6.00 per share. The following table shows the per share and total underwriting discounts and commissio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8" w:right="239" w:bottom="1440" w:gutter="0" w:footer="0" w:header="0"/>
        </w:sectPr>
      </w:pPr>
    </w:p>
    <w:bookmarkStart w:id="155" w:name="page156"/>
    <w:bookmarkEnd w:id="155"/>
    <w:p>
      <w:pPr>
        <w:ind w:right="620"/>
        <w:spacing w:after="0" w:line="262" w:lineRule="auto"/>
        <w:rPr>
          <w:sz w:val="20"/>
          <w:szCs w:val="20"/>
          <w:color w:val="auto"/>
        </w:rPr>
      </w:pPr>
      <w:r>
        <w:rPr>
          <w:rFonts w:ascii="Arial" w:cs="Arial" w:eastAsia="Arial" w:hAnsi="Arial"/>
          <w:sz w:val="18"/>
          <w:szCs w:val="18"/>
          <w:color w:val="auto"/>
        </w:rPr>
        <w:t>ns we and the selling stockholders will pay to the underwriters assuming both no exercise and full exercise of the underwriters’ option to purchase additional shares.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Without</w:t>
            </w:r>
          </w:p>
        </w:tc>
        <w:tc>
          <w:tcPr>
            <w:tcW w:w="160" w:type="dxa"/>
            <w:vAlign w:val="bottom"/>
          </w:tcPr>
          <w:p>
            <w:pPr>
              <w:spacing w:after="0"/>
              <w:rPr>
                <w:sz w:val="16"/>
                <w:szCs w:val="16"/>
                <w:color w:val="auto"/>
              </w:rPr>
            </w:pPr>
          </w:p>
        </w:tc>
        <w:tc>
          <w:tcPr>
            <w:tcW w:w="1680" w:type="dxa"/>
            <w:vAlign w:val="bottom"/>
          </w:tcPr>
          <w:p>
            <w:pPr>
              <w:jc w:val="center"/>
              <w:ind w:right="74"/>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option to purchase</w:t>
            </w:r>
          </w:p>
        </w:tc>
        <w:tc>
          <w:tcPr>
            <w:tcW w:w="160" w:type="dxa"/>
            <w:vAlign w:val="bottom"/>
          </w:tcPr>
          <w:p>
            <w:pPr>
              <w:spacing w:after="0"/>
              <w:rPr>
                <w:sz w:val="16"/>
                <w:szCs w:val="16"/>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rPr>
              <w:t>option to purchase</w:t>
            </w:r>
          </w:p>
        </w:tc>
      </w:tr>
      <w:tr>
        <w:trPr>
          <w:trHeight w:val="189"/>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additional shares</w:t>
            </w:r>
          </w:p>
        </w:tc>
        <w:tc>
          <w:tcPr>
            <w:tcW w:w="160" w:type="dxa"/>
            <w:vAlign w:val="bottom"/>
          </w:tcPr>
          <w:p>
            <w:pPr>
              <w:spacing w:after="0"/>
              <w:rPr>
                <w:sz w:val="16"/>
                <w:szCs w:val="16"/>
                <w:color w:val="auto"/>
              </w:rPr>
            </w:pPr>
          </w:p>
        </w:tc>
        <w:tc>
          <w:tcPr>
            <w:tcW w:w="1680" w:type="dxa"/>
            <w:vAlign w:val="bottom"/>
          </w:tcPr>
          <w:p>
            <w:pPr>
              <w:jc w:val="center"/>
              <w:ind w:right="74"/>
              <w:spacing w:after="0"/>
              <w:rPr>
                <w:sz w:val="20"/>
                <w:szCs w:val="20"/>
                <w:color w:val="auto"/>
              </w:rPr>
            </w:pPr>
            <w:r>
              <w:rPr>
                <w:rFonts w:ascii="Arial" w:cs="Arial" w:eastAsia="Arial" w:hAnsi="Arial"/>
                <w:sz w:val="16"/>
                <w:szCs w:val="16"/>
                <w:b w:val="1"/>
                <w:bCs w:val="1"/>
                <w:color w:val="auto"/>
              </w:rPr>
              <w:t>additional shares</w:t>
            </w:r>
          </w:p>
        </w:tc>
      </w:tr>
      <w:tr>
        <w:trPr>
          <w:trHeight w:val="228"/>
        </w:trPr>
        <w:tc>
          <w:tcPr>
            <w:tcW w:w="7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exercise</w:t>
            </w:r>
          </w:p>
        </w:tc>
        <w:tc>
          <w:tcPr>
            <w:tcW w:w="160" w:type="dxa"/>
            <w:vAlign w:val="bottom"/>
          </w:tcPr>
          <w:p>
            <w:pPr>
              <w:spacing w:after="0"/>
              <w:rPr>
                <w:sz w:val="19"/>
                <w:szCs w:val="19"/>
                <w:color w:val="auto"/>
              </w:rPr>
            </w:pPr>
          </w:p>
        </w:tc>
        <w:tc>
          <w:tcPr>
            <w:tcW w:w="168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exercise</w:t>
            </w:r>
          </w:p>
        </w:tc>
      </w:tr>
      <w:tr>
        <w:trPr>
          <w:trHeight w:val="257"/>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sold by 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 share sold by the selling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r>
      <w:tr>
        <w:trPr>
          <w:trHeight w:val="257"/>
        </w:trPr>
        <w:tc>
          <w:tcPr>
            <w:tcW w:w="76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18,000,000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20,925,000</w:t>
            </w:r>
          </w:p>
        </w:tc>
      </w:tr>
    </w:tbl>
    <w:p>
      <w:pPr>
        <w:spacing w:after="0" w:line="175"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$1.7 million. We have agreed to reimburse the underwriters for expenses relating to any applicable state securities filings and the clearance of this offering with the Financial Industry Regulatory Authority in amount not to exceed $30,000. The underwriters have agreed to reimburse us for certain of our expenses incurred in connection with the offering.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9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period beginning from the date hereof and continuing to and including the date 90 days after the date of the final prospectus (the “Lock-Up Period”), we have agreed not to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common stock, including but not limited to any options or warrants to purchase shares of our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our stock or any such other securities, whether any such transaction described in clause (i) or (ii) above is to be settled by delivery of stock or such other securities, in cash or otherwise, other than (a) shares of our common stock to be sold hereunder, (b) any shares of stock issued by us upon the exercise of options granted under our stock-based compensation plans existing on the date of the underwriting agreement (“Company Stock Plans”), or upon the conversion or exchange of convertible or exchangeable securities outstanding as of the date of the underwriting agreement, (c) the grant or issuance by us of employee, consultant, or director stock options or restricted stock in the ordinary course of business under Company Stock Plans described in this prospectus, (d) the issuance of shares registered on Form S-8 relating to Company Stock Plans described in this prospectus, (e) the issuance of securities in connection with the acquisition by us or any subsidiary of the securities, businesses, property or other assets of another person or entity or pursuant to any employee benefit plan assumed by us in connection with any such acquisition, (f) the issuance of securities in connection with joint ventures, commercial relationships, or other strategic transactions; provided that, in the case of clauses (e) and (f), (x) the aggregate number of shares issued in all such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382" w:right="239" w:bottom="1440" w:gutter="0" w:footer="0" w:header="0"/>
        </w:sectPr>
      </w:pPr>
    </w:p>
    <w:bookmarkStart w:id="156" w:name="page157"/>
    <w:bookmarkEnd w:id="156"/>
    <w:p>
      <w:pPr>
        <w:ind w:right="60"/>
        <w:spacing w:after="0" w:line="254" w:lineRule="auto"/>
        <w:rPr>
          <w:sz w:val="20"/>
          <w:szCs w:val="20"/>
          <w:color w:val="auto"/>
        </w:rPr>
      </w:pPr>
      <w:r>
        <w:rPr>
          <w:rFonts w:ascii="Arial" w:cs="Arial" w:eastAsia="Arial" w:hAnsi="Arial"/>
          <w:sz w:val="18"/>
          <w:szCs w:val="18"/>
          <w:color w:val="auto"/>
        </w:rPr>
        <w:t>acquisitions and transactions does not exceed 5% of our outstanding common stock following the offering of shares offered hereby and (y) each person to whom such shares are issued executes a “lock-up” agreement, unless we obtain the prior written consent of Goldman Sachs &amp; Co. LLC and J.P. Morgan Securities LLC. In connection with the IPO, we made a similar agreement with respect to the period ending 180 days after May 1, 2019.</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our IPO, our directors, executive officers, and substantially all of our stockholders (the “Lock-Up Parties”) entered into lock up agreements with the underwriters in that offering pursuant to which each of these persons or entities, with limited exceptions, for a period ending 180 days after May 1, 2019, agreed that they will not, without the prior written consent of Goldman Sachs &amp; Co. LLC and J.P. Morgan Securities LLC, (i) offer, sell, contract to sell, pledge, grant any option to purchase, make any short sale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 owned directly by the Lock-Up Parties (including holding as a custodian) or with respect to which such Lock-Up Party has beneficial ownership within the rules and regulations of the SEC (collectively, the “Lock-Up Parties’ Shares”), (ii) enter into any swap or other agreement that transfers, in whole or in part, any of the economic consequences of ownership of the Lock-Up Parties’ Shares, or (iii) publicly disclose the intent to do any of the foregoing. In addition, the Lock-Up Parties have agreed that, without prior written consent of Goldman Sachs &amp; Co. LLC and J.P. Morgan Securities LLC on behalf of the underwriters, they will not make any demand for or exercise any right with respect to the registration of the Lock-Up Parties’ Shares. The foregoing restrictions are expressly agreed to preclude the Lock-Up Parties from engaging in any hedging or other transaction which is designed to or which reasonably could be expected to lead to or result in a sale or disposition of the Lock-Up Parties’ Shares even if such shares would be disposed of by someone other than such Lock- Up Party. Such prohibited hedging or other transactions would include without limitation any short sale or any purchase, sale or grant of any right (including without limitation any put or call option) with respect to any of the Lock-Up Parties’ Shares or with respect to any security that includes, relates to, or derives any significant part of its value from such shares.</w:t>
      </w:r>
    </w:p>
    <w:p>
      <w:pPr>
        <w:spacing w:after="0" w:line="15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this offering, Goldman Sachs &amp; Co. LLC and J.P. Morgan Securities LLC have agreed to waive the lock-up restrictions applicable to us for purposes of this offering. Also in connection with this offering, Goldman Sachs &amp; Co. LLC and J.P. Morgan Securities LLC have agreed to waive the lock-up restrictions with respect to the selling stockholders, which include certain of our officers and directors. This waiver relates only to the sale of shares in this offering and becomes effective at the time of pricing of this offering. The lock-up restrictions applicable to the Lock-Up Parties, including the selling stockholders, will otherwise continue until the expiration of the original 180-day period, ending October 28,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382" w:right="259" w:bottom="1440" w:gutter="0" w:footer="0" w:header="0"/>
        </w:sectPr>
      </w:pPr>
    </w:p>
    <w:bookmarkStart w:id="157" w:name="page158"/>
    <w:bookmarkEnd w:id="157"/>
    <w:p>
      <w:pPr>
        <w:spacing w:after="0" w:line="253" w:lineRule="auto"/>
        <w:rPr>
          <w:sz w:val="20"/>
          <w:szCs w:val="20"/>
          <w:color w:val="auto"/>
        </w:rPr>
      </w:pPr>
      <w:r>
        <w:rPr>
          <w:rFonts w:ascii="Arial" w:cs="Arial" w:eastAsia="Arial" w:hAnsi="Arial"/>
          <w:sz w:val="18"/>
          <w:szCs w:val="18"/>
          <w:color w:val="auto"/>
        </w:rPr>
        <w:t>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52"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The underwriters have advised us and the selling stockholders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0" w:lineRule="exact"/>
        <w:rPr>
          <w:sz w:val="20"/>
          <w:szCs w:val="20"/>
          <w:color w:val="auto"/>
        </w:rPr>
      </w:pPr>
    </w:p>
    <w:p>
      <w:pPr>
        <w:ind w:right="160" w:firstLine="324"/>
        <w:spacing w:after="0" w:line="216" w:lineRule="exact"/>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6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relation to each Member State of the European Economic Area (each, a “Member State”), no offer of shares may be made to the public in that Member State other than:</w:t>
      </w:r>
    </w:p>
    <w:p>
      <w:pPr>
        <w:spacing w:after="0" w:line="142" w:lineRule="exact"/>
        <w:rPr>
          <w:sz w:val="20"/>
          <w:szCs w:val="20"/>
          <w:color w:val="auto"/>
        </w:rPr>
      </w:pPr>
    </w:p>
    <w:p>
      <w:pPr>
        <w:ind w:left="5560" w:right="3840" w:hanging="5228"/>
        <w:spacing w:after="0" w:line="731"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 154</w:t>
      </w:r>
    </w:p>
    <w:p>
      <w:pPr>
        <w:sectPr>
          <w:pgSz w:w="11900" w:h="16838" w:orient="portrait"/>
          <w:cols w:equalWidth="0" w:num="1">
            <w:col w:w="11420"/>
          </w:cols>
          <w:pgMar w:left="240" w:top="382" w:right="239" w:bottom="1440" w:gutter="0" w:footer="0" w:header="0"/>
        </w:sectPr>
      </w:pPr>
    </w:p>
    <w:bookmarkStart w:id="158" w:name="page159"/>
    <w:bookmarkEnd w:id="158"/>
    <w:p>
      <w:pPr>
        <w:ind w:left="660" w:right="240" w:hanging="328"/>
        <w:spacing w:after="0" w:line="262"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142"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82" w:right="239" w:bottom="1440" w:gutter="0" w:footer="0" w:header="0"/>
        </w:sectPr>
      </w:pPr>
    </w:p>
    <w:bookmarkStart w:id="159" w:name="page160"/>
    <w:bookmarkEnd w:id="159"/>
    <w:p>
      <w:pPr>
        <w:ind w:firstLine="324"/>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Beyond Meat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5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document:</w:t>
      </w:r>
    </w:p>
    <w:p>
      <w:pPr>
        <w:spacing w:after="0" w:line="171" w:lineRule="exact"/>
        <w:rPr>
          <w:sz w:val="20"/>
          <w:szCs w:val="20"/>
          <w:color w:val="auto"/>
        </w:rPr>
      </w:pPr>
    </w:p>
    <w:p>
      <w:pPr>
        <w:ind w:left="660" w:right="680" w:hanging="328"/>
        <w:spacing w:after="0" w:line="262"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42"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47"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4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82" w:right="239" w:bottom="1440" w:gutter="0" w:footer="0" w:header="0"/>
        </w:sectPr>
      </w:pPr>
    </w:p>
    <w:bookmarkStart w:id="160" w:name="page161"/>
    <w:bookmarkEnd w:id="160"/>
    <w:p>
      <w:pPr>
        <w:ind w:firstLine="324"/>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382" w:right="259" w:bottom="1440" w:gutter="0" w:footer="0" w:header="0"/>
        </w:sectPr>
      </w:pPr>
    </w:p>
    <w:bookmarkStart w:id="161" w:name="page162"/>
    <w:bookmarkEnd w:id="161"/>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46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2"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50"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or the Public Issuers Code of the British Virgin Islands.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382"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(the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not being offered or sold directly or indirectly in the PRC to or for the benefit of, legal or natural persons of the PRC.</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Malaysia</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8"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9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2"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71" w:lineRule="exact"/>
        <w:rPr>
          <w:rFonts w:ascii="Arial" w:cs="Arial" w:eastAsia="Arial" w:hAnsi="Arial"/>
          <w:sz w:val="18"/>
          <w:szCs w:val="18"/>
          <w:color w:val="auto"/>
        </w:rPr>
      </w:pPr>
    </w:p>
    <w:p>
      <w:pPr>
        <w:jc w:val="both"/>
        <w:ind w:left="980" w:right="260" w:hanging="324"/>
        <w:spacing w:after="0" w:line="256"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47" w:lineRule="exact"/>
        <w:rPr>
          <w:rFonts w:ascii="Arial" w:cs="Arial" w:eastAsia="Arial" w:hAnsi="Arial"/>
          <w:sz w:val="18"/>
          <w:szCs w:val="18"/>
          <w:color w:val="auto"/>
        </w:rPr>
      </w:pPr>
    </w:p>
    <w:p>
      <w:pPr>
        <w:ind w:left="980" w:hanging="324"/>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171"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w:t>
      </w:r>
    </w:p>
    <w:p>
      <w:pPr>
        <w:spacing w:after="0" w:line="14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No “offer to the public” (as such term is defined in the South African Companies Act, No. 71 of 2008 (as amended or re-enacted)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8"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and entities with relationships with us, for which they received or will receive customary fees and expenses.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382" w:right="27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validity of the shares of common stock offered hereby will be passed upon for us by Orrick, Herrington &amp; Sutcliffe LLP, 1000 Marsh Road, Menlo Park, California 94025. Latham &amp; Watkins LLP, 330 North Wabash Avenue, Suite 2800, Chicago, Illinois 60611, is acting as counsel for the underwriters in connection with this offering. Certain attorneys with Orrick, Herrington &amp; Sutcliffe LLP and certain funds affiliated with the firm own and/or have an indirect interest in shares of our common stock, which represent less than 1% of our common stock. In addition, certain attorneys of Latham &amp; Watkins LLP own and/or have an indirect interest in shares of our common stock, including one of the attorneys representing the underwriters and one of the selling stockholders in this offering.</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document filed as an exhibit to the registration statement, each statement being qualified in all respects by such reference. The SEC maintains an Internet website that contains reports, proxy statements and other information about issuers, like us, that file electronically with the SEC. The address of that site is www.sec.gov.</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with the Exchange Act, are required to file annual, quarterly and current reports, proxy and information statements and other information with the SEC. Such annual, quarterly and current reports, proxy and information statements and other information can be inspected and copied at the locations set forth above. Such information is also available on the investors section of our website, which is located at www.beyondmeat.com. </w:t>
      </w:r>
      <w:r>
        <w:rPr>
          <w:rFonts w:ascii="Arial" w:cs="Arial" w:eastAsia="Arial" w:hAnsi="Arial"/>
          <w:sz w:val="18"/>
          <w:szCs w:val="18"/>
          <w:b w:val="1"/>
          <w:bCs w:val="1"/>
          <w:color w:val="auto"/>
        </w:rPr>
        <w:t>However, the information contained on</w:t>
      </w:r>
      <w:r>
        <w:rPr>
          <w:rFonts w:ascii="Arial" w:cs="Arial" w:eastAsia="Arial" w:hAnsi="Arial"/>
          <w:sz w:val="18"/>
          <w:szCs w:val="18"/>
          <w:color w:val="auto"/>
        </w:rPr>
        <w:t xml:space="preserve"> </w:t>
      </w:r>
      <w:r>
        <w:rPr>
          <w:rFonts w:ascii="Arial" w:cs="Arial" w:eastAsia="Arial" w:hAnsi="Arial"/>
          <w:sz w:val="18"/>
          <w:szCs w:val="18"/>
          <w:b w:val="1"/>
          <w:bCs w:val="1"/>
          <w:color w:val="auto"/>
        </w:rPr>
        <w:t>or accessible through our website is not part of this prospectus or the registration statement of which this prospectus forms a part, and potential investors should not rely on such information in deciding to purchase our common stock in this offering.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8" w:right="27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INDEX TO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57"/>
        </w:trPr>
        <w:tc>
          <w:tcPr>
            <w:tcW w:w="10360" w:type="dxa"/>
            <w:vAlign w:val="bottom"/>
            <w:gridSpan w:val="14"/>
          </w:tcPr>
          <w:p>
            <w:pPr>
              <w:spacing w:after="0"/>
              <w:rPr>
                <w:sz w:val="20"/>
                <w:szCs w:val="20"/>
                <w:color w:val="auto"/>
              </w:rPr>
            </w:pPr>
            <w:r>
              <w:rPr>
                <w:rFonts w:ascii="Arial" w:cs="Arial" w:eastAsia="Arial" w:hAnsi="Arial"/>
                <w:sz w:val="18"/>
                <w:szCs w:val="18"/>
                <w:color w:val="auto"/>
              </w:rPr>
              <w:t>Three and Six Months Ended June 29, 2019</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27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68">
              <w:r>
                <w:rPr>
                  <w:rFonts w:ascii="Arial" w:cs="Arial" w:eastAsia="Arial" w:hAnsi="Arial"/>
                  <w:sz w:val="18"/>
                  <w:szCs w:val="18"/>
                  <w:color w:val="0000EE"/>
                  <w:w w:val="99"/>
                </w:rPr>
                <w:t>Financial Statements (Unaudited):</w:t>
              </w:r>
            </w:hyperlink>
          </w:p>
        </w:tc>
        <w:tc>
          <w:tcPr>
            <w:tcW w:w="7640" w:type="dxa"/>
            <w:vAlign w:val="bottom"/>
            <w:gridSpan w:val="7"/>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Condensed Balance Sheets</w:t>
              </w:r>
            </w:hyperlink>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F-2</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920" w:type="dxa"/>
            <w:vAlign w:val="bottom"/>
            <w:gridSpan w:val="7"/>
          </w:tcPr>
          <w:p>
            <w:pPr>
              <w:spacing w:after="0"/>
              <w:rPr>
                <w:rFonts w:ascii="Arial" w:cs="Arial" w:eastAsia="Arial" w:hAnsi="Arial"/>
                <w:sz w:val="18"/>
                <w:szCs w:val="18"/>
                <w:color w:val="0000EE"/>
                <w:w w:val="99"/>
              </w:rPr>
            </w:pPr>
            <w:hyperlink w:anchor="page170">
              <w:r>
                <w:rPr>
                  <w:rFonts w:ascii="Arial" w:cs="Arial" w:eastAsia="Arial" w:hAnsi="Arial"/>
                  <w:sz w:val="18"/>
                  <w:szCs w:val="18"/>
                  <w:color w:val="0000EE"/>
                  <w:w w:val="99"/>
                </w:rPr>
                <w:t>Condensed Statement of Operations</w:t>
              </w:r>
            </w:hyperlink>
          </w:p>
        </w:tc>
        <w:tc>
          <w:tcPr>
            <w:tcW w:w="7200" w:type="dxa"/>
            <w:vAlign w:val="bottom"/>
            <w:gridSpan w:val="6"/>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0">
              <w:r>
                <w:rPr>
                  <w:rFonts w:ascii="Arial" w:cs="Arial" w:eastAsia="Arial" w:hAnsi="Arial"/>
                  <w:sz w:val="18"/>
                  <w:szCs w:val="18"/>
                  <w:color w:val="0000EE"/>
                  <w:w w:val="96"/>
                </w:rPr>
                <w:t>F-4</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Condensed Statements of Convertible Preferred Stock and Stockholders’ Equity (Deficit)</w:t>
              </w:r>
            </w:hyperlink>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1">
              <w:r>
                <w:rPr>
                  <w:rFonts w:ascii="Arial" w:cs="Arial" w:eastAsia="Arial" w:hAnsi="Arial"/>
                  <w:sz w:val="18"/>
                  <w:szCs w:val="18"/>
                  <w:color w:val="0000EE"/>
                  <w:w w:val="96"/>
                </w:rPr>
                <w:t>F-5</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7040" w:type="dxa"/>
            <w:vAlign w:val="bottom"/>
            <w:gridSpan w:val="12"/>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Condensed Statements of Cash Flows</w:t>
              </w:r>
            </w:hyperlink>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2">
              <w:r>
                <w:rPr>
                  <w:rFonts w:ascii="Arial" w:cs="Arial" w:eastAsia="Arial" w:hAnsi="Arial"/>
                  <w:sz w:val="18"/>
                  <w:szCs w:val="18"/>
                  <w:color w:val="0000EE"/>
                  <w:w w:val="96"/>
                </w:rPr>
                <w:t>F-6</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240" w:type="dxa"/>
            <w:vAlign w:val="bottom"/>
            <w:gridSpan w:val="10"/>
          </w:tcPr>
          <w:p>
            <w:pP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Notes to Unaudited Condensed Financial Statements</w:t>
              </w:r>
            </w:hyperlink>
          </w:p>
        </w:tc>
        <w:tc>
          <w:tcPr>
            <w:tcW w:w="6120" w:type="dxa"/>
            <w:vAlign w:val="bottom"/>
            <w:gridSpan w:val="4"/>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4">
              <w:r>
                <w:rPr>
                  <w:rFonts w:ascii="Arial" w:cs="Arial" w:eastAsia="Arial" w:hAnsi="Arial"/>
                  <w:sz w:val="18"/>
                  <w:szCs w:val="18"/>
                  <w:color w:val="0000EE"/>
                  <w:w w:val="96"/>
                </w:rPr>
                <w:t>F-8</w:t>
              </w:r>
            </w:hyperlink>
          </w:p>
        </w:tc>
      </w:tr>
      <w:tr>
        <w:trPr>
          <w:trHeight w:val="291"/>
        </w:trPr>
        <w:tc>
          <w:tcPr>
            <w:tcW w:w="42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Year Ended December 31, 2016, 2017 and 2018</w:t>
            </w:r>
          </w:p>
        </w:tc>
        <w:tc>
          <w:tcPr>
            <w:tcW w:w="612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46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90">
              <w:r>
                <w:rPr>
                  <w:rFonts w:ascii="Arial" w:cs="Arial" w:eastAsia="Arial" w:hAnsi="Arial"/>
                  <w:sz w:val="18"/>
                  <w:szCs w:val="18"/>
                  <w:color w:val="0000EE"/>
                  <w:w w:val="99"/>
                </w:rPr>
                <w:t>Report of Independent Registered Public Accounting Firm</w:t>
              </w:r>
            </w:hyperlink>
          </w:p>
        </w:tc>
        <w:tc>
          <w:tcPr>
            <w:tcW w:w="576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0">
              <w:r>
                <w:rPr>
                  <w:rFonts w:ascii="Arial" w:cs="Arial" w:eastAsia="Arial" w:hAnsi="Arial"/>
                  <w:sz w:val="18"/>
                  <w:szCs w:val="18"/>
                  <w:color w:val="0000EE"/>
                </w:rPr>
                <w:t>F-24</w:t>
              </w:r>
            </w:hyperlink>
          </w:p>
        </w:tc>
        <w:tc>
          <w:tcPr>
            <w:tcW w:w="320" w:type="dxa"/>
            <w:vAlign w:val="bottom"/>
          </w:tcPr>
          <w:p>
            <w:pPr>
              <w:spacing w:after="0"/>
              <w:rPr>
                <w:sz w:val="18"/>
                <w:szCs w:val="18"/>
                <w:color w:val="auto"/>
              </w:rPr>
            </w:pPr>
          </w:p>
        </w:tc>
      </w:tr>
      <w:tr>
        <w:trPr>
          <w:trHeight w:val="250"/>
        </w:trPr>
        <w:tc>
          <w:tcPr>
            <w:tcW w:w="10360" w:type="dxa"/>
            <w:vAlign w:val="bottom"/>
            <w:gridSpan w:val="1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Financial Statements:</w:t>
              </w:r>
            </w:hyperlink>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12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191">
              <w:r>
                <w:rPr>
                  <w:rFonts w:ascii="Arial" w:cs="Arial" w:eastAsia="Arial" w:hAnsi="Arial"/>
                  <w:sz w:val="18"/>
                  <w:szCs w:val="18"/>
                  <w:color w:val="0000EE"/>
                  <w:w w:val="98"/>
                </w:rPr>
                <w:t>Balance Sheets</w:t>
              </w:r>
            </w:hyperlink>
          </w:p>
        </w:tc>
        <w:tc>
          <w:tcPr>
            <w:tcW w:w="220" w:type="dxa"/>
            <w:vAlign w:val="bottom"/>
            <w:tcBorders>
              <w:top w:val="single" w:sz="8" w:color="0000EE"/>
            </w:tcBorders>
          </w:tcPr>
          <w:p>
            <w:pPr>
              <w:spacing w:after="0"/>
              <w:rPr>
                <w:sz w:val="20"/>
                <w:szCs w:val="20"/>
                <w:color w:val="auto"/>
              </w:rPr>
            </w:pPr>
          </w:p>
        </w:tc>
        <w:tc>
          <w:tcPr>
            <w:tcW w:w="8640" w:type="dxa"/>
            <w:vAlign w:val="bottom"/>
            <w:gridSpan w:val="11"/>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1">
              <w:r>
                <w:rPr>
                  <w:rFonts w:ascii="Arial" w:cs="Arial" w:eastAsia="Arial" w:hAnsi="Arial"/>
                  <w:sz w:val="18"/>
                  <w:szCs w:val="18"/>
                  <w:color w:val="0000EE"/>
                </w:rPr>
                <w:t>F-25</w:t>
              </w:r>
            </w:hyperlink>
          </w:p>
        </w:tc>
        <w:tc>
          <w:tcPr>
            <w:tcW w:w="3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20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93">
              <w:r>
                <w:rPr>
                  <w:rFonts w:ascii="Arial" w:cs="Arial" w:eastAsia="Arial" w:hAnsi="Arial"/>
                  <w:sz w:val="18"/>
                  <w:szCs w:val="18"/>
                  <w:color w:val="0000EE"/>
                  <w:w w:val="98"/>
                </w:rPr>
                <w:t>Statements of Operations</w:t>
              </w:r>
            </w:hyperlink>
          </w:p>
        </w:tc>
        <w:tc>
          <w:tcPr>
            <w:tcW w:w="8080" w:type="dxa"/>
            <w:vAlign w:val="bottom"/>
            <w:gridSpan w:val="10"/>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3">
              <w:r>
                <w:rPr>
                  <w:rFonts w:ascii="Arial" w:cs="Arial" w:eastAsia="Arial" w:hAnsi="Arial"/>
                  <w:sz w:val="18"/>
                  <w:szCs w:val="18"/>
                  <w:color w:val="0000EE"/>
                </w:rPr>
                <w:t>F-27</w:t>
              </w:r>
            </w:hyperlink>
          </w:p>
        </w:tc>
        <w:tc>
          <w:tcPr>
            <w:tcW w:w="3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Statements of Convertible Preferred Stock and Stockholders’ Deficit</w:t>
              </w:r>
            </w:hyperlink>
          </w:p>
        </w:tc>
        <w:tc>
          <w:tcPr>
            <w:tcW w:w="1020" w:type="dxa"/>
            <w:vAlign w:val="bottom"/>
            <w:gridSpan w:val="5"/>
          </w:tcPr>
          <w:p>
            <w:pPr>
              <w:jc w:val="center"/>
              <w:spacing w:after="0"/>
              <w:rPr>
                <w:rFonts w:ascii="Arial" w:cs="Arial" w:eastAsia="Arial" w:hAnsi="Arial"/>
                <w:sz w:val="18"/>
                <w:szCs w:val="18"/>
                <w:color w:val="0000EE"/>
              </w:rPr>
            </w:pPr>
            <w:hyperlink w:anchor="page194">
              <w:r>
                <w:rPr>
                  <w:rFonts w:ascii="Arial" w:cs="Arial" w:eastAsia="Arial" w:hAnsi="Arial"/>
                  <w:sz w:val="18"/>
                  <w:szCs w:val="18"/>
                  <w:color w:val="0000EE"/>
                </w:rPr>
                <w:t>F-28</w:t>
              </w:r>
            </w:hyperlink>
          </w:p>
        </w:tc>
      </w:tr>
      <w:tr>
        <w:trPr>
          <w:trHeight w:val="237"/>
        </w:trPr>
        <w:tc>
          <w:tcPr>
            <w:tcW w:w="240" w:type="dxa"/>
            <w:vAlign w:val="bottom"/>
          </w:tcPr>
          <w:p>
            <w:pPr>
              <w:spacing w:after="0"/>
              <w:rPr>
                <w:sz w:val="20"/>
                <w:szCs w:val="20"/>
                <w:color w:val="auto"/>
              </w:rPr>
            </w:pPr>
          </w:p>
        </w:tc>
        <w:tc>
          <w:tcPr>
            <w:tcW w:w="2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195">
              <w:r>
                <w:rPr>
                  <w:rFonts w:ascii="Arial" w:cs="Arial" w:eastAsia="Arial" w:hAnsi="Arial"/>
                  <w:sz w:val="18"/>
                  <w:szCs w:val="18"/>
                  <w:color w:val="0000EE"/>
                  <w:w w:val="98"/>
                </w:rPr>
                <w:t>Statements of Cash Flows</w:t>
              </w:r>
            </w:hyperlink>
          </w:p>
        </w:tc>
        <w:tc>
          <w:tcPr>
            <w:tcW w:w="3300" w:type="dxa"/>
            <w:vAlign w:val="bottom"/>
            <w:tcBorders>
              <w:top w:val="single" w:sz="8" w:color="0000EE"/>
            </w:tcBorders>
            <w:gridSpan w:val="7"/>
          </w:tcPr>
          <w:p>
            <w:pPr>
              <w:spacing w:after="0"/>
              <w:rPr>
                <w:sz w:val="20"/>
                <w:szCs w:val="20"/>
                <w:color w:val="auto"/>
              </w:rPr>
            </w:pPr>
          </w:p>
        </w:tc>
        <w:tc>
          <w:tcPr>
            <w:tcW w:w="47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rPr>
            </w:pPr>
            <w:hyperlink w:anchor="page195">
              <w:r>
                <w:rPr>
                  <w:rFonts w:ascii="Arial" w:cs="Arial" w:eastAsia="Arial" w:hAnsi="Arial"/>
                  <w:sz w:val="18"/>
                  <w:szCs w:val="18"/>
                  <w:color w:val="0000EE"/>
                </w:rPr>
                <w:t>F-29</w:t>
              </w:r>
            </w:hyperlink>
          </w:p>
        </w:tc>
        <w:tc>
          <w:tcPr>
            <w:tcW w:w="320" w:type="dxa"/>
            <w:vAlign w:val="bottom"/>
          </w:tcPr>
          <w:p>
            <w:pPr>
              <w:spacing w:after="0"/>
              <w:rPr>
                <w:sz w:val="20"/>
                <w:szCs w:val="20"/>
                <w:color w:val="auto"/>
              </w:rPr>
            </w:pPr>
          </w:p>
        </w:tc>
      </w:tr>
      <w:tr>
        <w:trPr>
          <w:trHeight w:val="237"/>
        </w:trPr>
        <w:tc>
          <w:tcPr>
            <w:tcW w:w="10360" w:type="dxa"/>
            <w:vAlign w:val="bottom"/>
            <w:gridSpan w:val="14"/>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Notes to Financial Statements</w:t>
              </w:r>
            </w:hyperlink>
          </w:p>
        </w:tc>
        <w:tc>
          <w:tcPr>
            <w:tcW w:w="1020" w:type="dxa"/>
            <w:vAlign w:val="bottom"/>
            <w:gridSpan w:val="5"/>
          </w:tcPr>
          <w:p>
            <w:pPr>
              <w:jc w:val="center"/>
              <w:spacing w:after="0"/>
              <w:rPr>
                <w:rFonts w:ascii="Arial" w:cs="Arial" w:eastAsia="Arial" w:hAnsi="Arial"/>
                <w:sz w:val="18"/>
                <w:szCs w:val="18"/>
                <w:color w:val="0000EE"/>
              </w:rPr>
            </w:pPr>
            <w:hyperlink w:anchor="page197">
              <w:r>
                <w:rPr>
                  <w:rFonts w:ascii="Arial" w:cs="Arial" w:eastAsia="Arial" w:hAnsi="Arial"/>
                  <w:sz w:val="18"/>
                  <w:szCs w:val="18"/>
                  <w:color w:val="0000EE"/>
                </w:rPr>
                <w:t>F-31</w:t>
              </w:r>
            </w:hyperlink>
          </w:p>
        </w:tc>
      </w:tr>
      <w:tr>
        <w:trPr>
          <w:trHeight w:val="655"/>
        </w:trPr>
        <w:tc>
          <w:tcPr>
            <w:tcW w:w="2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gridSpan w:val="3"/>
          </w:tcPr>
          <w:p>
            <w:pPr>
              <w:ind w:left="9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12,626</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r>
      <w:tr>
        <w:trPr>
          <w:trHeight w:val="264"/>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w:t>
            </w:r>
          </w:p>
        </w:tc>
      </w:tr>
      <w:tr>
        <w:trPr>
          <w:trHeight w:val="250"/>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361,796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102,826</w:t>
            </w:r>
          </w:p>
        </w:tc>
      </w:tr>
      <w:tr>
        <w:trPr>
          <w:trHeight w:val="24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30,527</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80"/>
        </w:trPr>
        <w:tc>
          <w:tcPr>
            <w:tcW w:w="76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397,061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Equity (Deficit):</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17,247</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Short-term capital lease liabilities</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3"/>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warrant liability</w:t>
            </w:r>
          </w:p>
        </w:tc>
        <w:tc>
          <w:tcPr>
            <w:tcW w:w="3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r>
      <w:tr>
        <w:trPr>
          <w:trHeight w:val="250"/>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40,403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25,167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 net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19,388</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Equipment loan, net</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3"/>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30,792</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738"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Convertible preferred stock:</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A convertible preferred stock, par value $0.0001 per share—no shares and 3,333,500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issued and outstanding as of June 29, 2019 and December 31, 2018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B convertible preferred stock, par value $0.0001 per share—no shares and 4,802,260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4,680,565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 par value $0.0001 per share—no shares and 8,076,643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8,076,636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14,882</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D convertible preferred stock, par value $0.0001 per share—no shares and 8,713,207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8,713,201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24,948</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E convertible preferred stock, par value $0.0001 per share—no shares and 4,740,531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4,701,449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17,214</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F convertible preferred stock, par value $0.0001 per share—no shares and 4,866,776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4,866,758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29,840</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G convertible preferred stock, par value $0.0001 per share—no shares and 5,140,257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5,114,786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H convertible preferred stock, par value $0.0001 per share—no shares and 4,209,693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2,075,216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par value $0.0001 per share—500,000 shares authorized, none issued and outstanding</w:t>
            </w:r>
          </w:p>
        </w:tc>
        <w:tc>
          <w:tcPr>
            <w:tcW w:w="3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share—500,000,000 shares and 58,669,600 shares authorized at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June 29, 2019 and December 31, 2018, respectively; 60,167,521 and 6,951,350 shares issued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at June 29, 2019 and December 31, 2018, respectively</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477,541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7,921</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331,785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(121,750)</w:t>
            </w:r>
          </w:p>
        </w:tc>
      </w:tr>
      <w:tr>
        <w:trPr>
          <w:trHeight w:val="24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133,749</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27" w:right="239"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280" w:type="dxa"/>
            <w:vAlign w:val="bottom"/>
          </w:tcPr>
          <w:p>
            <w:pPr>
              <w:spacing w:after="0"/>
              <w:rPr>
                <w:sz w:val="17"/>
                <w:szCs w:val="17"/>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28"/>
        </w:trPr>
        <w:tc>
          <w:tcPr>
            <w:tcW w:w="4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67,251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107,457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30,143</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44,510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73,945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25,474</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15,515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20,574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36,643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17,524</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 liability</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39,081,359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6,072,319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23,206,203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5,933,806</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80" w:top="360" w:right="25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20" w:type="dxa"/>
            <w:vAlign w:val="bottom"/>
          </w:tcPr>
          <w:p>
            <w:pPr>
              <w:spacing w:after="0"/>
              <w:rPr>
                <w:sz w:val="22"/>
                <w:szCs w:val="22"/>
                <w:color w:val="auto"/>
              </w:rPr>
            </w:pPr>
          </w:p>
        </w:tc>
        <w:tc>
          <w:tcPr>
            <w:tcW w:w="2220" w:type="dxa"/>
            <w:vAlign w:val="bottom"/>
            <w:tcBorders>
              <w:right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2"/>
                <w:szCs w:val="2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34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(129,672)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62"/>
        </w:trPr>
        <w:tc>
          <w:tcPr>
            <w:tcW w:w="34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264"/>
        </w:trPr>
        <w:tc>
          <w:tcPr>
            <w:tcW w:w="34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257"/>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March 29, 2019</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7,120,933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9,142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(136,321)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(127,178)</w:t>
            </w:r>
          </w:p>
        </w:tc>
        <w:tc>
          <w:tcPr>
            <w:tcW w:w="0" w:type="dxa"/>
            <w:vAlign w:val="bottom"/>
          </w:tcPr>
          <w:p>
            <w:pPr>
              <w:spacing w:after="0"/>
              <w:rPr>
                <w:sz w:val="1"/>
                <w:szCs w:val="1"/>
                <w:color w:val="auto"/>
              </w:rPr>
            </w:pPr>
          </w:p>
        </w:tc>
      </w:tr>
      <w:tr>
        <w:trPr>
          <w:trHeight w:val="262"/>
        </w:trPr>
        <w:tc>
          <w:tcPr>
            <w:tcW w:w="34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pursuant to the initial public</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 net of issuance costs of $4.9 million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11,068,750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252,452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252,453</w:t>
            </w:r>
          </w:p>
        </w:tc>
        <w:tc>
          <w:tcPr>
            <w:tcW w:w="0" w:type="dxa"/>
            <w:vAlign w:val="bottom"/>
          </w:tcPr>
          <w:p>
            <w:pPr>
              <w:spacing w:after="0"/>
              <w:rPr>
                <w:sz w:val="1"/>
                <w:szCs w:val="1"/>
                <w:color w:val="auto"/>
              </w:rPr>
            </w:pPr>
          </w:p>
        </w:tc>
      </w:tr>
      <w:tr>
        <w:trPr>
          <w:trHeight w:val="156"/>
        </w:trPr>
        <w:tc>
          <w:tcPr>
            <w:tcW w:w="3420" w:type="dxa"/>
            <w:vAlign w:val="bottom"/>
          </w:tcPr>
          <w:p>
            <w:pPr>
              <w:ind w:left="100"/>
              <w:spacing w:after="0"/>
              <w:rPr>
                <w:sz w:val="20"/>
                <w:szCs w:val="20"/>
                <w:color w:val="auto"/>
              </w:rPr>
            </w:pPr>
            <w:r>
              <w:rPr>
                <w:rFonts w:ascii="Arial" w:cs="Arial" w:eastAsia="Arial" w:hAnsi="Arial"/>
                <w:sz w:val="13"/>
                <w:szCs w:val="13"/>
                <w:color w:val="auto"/>
                <w:w w:val="98"/>
              </w:rPr>
              <w:t>Issuance of common stock upon conversion of convertible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180"/>
              <w:spacing w:after="0"/>
              <w:rPr>
                <w:sz w:val="20"/>
                <w:szCs w:val="20"/>
                <w:color w:val="auto"/>
              </w:rPr>
            </w:pPr>
            <w:r>
              <w:rPr>
                <w:rFonts w:ascii="Arial" w:cs="Arial" w:eastAsia="Arial" w:hAnsi="Arial"/>
                <w:sz w:val="13"/>
                <w:szCs w:val="13"/>
                <w:color w:val="auto"/>
              </w:rPr>
              <w:t>preferred stock</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(199,540)</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199,536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upon exercise of common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warrants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214,875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100"/>
              <w:spacing w:after="0"/>
              <w:rPr>
                <w:sz w:val="20"/>
                <w:szCs w:val="20"/>
                <w:color w:val="auto"/>
              </w:rPr>
            </w:pPr>
            <w:r>
              <w:rPr>
                <w:rFonts w:ascii="Arial" w:cs="Arial" w:eastAsia="Arial" w:hAnsi="Arial"/>
                <w:sz w:val="13"/>
                <w:szCs w:val="13"/>
                <w:color w:val="auto"/>
              </w:rPr>
              <w:t>Reclassification of warrant liability to additional paid-in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180"/>
              <w:spacing w:after="0"/>
              <w:rPr>
                <w:sz w:val="20"/>
                <w:szCs w:val="20"/>
                <w:color w:val="auto"/>
              </w:rPr>
            </w:pPr>
            <w:r>
              <w:rPr>
                <w:rFonts w:ascii="Arial" w:cs="Arial" w:eastAsia="Arial" w:hAnsi="Arial"/>
                <w:sz w:val="13"/>
                <w:szCs w:val="13"/>
                <w:color w:val="auto"/>
              </w:rPr>
              <w:t>capital in connection with the initial public offering</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200,852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Share-based compensation</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24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29, 2019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60,167,521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477,541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(145,762)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331,785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240" w:type="dxa"/>
            <w:vAlign w:val="bottom"/>
            <w:tcBorders>
              <w:right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Additional Paid-</w:t>
            </w:r>
          </w:p>
        </w:tc>
        <w:tc>
          <w:tcPr>
            <w:tcW w:w="160" w:type="dxa"/>
            <w:vAlign w:val="bottom"/>
          </w:tcPr>
          <w:p>
            <w:pPr>
              <w:spacing w:after="0"/>
              <w:rPr>
                <w:sz w:val="22"/>
                <w:szCs w:val="2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(5,696)</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92,310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$7</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112,945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1,228</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39,474,156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149,422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5,816,816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(105,482)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(101,261)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common stock through equity</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624,411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$19</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12,739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121</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39,486,895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149,543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6,441,227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0"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7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91"/>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360" w:type="dxa"/>
            <w:vAlign w:val="bottom"/>
          </w:tcPr>
          <w:p>
            <w:pPr>
              <w:spacing w:after="0"/>
              <w:rPr>
                <w:sz w:val="16"/>
                <w:szCs w:val="16"/>
                <w:color w:val="auto"/>
              </w:rPr>
            </w:pPr>
          </w:p>
        </w:tc>
        <w:tc>
          <w:tcPr>
            <w:tcW w:w="1480" w:type="dxa"/>
            <w:vAlign w:val="bottom"/>
          </w:tcPr>
          <w:p>
            <w:pPr>
              <w:jc w:val="right"/>
              <w:ind w:right="531"/>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(13,092)</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1,620</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preferred and common stock warrant liabilities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(6,178)</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6,623</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64"/>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liabilities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57"/>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Cash flows used in investing activities: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sale of fixed assets</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 held for sale</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Payment of security deposits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9"/>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pursuant to the initial public offering, net of</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255,448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Series G preferred stock offering, net of offering costs</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1,350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bank term loan borrowing</w:t>
            </w:r>
          </w:p>
        </w:tc>
        <w:tc>
          <w:tcPr>
            <w:tcW w:w="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Repayments on revolving credit line</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on term loan</w:t>
            </w:r>
          </w:p>
        </w:tc>
        <w:tc>
          <w:tcPr>
            <w:tcW w:w="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Repayment of Missouri Note</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871</w:t>
            </w:r>
          </w:p>
        </w:tc>
      </w:tr>
      <w:tr>
        <w:trPr>
          <w:trHeight w:val="250"/>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255,960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7,154</w:t>
            </w: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222,716</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(15,546)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39,035</w:t>
            </w:r>
          </w:p>
        </w:tc>
      </w:tr>
      <w:tr>
        <w:trPr>
          <w:trHeight w:val="29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276,987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23,489</w:t>
            </w:r>
          </w:p>
        </w:tc>
      </w:tr>
      <w:tr>
        <w:trPr>
          <w:trHeight w:val="210"/>
        </w:trPr>
        <w:tc>
          <w:tcPr>
            <w:tcW w:w="7640" w:type="dxa"/>
            <w:vAlign w:val="bottom"/>
            <w:shd w:val="clear" w:color="auto" w:fill="CCEEFF"/>
          </w:tcPr>
          <w:p>
            <w:pPr>
              <w:ind w:left="4720"/>
              <w:spacing w:after="0" w:line="196" w:lineRule="exact"/>
              <w:rPr>
                <w:sz w:val="20"/>
                <w:szCs w:val="20"/>
                <w:color w:val="auto"/>
              </w:rPr>
            </w:pPr>
            <w:r>
              <w:rPr>
                <w:rFonts w:ascii="Arial" w:cs="Arial" w:eastAsia="Arial" w:hAnsi="Arial"/>
                <w:sz w:val="18"/>
                <w:szCs w:val="18"/>
                <w:color w:val="auto"/>
              </w:rPr>
              <w:t>(continued on next page)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621"/>
        </w:trPr>
        <w:tc>
          <w:tcPr>
            <w:tcW w:w="7640" w:type="dxa"/>
            <w:vAlign w:val="bottom"/>
          </w:tcPr>
          <w:p>
            <w:pPr>
              <w:ind w:left="5580"/>
              <w:spacing w:after="0"/>
              <w:rPr>
                <w:sz w:val="20"/>
                <w:szCs w:val="20"/>
                <w:color w:val="auto"/>
              </w:rPr>
            </w:pPr>
            <w:r>
              <w:rPr>
                <w:rFonts w:ascii="Arial" w:cs="Arial" w:eastAsia="Arial" w:hAnsi="Arial"/>
                <w:sz w:val="18"/>
                <w:szCs w:val="18"/>
                <w:color w:val="auto"/>
              </w:rPr>
              <w:t>F-6</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gridSpan w:val="4"/>
          </w:tcPr>
          <w:p>
            <w:pPr>
              <w:jc w:val="right"/>
              <w:ind w:right="1252"/>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73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91"/>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29,</w:t>
            </w:r>
          </w:p>
        </w:tc>
        <w:tc>
          <w:tcPr>
            <w:tcW w:w="400" w:type="dxa"/>
            <w:vAlign w:val="bottom"/>
          </w:tcPr>
          <w:p>
            <w:pPr>
              <w:spacing w:after="0"/>
              <w:rPr>
                <w:sz w:val="16"/>
                <w:szCs w:val="16"/>
                <w:color w:val="auto"/>
              </w:rPr>
            </w:pPr>
          </w:p>
        </w:tc>
        <w:tc>
          <w:tcPr>
            <w:tcW w:w="1600" w:type="dxa"/>
            <w:vAlign w:val="bottom"/>
          </w:tcPr>
          <w:p>
            <w:pPr>
              <w:jc w:val="right"/>
              <w:ind w:right="612"/>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2018</w:t>
            </w: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0"/>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3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63"/>
        </w:trPr>
        <w:tc>
          <w:tcPr>
            <w:tcW w:w="7320" w:type="dxa"/>
            <w:vAlign w:val="bottom"/>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 for the purchase of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Issuance of convertible preferred stock warrants in connection with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additions to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Deferred offering costs, accrued not yet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7"/>
        </w:trPr>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additions to property, plant and equipment held for sale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40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4"/>
        </w:trPr>
        <w:tc>
          <w:tcPr>
            <w:tcW w:w="7320" w:type="dxa"/>
            <w:vAlign w:val="bottom"/>
          </w:tcPr>
          <w:p>
            <w:pPr>
              <w:ind w:left="520"/>
              <w:spacing w:after="0"/>
              <w:rPr>
                <w:sz w:val="20"/>
                <w:szCs w:val="20"/>
                <w:color w:val="auto"/>
              </w:rPr>
            </w:pPr>
            <w:r>
              <w:rPr>
                <w:rFonts w:ascii="Arial" w:cs="Arial" w:eastAsia="Arial" w:hAnsi="Arial"/>
                <w:sz w:val="18"/>
                <w:szCs w:val="18"/>
                <w:color w:val="auto"/>
              </w:rPr>
              <w:t>initial public offering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199,540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5240"/>
              <w:spacing w:after="0"/>
              <w:rPr>
                <w:sz w:val="20"/>
                <w:szCs w:val="20"/>
                <w:color w:val="auto"/>
              </w:rPr>
            </w:pPr>
            <w:r>
              <w:rPr>
                <w:rFonts w:ascii="Arial" w:cs="Arial" w:eastAsia="Arial" w:hAnsi="Arial"/>
                <w:sz w:val="18"/>
                <w:szCs w:val="18"/>
                <w:color w:val="auto"/>
              </w:rPr>
              <w:t>(concluded)</w:t>
            </w: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27"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to manufacture its products. In May 2019, the Company partnered with one of its distributors to co-manufacture the Company’s products at a new manufacturing facility being constructed by this distributor in the Netherlands for estimated completion in 2020.</w:t>
      </w:r>
    </w:p>
    <w:p>
      <w:pPr>
        <w:spacing w:after="0" w:line="1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May 6, 2019, the Company completed its initial public offering (“IPO”) of common stock, in which it sold 11,068,750 shares, including 1,443,750 shares pursuant to the underwriters’ over-allotment option. The shares began trading on the Nasdaq Global Select Market on May 2, 2019. The shares were sold at an IPO price of $ 25.00 per share for net proceeds of approximately $252.4 million, after deducting underwriting discounts and commissions of $19.4 million and offering expenses of approximately $4.9 million payable by the Company. Upon the closing of the IPO, all outstanding shares of the Company’s convertible preferred stock automatically converted into 41,562,111 shares of common stock on a one-for-one basis, and warrants exercisable for convertible preferred stock were automatically converted into warrants exercisable for a total of 160,767 shares of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unaudited condensed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In the opinion of management, the condensed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2019 or for any other interim period or for any other future fiscal year. These condensed financial statements should be read in conjunction with the Company's audited financial statements and notes thereto included in the prospectus dated May 1, 2019 filed with the SEC on May 3, 2019 (the “Prospectus”). The condensed balance sheet as of December 31, 2018 has been derived from the audited financial statements at that date. There have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6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been no material changes in the Company’s significant accounting policies from those that were disclosed in the Prospectus, except as noted below.</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and the valuation of the fair value of common stock and preferred stock used to determine stock compensation expense and in the remeasurement of warrants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financial statements.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condensed financial statements and related notes to the number of shares of common stock, convertible preferred stock, warrants and options to purchase common stock and per share data reflect the effect of the reverse stock split.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consist primarily of amounts invested in money market accounts.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Offering costs, consisting primarily of legal, accounting, printing and filing services, and other direct fees and costs related to the IPO, were capitalized and offset against proceeds upon the consummation of the IPO. Total IPO issuance costs were $4.9 million, of which $2.4 million was incurred and paid as of December 31, 2018 and an additional $ 1.9 million was incurred and paid as of June 29, 2019. Approximately $0.6 million of IPO issuance costs incurred in the six months ended June 29, 2019 remained unpaid in accounts payable as of June 29, 2019.</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3"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remeasurement at each balance sheet date. Any change in fair value is recognized in the condensed statements of operations in Total other expense, net.</w:t>
      </w:r>
    </w:p>
    <w:p>
      <w:pPr>
        <w:spacing w:after="0" w:line="14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jc w:val="both"/>
        <w:ind w:left="660" w:right="120" w:hanging="328"/>
        <w:spacing w:after="0" w:line="266" w:lineRule="auto"/>
        <w:tabs>
          <w:tab w:leader="none" w:pos="66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2" w:lineRule="exact"/>
        <w:rPr>
          <w:rFonts w:ascii="Arial" w:cs="Arial" w:eastAsia="Arial" w:hAnsi="Arial"/>
          <w:sz w:val="18"/>
          <w:szCs w:val="18"/>
          <w:i w:val="1"/>
          <w:iCs w:val="1"/>
          <w:color w:val="auto"/>
        </w:rPr>
      </w:pPr>
    </w:p>
    <w:p>
      <w:pPr>
        <w:ind w:left="660" w:right="220" w:hanging="328"/>
        <w:spacing w:after="0" w:line="282" w:lineRule="auto"/>
        <w:tabs>
          <w:tab w:leader="none" w:pos="66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i w:val="1"/>
          <w:iCs w:val="1"/>
          <w:color w:val="auto"/>
        </w:rPr>
      </w:pPr>
    </w:p>
    <w:p>
      <w:pPr>
        <w:ind w:left="660" w:hanging="328"/>
        <w:spacing w:after="0"/>
        <w:tabs>
          <w:tab w:leader="none" w:pos="66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line of credit, term debt with its bank, and equipment loan approximate fair value as well.</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Company had no financial instruments measured at fair value on a recurring basis as of June 29, 2019. 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1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based on the fair value hierarchy as of December 31, 2018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8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80" w:type="dxa"/>
            <w:vAlign w:val="bottom"/>
          </w:tcPr>
          <w:p>
            <w:pPr>
              <w:jc w:val="right"/>
              <w:ind w:right="105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ind w:right="105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F-10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Six Months Ended</w:t>
            </w:r>
          </w:p>
        </w:tc>
      </w:tr>
      <w:tr>
        <w:trPr>
          <w:trHeight w:val="216"/>
        </w:trPr>
        <w:tc>
          <w:tcPr>
            <w:tcW w:w="718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 2019</w:t>
            </w:r>
          </w:p>
        </w:tc>
        <w:tc>
          <w:tcPr>
            <w:tcW w:w="320" w:type="dxa"/>
            <w:vAlign w:val="bottom"/>
          </w:tcPr>
          <w:p>
            <w:pPr>
              <w:spacing w:after="0"/>
              <w:rPr>
                <w:sz w:val="18"/>
                <w:szCs w:val="18"/>
                <w:color w:val="auto"/>
              </w:rPr>
            </w:pPr>
          </w:p>
        </w:tc>
        <w:tc>
          <w:tcPr>
            <w:tcW w:w="174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63"/>
        </w:trPr>
        <w:tc>
          <w:tcPr>
            <w:tcW w:w="7180" w:type="dxa"/>
            <w:vAlign w:val="bottom"/>
            <w:gridSpan w:val="4"/>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320" w:type="dxa"/>
            <w:vAlign w:val="bottom"/>
          </w:tcPr>
          <w:p>
            <w:pPr>
              <w:spacing w:after="0"/>
              <w:rPr>
                <w:sz w:val="22"/>
                <w:szCs w:val="22"/>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7"/>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29"/>
        </w:trPr>
        <w:tc>
          <w:tcPr>
            <w:tcW w:w="7180" w:type="dxa"/>
            <w:vAlign w:val="bottom"/>
            <w:gridSpan w:val="4"/>
          </w:tcPr>
          <w:p>
            <w:pPr>
              <w:ind w:left="4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7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IPO</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Company remeasured and reclassified the common stock warrant liability to additional paid-in-capital in connection with the IPO. Subsequent to the closing of the IPO, all outstanding warrants to purchase shares of common stock were cashless exercised and no warrants were outstanding as of June 29, 2019.</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(“ASU 2014-09”), which, along with subsequent ASUs, amends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contracts as of June 29, 2019 contain a significant financing component.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$1.1 million and $0.8 million as of June 29, 2019 and December 31, 2018, respectively. The offsetting charge is recorded as a reduction of revenues in the same period when the expense is incurred.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33"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by platform and channel are included in the tables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6"/>
                <w:szCs w:val="16"/>
                <w:b w:val="1"/>
                <w:bCs w:val="1"/>
                <w:color w:val="auto"/>
              </w:rPr>
              <w:t>For the 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29,</w:t>
            </w:r>
          </w:p>
        </w:tc>
        <w:tc>
          <w:tcPr>
            <w:tcW w:w="300" w:type="dxa"/>
            <w:vAlign w:val="bottom"/>
          </w:tcPr>
          <w:p>
            <w:pPr>
              <w:spacing w:after="0"/>
              <w:rPr>
                <w:sz w:val="17"/>
                <w:szCs w:val="17"/>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99"/>
              </w:rPr>
              <w:t>June 30,</w:t>
            </w:r>
          </w:p>
        </w:tc>
      </w:tr>
      <w:tr>
        <w:trPr>
          <w:trHeight w:val="180"/>
        </w:trPr>
        <w:tc>
          <w:tcPr>
            <w:tcW w:w="4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Gross Fresh Platform</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67,722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15,119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106,528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24,715</w:t>
            </w: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Frozen Platform</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9,254</w:t>
            </w:r>
          </w:p>
        </w:tc>
      </w:tr>
      <w:tr>
        <w:trPr>
          <w:trHeight w:val="264"/>
        </w:trPr>
        <w:tc>
          <w:tcPr>
            <w:tcW w:w="4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67,251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107,457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30,143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6"/>
                <w:szCs w:val="16"/>
                <w:b w:val="1"/>
                <w:bCs w:val="1"/>
                <w:color w:val="auto"/>
              </w:rPr>
              <w:t>For the 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29,</w:t>
            </w:r>
          </w:p>
        </w:tc>
        <w:tc>
          <w:tcPr>
            <w:tcW w:w="300" w:type="dxa"/>
            <w:vAlign w:val="bottom"/>
          </w:tcPr>
          <w:p>
            <w:pPr>
              <w:spacing w:after="0"/>
              <w:rPr>
                <w:sz w:val="17"/>
                <w:szCs w:val="17"/>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99"/>
              </w:rPr>
              <w:t>June 30,</w:t>
            </w:r>
          </w:p>
        </w:tc>
      </w:tr>
      <w:tr>
        <w:trPr>
          <w:trHeight w:val="180"/>
        </w:trPr>
        <w:tc>
          <w:tcPr>
            <w:tcW w:w="4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11,684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53,699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20,972</w:t>
            </w:r>
          </w:p>
        </w:tc>
      </w:tr>
      <w:tr>
        <w:trPr>
          <w:trHeight w:val="270"/>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33,131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9,171</w:t>
            </w:r>
          </w:p>
        </w:tc>
      </w:tr>
      <w:tr>
        <w:trPr>
          <w:trHeight w:val="257"/>
        </w:trPr>
        <w:tc>
          <w:tcPr>
            <w:tcW w:w="40" w:type="dxa"/>
            <w:vAlign w:val="bottom"/>
          </w:tcPr>
          <w:p>
            <w:pPr>
              <w:spacing w:after="0"/>
              <w:rPr>
                <w:sz w:val="22"/>
                <w:szCs w:val="22"/>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67,251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107,457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30,143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Two distributors accounted for approximately 22% and 20%, respectively, of the Company’s gross revenues in the three months ended June 29, 2019; and three distributors accounted for approximately 39%, 15% and 15%, respectively, of the Company’s gross revenues in the three months ended June 30, 2018. Two distributors accounted for approximately 22% and 21%, respectively, of the Company’s gross revenues in the six months ended June 29, 2019; and three distributors accounted for approximately 37%, 15% and 13%, respectively, of the Company’s gross revenues in the six months ended June 30, 2018.</w:t>
      </w:r>
    </w:p>
    <w:p>
      <w:pPr>
        <w:spacing w:after="0" w:line="1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Approximately 12% of the Company’s net revenues in the three months ended June 29, 2019 was from international sales excluding sales in Canada as compared to approximately 3% in the three months ended June 30, 2018. Approximately 13% of the Company’s net revenues in the six months ended June 29, 2019 was from international sales excluding sales in Canada as compared to approximately 2% in the six months ended June 30, 2018. Net revenues from sales to the Canadian market are included with net revenues from sales to the United States market.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June 29, 2019 and June 30, 2018 were $2.6 million and $1.8 million, respectively, and in the six months ended June 29, 2019 and June 30, 2018 were $3.9 million and $2.8 million,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 Such potential common shares include options, restricted stock units (“RSUs”), warrants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33"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convertible preferred stock. In periods when the Company records net loss, potential common shares are excluded in the computation of EPS because their inclusion would be anti-dilutive. See </w:t>
      </w:r>
      <w:r>
        <w:rPr>
          <w:rFonts w:ascii="Arial" w:cs="Arial" w:eastAsia="Arial" w:hAnsi="Arial"/>
          <w:sz w:val="18"/>
          <w:szCs w:val="18"/>
          <w:u w:val="single" w:color="auto"/>
          <w:color w:val="0000FF"/>
        </w:rPr>
        <w:t>Note 11</w:t>
      </w:r>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which was amended and restated on November 15, 2018 and further amended on April 8, 2019. Pursuant to the consulting agreement, the Company will pay Mr. Goldman $20,210.33 per month for services rendered under the consulting agreement and, on the date of each annual meeting of the Company’s stockholders after which Mr. Goldman’s non-employee service on the board of directors will continue, the Company has agreed to grant Mr. Goldman a restricted stock unit award under the 2018 Equity Incentive Plan (the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the six months ended June 30, 2018, the Company incurred consulting costs payable to a company associated with Donald Thompson, a member of the Company’s Board of Directors, in the amount of $47,162. The Company did not incur any such consulting costs in the six months ended June 29, 2019.</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333" w:right="2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years beginning after December 15, 2020. Early adoption is permitted, but no earlier than the Company’s adoption date of Topic 606. The Company early adopted ASU 2018-07 beginning January 1, 2019 along with its adoption of ASU 2014-09. Pursuant to ASU 2018-07, the measurement of equity classified nonemployee awards will be fixed at the grant date, as compared to the previous requirement to remeasure the awards through the performance completion date.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(“ASU 2016-01”), which makes amendments to the guidance in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5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June 29, 2019 and June 30, 2018, the Company recorded $0.8 million and $0.3 million, respectively, in restructuring expenses related to this dispute, which consisted primarily of legal and other expenses. In the six months ended June 29, 2019 and June 30, 2018, the Company recorded $1.2 million and $0.6 million, respectively, in restructuring expenses related to this dispute, which consisted primarily of legal and other expenses. See </w:t>
      </w:r>
      <w:r>
        <w:rPr>
          <w:rFonts w:ascii="Arial" w:cs="Arial" w:eastAsia="Arial" w:hAnsi="Arial"/>
          <w:sz w:val="18"/>
          <w:szCs w:val="18"/>
          <w:u w:val="single" w:color="auto"/>
          <w:color w:val="0000EE"/>
        </w:rPr>
        <w:t>Note 9</w:t>
      </w:r>
      <w:r>
        <w:rPr>
          <w:rFonts w:ascii="Arial" w:cs="Arial" w:eastAsia="Arial" w:hAnsi="Arial"/>
          <w:sz w:val="18"/>
          <w:szCs w:val="18"/>
          <w:color w:val="auto"/>
        </w:rPr>
        <w:t xml:space="preserve"> for further information. As of June 29, 2019 and December 31, 2018, there were no accrued unpaid liabilities associated with this contract termination.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333"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inventory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w:t>
            </w:r>
          </w:p>
        </w:tc>
        <w:tc>
          <w:tcPr>
            <w:tcW w:w="180" w:type="dxa"/>
            <w:vAlign w:val="bottom"/>
          </w:tcPr>
          <w:p>
            <w:pPr>
              <w:spacing w:after="0"/>
              <w:rPr>
                <w:sz w:val="16"/>
                <w:szCs w:val="16"/>
                <w:color w:val="auto"/>
              </w:rPr>
            </w:pPr>
          </w:p>
        </w:tc>
        <w:tc>
          <w:tcPr>
            <w:tcW w:w="142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8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5"/>
                <w:szCs w:val="15"/>
                <w:color w:val="auto"/>
              </w:rPr>
            </w:pPr>
          </w:p>
        </w:tc>
        <w:tc>
          <w:tcPr>
            <w:tcW w:w="132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Raw materials and 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25,047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13,756</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2,517</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13,984</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30,257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2019 and December 31, 2018,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Manufacturing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29,783</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25,314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equipment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7,080</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Vehicles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Assets not yet placed in service</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51,103</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43,203</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16,630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12,676</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34,473</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30,527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Depreciation and amortization expense for the three months ended June 29, 2019 and June 30, 2018, was $2.1 million and $0.9 million, respectively. Of the total depreciation and amortization expense in the three months ended June 29, 2019 and June 30, 2018, $1.4 million and $0.7 million, respectively, were recorded in cost of goods sold and $0.6 million and $0.2 million, respectively, were recorded in research and development expenses, and $12,000 and $0, respectively, were recorded in SG&amp;A expenses, in the Company’s condensed statements of operations.</w:t>
      </w:r>
    </w:p>
    <w:p>
      <w:pPr>
        <w:spacing w:after="0" w:line="152"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Depreciation and amortization expense for the six months ended June 29, 2019 and June 30, 2018, was $4.0 million and $1.6 million, respectively. Of the total depreciation and amortization expense in the six months ended June 29, 2019 and June 30, 2018, $2.8 million and $1.3 million, respectively, were recorded in cost of goods sold and $1.1 million and $0.3 million, respectively, were recorded in research and development expenses, and $22,000 and $0, respectively, were recorded in SG&amp;A expenses, in the Company’s condensed statements of operations.</w:t>
      </w:r>
    </w:p>
    <w:p>
      <w:pPr>
        <w:spacing w:after="0" w:line="152"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The Company has $4.2 million and $1.0 million in property, plant and equipment concluded to meet the criteria for assets held for sale on the condensed balance sheets as of June 29, 2019 and December 31, 2018, respectively. The Company expects to sell such assets in 2019 for amounts that approximate book value.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333"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34"/>
        </w:trPr>
        <w:tc>
          <w:tcPr>
            <w:tcW w:w="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7"/>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63"/>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Equipment financing loan</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Total debt outstanding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30,467</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30,388</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24,467</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30,388</w:t>
            </w: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condensed balance sheets. Debt issuance costs, net of amortization, totaled $ 0.5 million and $ 0.6 million as of June 29, 2019 and December 31, 2018, respectively. Debt issuance costs are amortized as interest expense over the term of the loan for which amortization of $20,000 and $26,000 was recorded during the three months ended June 29, 2019 and June 30, 2018, respectively, and $78,000 and $35,000 was recorded during the six months ended June 29, 2019 and June 30, 2018,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In June 2018, the Company refinanced its then existing revolving credit facility and term loan facility under a loan and security agreement with Silicon Valley Bank (“SVB”) (the “Amended LSA”). The Amended LSA includes a $6.0 million revolving credit facility (the “2018 Revolving Credit Facility”) and a term loan facility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5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2018 Term Loan Facility and the 2018 Revolving Credit Facility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 The Company was in compliance with the covenants in the SVB Credit Facilities as of June 29, 2019.</w:t>
      </w:r>
    </w:p>
    <w:p>
      <w:pPr>
        <w:spacing w:after="0" w:line="15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of June 29, 2019 and December 31, 2018, the Company had $6.0 million and $20.0 million in borrowings on the 2018 Revolving Credit Facility and 2018 Term Loan Facility, respectively, and had no availability to borrow under either of these loan facilities. In the three months ended June 29, 2019 and June 30, 2018, the Company incurred $0.5 million and $22,000, respectively, in interest expense related to the SVB credit facilities. In the six months ended June 29, 2019 and June 30, 2018, the Company incurred $ 1.1 million and $40,000, respectively, in interest expense related to the SVB credit facilities. The interest rates on the 2018 Revolving Credit Facility and the 2018 Term Loan Facility at June 29, 2019 were 6.25% and 9.50%,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333"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had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the Company recorded $0.2 million and $0, respectively, in interest expense related to the equipment loan facility. For the six months ended June 29, 2019 and June 30, 2018, the Company recorded $0.3 million and $0, respectively, in interest expense related to the equipment loan facility. The Company was in compliance with the covenants contained in the equipment loan facility as of June 29, 2019.</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In connection with its financing arrangements, the Company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In connection with the Company’s refinancing of its credit facilities with SVB, the Company issued to SVB and its affiliates warrants to purchase an aggregate of 60,002 shares of its common stock at an exercise price of $3.00 per share. Upon the closing of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 and no warrants were outstanding as of June 29, 2019.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information on the warrant liabilities.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 (Deficit) and Convertible Preferred Stock</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an Amended and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 As of June 29, 2019, the Company had 60,167,521 shares of common stock issued and outstanding.</w:t>
      </w:r>
    </w:p>
    <w:p>
      <w:pPr>
        <w:spacing w:after="0" w:line="152"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par value $0.0001 per share, of which 6,951,350 shares were issued and outstanding, and 43,882,867 authorized shares of preferred stock, par value $0.0001 per share, of which 3,333,500 shares of Series A Preferred Stock, 4,680,565 shares of Series B Preferred Stock, 8,076,636 shares of Series C Preferred Stock, 8,713,201 shares of Series D Preferred Stock, 4,701,449 shares of Series E Preferred Stock, 4,866,758 shares of Series F Preferred Stock, 5,114,786 shares of Series G Preferred Stock and 2,075,216 shares of Series H Preferred Stock were issued and outstanding.</w:t>
      </w:r>
    </w:p>
    <w:p>
      <w:pPr>
        <w:spacing w:after="0" w:line="15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9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 The remaining shares available for issuance under the 2011 Plan were added to the shares reserved for issuance under the 2018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333"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RSUs, performance units, and performance shares to the Company’s employees, directors, and consultants. The maximum aggregate number of shares that may be issued under the 2018 Plan is 14,482,356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w:t>
      </w:r>
    </w:p>
    <w:p>
      <w:pPr>
        <w:spacing w:after="0" w:line="15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following grants were made pursuant to the 2018 Plan in the six months ended June 29, 2019: (i) options to purchase 264,033 shares of common stock were granted to certain employees on April 3, 2019, having an exercise price of $20.02 per share, (ii) options to purchase (A) 1,000,000 shares of common stock were granted to executive officers on April 18, 2019, (B) 48,999 shares of common stock were granted to certain employees on April 29, 2019, and (C) 50,000 shares of common stock were granted to certain executive officers on May 1, 2019, in each case to be effective upon and subject to the effectiveness of the registration statement relating to the Company’s IPO and having an exercise price equal to the IPO price of $25.00 per share, (iii) awards covering 99,433 shares of restricted stock were granted to nonemployees on April 18, 2019 at a purchase price of $0.01 per share to be issued upon payment of the purchase price, (iv) an option to purchase 125,000 shares of common stock was granted to an executive officer on June 10, 2019, having an exercise price of $168.10 per share, and (v) 70,360 RSUs with a grant date fair value of $168.10 were granted to certain employees on June 10, 2019.</w:t>
      </w:r>
    </w:p>
    <w:p>
      <w:pPr>
        <w:spacing w:after="0" w:line="159" w:lineRule="exact"/>
        <w:rPr>
          <w:sz w:val="20"/>
          <w:szCs w:val="20"/>
          <w:color w:val="auto"/>
        </w:rPr>
      </w:pPr>
    </w:p>
    <w:p>
      <w:pPr>
        <w:ind w:right="300" w:firstLine="324"/>
        <w:spacing w:after="0" w:line="278" w:lineRule="auto"/>
        <w:rPr>
          <w:sz w:val="20"/>
          <w:szCs w:val="20"/>
          <w:color w:val="auto"/>
        </w:rPr>
      </w:pPr>
      <w:r>
        <w:rPr>
          <w:rFonts w:ascii="Arial" w:cs="Arial" w:eastAsia="Arial" w:hAnsi="Arial"/>
          <w:sz w:val="17"/>
          <w:szCs w:val="17"/>
          <w:color w:val="auto"/>
        </w:rPr>
        <w:t>As of June 29, 2019 and December 31, 2018, there were 6,245,103 and 5,120,293 shares, respectively, issuable under stock options outstanding, 70,360 and 0 shares, respectively, issuable under RSUs outstanding, 4,705,766 and 4,335,331 shares, respectively, issued for stock option exercises and restricted stock grants, and 3,437,794 and 6,859 shares, respectively, available for grants under the 2018 Plan.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Option grants in the six months ended June 29, 2019 vest 25% of the total award on the first anniversary of the vesting commencement date, and thereafter ratably vesting monthly over the remaining three-year period.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333" w:right="2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 during the six months ended June 29,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6"/>
                <w:szCs w:val="16"/>
                <w:color w:val="auto"/>
              </w:rPr>
            </w:pPr>
          </w:p>
        </w:tc>
        <w:tc>
          <w:tcPr>
            <w:tcW w:w="1400" w:type="dxa"/>
            <w:vAlign w:val="bottom"/>
          </w:tcPr>
          <w:p>
            <w:pPr>
              <w:jc w:val="center"/>
              <w:ind w:right="133"/>
              <w:spacing w:after="0"/>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3"/>
              <w:spacing w:after="0" w:line="234" w:lineRule="exact"/>
              <w:rPr>
                <w:sz w:val="20"/>
                <w:szCs w:val="20"/>
                <w:color w:val="auto"/>
              </w:rPr>
            </w:pPr>
            <w:r>
              <w:rPr>
                <w:rFonts w:ascii="Arial" w:cs="Arial" w:eastAsia="Arial" w:hAnsi="Arial"/>
                <w:sz w:val="16"/>
                <w:szCs w:val="16"/>
                <w:b w:val="1"/>
                <w:bCs w:val="1"/>
                <w:color w:val="auto"/>
                <w:w w:val="96"/>
              </w:rPr>
              <w:t>thousands)</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5,120,293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1,488,032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(68,887)</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29, 2019</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6,245,103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935,616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June 29, 2019</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3,091,340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492,807</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June 29, 2019</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4,419,185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686,118</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Arial" w:cs="Arial" w:eastAsia="Arial" w:hAnsi="Arial"/>
                <w:sz w:val="16"/>
                <w:szCs w:val="16"/>
                <w:color w:val="auto"/>
              </w:rPr>
              <w:t>___________________</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80" w:hanging="332"/>
        <w:spacing w:after="0" w:line="262"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Aggregate intrinsic value is calculated as the difference between the value of common stock on the transaction date and the exercise price multiplied by the number of shares issuable under the stock option.</w:t>
      </w:r>
    </w:p>
    <w:p>
      <w:pPr>
        <w:spacing w:after="0" w:line="14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During the three months ended June 29, 2019 and June 30, 2018, the Company recorded in aggregate $1.2 million and $0.5 million, respectively, of share-based compensation expense related to options issued to employees and nonemployees. During the six months ended June 29, 2019 and June 30, 2018, the Company recorded in aggregate $1.8 million and $0.7 million, respectively, of share-based compensation expense related to options issued to employees and nonemployees. The share-based compensation expense is included in cost of goods sold and SG&amp;A expenses in the Company’s condensed statements of operations.</w:t>
      </w:r>
    </w:p>
    <w:p>
      <w:pPr>
        <w:spacing w:after="0" w:line="152"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As of June 29, 2019 and December 31, 2018, there was $9.5 million and $2.4 million in unrecognized compensation expense related to nonvested stock option awards which is expected to be recognized over 3.5 years and 2.9 years, respectively.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RSU grants in the six months ended June 29, 2019 vest 25% of the total award on the first anniversary of the grant date, and thereafter ratably vesting quarterly over the remaining three years of the award.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RSU activity during the six months ended June 29,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6"/>
                <w:szCs w:val="16"/>
                <w:b w:val="1"/>
                <w:bCs w:val="1"/>
                <w:color w:val="auto"/>
              </w:rPr>
              <w:t>Average</w:t>
            </w:r>
          </w:p>
        </w:tc>
      </w:t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Value Per Share</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January 1, 2019</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Granted</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70,360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168.10</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June 29, 2019</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70,360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168.10</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During the three months ended June 29, 2019 and June 30, 2018, the Company recorded in aggregate $89,000 and $0, respectively, of share-based compensation expense related to RSUs granted to employees. During the six months ended June 29, 2019 and June 30, 2018, the Company recorded 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33"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aggregate $89,000 and $0, respectively, of share-based compensation expense related to RSUs granted to employees. The share-based compensation expense is included in cost of goods sold and SG&amp;A expenses in the Company’s condensed statements of operations.</w:t>
      </w:r>
    </w:p>
    <w:p>
      <w:pPr>
        <w:spacing w:after="0" w:line="12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As of June 29, 2019 and December 31, 2018, there was $2.9 million and $0 in unrecognized compensation expense related to nonvested RSUs which is expected to be recognized over 3.9 years.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will be released from the repurchase option by May 18, 2021).</w:t>
      </w:r>
    </w:p>
    <w:p>
      <w:pPr>
        <w:spacing w:after="0" w:line="1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 during the six months ended June 29,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w w:val="99"/>
              </w:rPr>
              <w:t>Fair Value</w:t>
            </w:r>
          </w:p>
        </w:tc>
      </w:tr>
      <w:tr>
        <w:trPr>
          <w:trHeight w:val="228"/>
        </w:trPr>
        <w:tc>
          <w:tcPr>
            <w:tcW w:w="64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 2018</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100,127</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99,433</w:t>
            </w:r>
          </w:p>
        </w:tc>
        <w:tc>
          <w:tcPr>
            <w:tcW w:w="1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(35,667)</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Unvested at June 29, 2019</w:t>
            </w: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163,893</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19.46</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As of June 29, 2019, 140,560 shares of restricted stock had been purchased by nonemployee brand ambassadors which remained subject to vesting requirements and repurchase pursuant to restricted stock purchase agreements.</w:t>
      </w:r>
    </w:p>
    <w:p>
      <w:pPr>
        <w:spacing w:after="0" w:line="142"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During the three and six months ended June 29, 2019, the Company recorded in aggregate $0.5 million and $0.8 million, respectively, of share-based compensation expense related to restricted stock issued to nonemployee brand ambassadors, which is included in SG&amp;A expenses in the Company’s condensed statements of operations. During the three and six months ended June 30, 2018, the Company recorded no share-based compensation expense related to restricted stock issued to nonemployee brand ambassadors.</w:t>
      </w:r>
    </w:p>
    <w:p>
      <w:pPr>
        <w:spacing w:after="0" w:line="150"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As of June 29, 2019, there was $3.0 million in unrecognized compensation expense related to nonvested restricted stock, which is expected to be recognized over 1.8 years.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333"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The Company has reserved 804,195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 of the shares of common stock outstanding on the last day of the prior fiscal year; or (iii) such lesser number of shares determined by the Company’s Board of Directors.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Effective March 1, 2019, the Company entered into a lease for its principal executive offices in El Segundo, California, for an initial term of 5 years. The aggregate lease amount for the five-year term is $2.7 million. The future minimum lease payments required under noncancelable lease obligations related to this lease are $2.6 million due through 2023 (approximately $0.5 million annually) and $0.1 million thereafter.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the Company had committed to purchase pea protein inventory totaling $28.4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 xml:space="preserve">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 dated December 2, 2014 between the Company and the former co-manufacturer, pursuant to its terms (see </w:t>
      </w:r>
      <w:r>
        <w:rPr>
          <w:rFonts w:ascii="Arial" w:cs="Arial" w:eastAsia="Arial" w:hAnsi="Arial"/>
          <w:sz w:val="18"/>
          <w:szCs w:val="18"/>
          <w:u w:val="single" w:color="auto"/>
          <w:color w:val="0000EE"/>
        </w:rPr>
        <w:t>Note 3</w:t>
      </w:r>
      <w:r>
        <w:rPr>
          <w:rFonts w:ascii="Arial" w:cs="Arial" w:eastAsia="Arial" w:hAnsi="Arial"/>
          <w:sz w:val="18"/>
          <w:szCs w:val="18"/>
          <w:color w:val="auto"/>
        </w:rPr>
        <w:t>). The Company denies these claims, filed counter-claims on July 27, 2017, alleging</w:t>
      </w:r>
    </w:p>
    <w:p>
      <w:pPr>
        <w:spacing w:after="0" w:line="2" w:lineRule="exact"/>
        <w:rPr>
          <w:sz w:val="20"/>
          <w:szCs w:val="20"/>
          <w:color w:val="auto"/>
        </w:rPr>
      </w:pPr>
    </w:p>
    <w:p>
      <w:pPr>
        <w:ind w:right="60" w:firstLine="8"/>
        <w:spacing w:after="0" w:line="262" w:lineRule="auto"/>
        <w:tabs>
          <w:tab w:leader="none" w:pos="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breach of contract, (2) unfair competition under California Business &amp; Professions Code Section 17200 Et. Seq., and (3) conversion, and is in the process of litigating this matter.</w:t>
      </w:r>
    </w:p>
    <w:p>
      <w:pPr>
        <w:spacing w:after="0" w:line="14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the former co-manufacturer’s claims.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333" w:right="2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For the six months ended June 29, 2019 and June 30, 2018, the Company recorded $21,000 and $0 in income tax expense in its condensed statements of operations.</w:t>
      </w:r>
    </w:p>
    <w:p>
      <w:pPr>
        <w:spacing w:after="0" w:line="14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52"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As of June 29, 2019,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convertible preferred stock issued and outstanding prior to the IPO to be participating securities. Under the two-class method, the net loss attributable to common stockholders is not allocated to the convertible preferred stock as the holders of convertible preferred stock issued and outstanding prior to the IPO do not have a contractual obligation to share in losses.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For purposes of this calculation, options to purchase common stock, RSUs, common stock warrants and securities such as convertible preferred stock and convertible preferred stock warrants that were issued and outstanding before the Company’s IPO,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 At June 29, 2019 and June 30, 2018, 6,559,565 shares and 5,296,339 shares, respectively, were excluded from the dilution calculation because their inclusion would have been antidilutive.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333" w:right="2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30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r>
      <w:tr>
        <w:trPr>
          <w:trHeight w:val="180"/>
        </w:trPr>
        <w:tc>
          <w:tcPr>
            <w:tcW w:w="466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 except share and per share amounts)</w:t>
            </w:r>
          </w:p>
        </w:tc>
        <w:tc>
          <w:tcPr>
            <w:tcW w:w="32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97"/>
        </w:trPr>
        <w:tc>
          <w:tcPr>
            <w:tcW w:w="46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(13,092)</w:t>
            </w:r>
          </w:p>
        </w:tc>
      </w:tr>
      <w:tr>
        <w:trPr>
          <w:trHeight w:val="251"/>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3"/>
        </w:trPr>
        <w:tc>
          <w:tcPr>
            <w:tcW w:w="46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39,081,359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6,072,319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23,206,203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5,933,806</w:t>
            </w:r>
          </w:p>
        </w:tc>
      </w:tr>
      <w:tr>
        <w:trPr>
          <w:trHeight w:val="235"/>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Dilutive effect of stock equivalents resulting from stock</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3"/>
        </w:trPr>
        <w:tc>
          <w:tcPr>
            <w:tcW w:w="4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RSUs, common stock warrants, preferred</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warrants and convertible preferred stock (as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4"/>
        </w:trPr>
        <w:tc>
          <w:tcPr>
            <w:tcW w:w="4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converted)</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6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39,081,359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6,072,319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23,206,203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5,933,806</w:t>
            </w:r>
          </w:p>
        </w:tc>
      </w:tr>
      <w:tr>
        <w:trPr>
          <w:trHeight w:val="237"/>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999"/>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F-23</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89" w:name="page190"/>
    <w:bookmarkEnd w:id="189"/>
    <w:p>
      <w:pPr>
        <w:ind w:right="2660" w:firstLine="2661"/>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Beyond Meat, Inc.: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audited the accompanying balance sheets of Beyond Meat, Inc. (the "Company") as of December 31, 2018 and 2017, the related statements of operations, convertible preferred stock and stockholders’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8"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97"/>
        </w:trPr>
        <w:tc>
          <w:tcPr>
            <w:tcW w:w="8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12,626</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8,144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r>
      <w:tr>
        <w:trPr>
          <w:trHeight w:val="26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w:t>
            </w:r>
          </w:p>
        </w:tc>
      </w:tr>
      <w:tr>
        <w:trPr>
          <w:trHeight w:val="25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51,969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102,826</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98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14,118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30,527</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80"/>
        </w:trPr>
        <w:tc>
          <w:tcPr>
            <w:tcW w:w="81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66,463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Deficit:</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17,247</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Current portion of bank term loan and other short-term debt</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capital lease liabilities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Stock warrant liability</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1,918</w:t>
            </w:r>
          </w:p>
        </w:tc>
      </w:tr>
      <w:tr>
        <w:trPr>
          <w:trHeight w:val="257"/>
        </w:trPr>
        <w:tc>
          <w:tcPr>
            <w:tcW w:w="8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12,150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25,167</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Promissory note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19,388</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Equipment loan</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3"/>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50"/>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360"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97"/>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A convertible preferred stock, par value $0.0001 per share—3,333,500 shares authorized; 3,333,500</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B convertible preferred stock, par value $0.0001 per share—4,802,260 shares authorized; 4,680,565</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C convertible preferred stock, par value $0.0001 per share—8,076,643 shares authorized; 8,076,636</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14,882</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 par value $0.0001 per share—8,713,207 shares authorized; 8,713,201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24,948</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E convertible preferred stock, par value $0.0001 per share—4,740,531 shares authorized; 4,701,449</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17,214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17,214</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F convertible preferred stock, par value $0.0001 per share—4,866,776 shares authorized;4,866,758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respectively; proforma: no shares issued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29,840</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G convertible preferred stock, par value $0.0001 per share—5,140,257 shares authorized; 4,989,102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5,114,786 shares issued and outstanding as of December 31, 2017 and 2018, respectively; proforma: no</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54,311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55,658</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H convertible preferred stock, par value $0.0001 per share—4,209,693 shares authorized; no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issued and outstanding, 2,075,216 shares issued and outstanding as of December 31, 2017 and 2018,</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respectively; proforma: no shares issued and outstanding as of December 31, 2018 (unaudited)</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share—52,002,600 and 58,669,600 shares authorized at December 31,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2017 and 2018, respectively; 5,724,506 and 6,951,350 shares issued and outstanding at December 31, 2017</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2018, respectively; pro forma: 500,000,000 shares authorized; 48,635,155 shares issued and outstanding</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7,921</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to related parties for purchase of stock</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(deficit)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(95,913)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(121,750)</w:t>
            </w:r>
          </w:p>
        </w:tc>
      </w:tr>
      <w:tr>
        <w:trPr>
          <w:trHeight w:val="240"/>
        </w:trPr>
        <w:tc>
          <w:tcPr>
            <w:tcW w:w="8120" w:type="dxa"/>
            <w:vAlign w:val="bottom"/>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66,463</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554" w:right="239" w:bottom="1440" w:gutter="0" w:footer="0" w:header="0"/>
        </w:sectPr>
      </w:pPr>
    </w:p>
    <w:bookmarkStart w:id="192" w:name="page193"/>
    <w:bookmarkEnd w:id="192"/>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87,934</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70,360</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17,574</w:t>
            </w: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34,461</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26,374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45,563</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r>
      <w:tr>
        <w:trPr>
          <w:trHeight w:val="324"/>
        </w:trPr>
        <w:tc>
          <w:tcPr>
            <w:tcW w:w="6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(29,885)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r>
      <w:tr>
        <w:trPr>
          <w:trHeight w:val="23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60" w:right="239" w:bottom="1440" w:gutter="0" w:footer="0" w:header="0"/>
        </w:sectPr>
      </w:pPr>
    </w:p>
    <w:bookmarkStart w:id="193" w:name="page194"/>
    <w:bookmarkEnd w:id="193"/>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240" w:type="dxa"/>
            <w:vAlign w:val="bottom"/>
            <w:tcBorders>
              <w:right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60" w:type="dxa"/>
            <w:vAlign w:val="bottom"/>
          </w:tcPr>
          <w:p>
            <w:pPr>
              <w:spacing w:after="0"/>
              <w:rPr>
                <w:sz w:val="22"/>
                <w:szCs w:val="2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29,423,830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63,746</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4,484,451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(42,843)</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(25,149)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793,854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Series F preferred stock</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(inclusive of $211 adjustment upon</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conversion)</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681,164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4,211</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E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$3</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81,521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of issuance costs of $241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4,169,426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25,550</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34,355,941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93,804</w:t>
            </w:r>
          </w:p>
        </w:tc>
        <w:tc>
          <w:tcPr>
            <w:tcW w:w="14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5,278,305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3,779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(66,573)</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446,201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340"/>
              <w:spacing w:after="0" w:line="135" w:lineRule="exact"/>
              <w:rPr>
                <w:sz w:val="20"/>
                <w:szCs w:val="20"/>
                <w:color w:val="auto"/>
              </w:rPr>
            </w:pPr>
            <w:r>
              <w:rPr>
                <w:rFonts w:ascii="Arial" w:cs="Arial" w:eastAsia="Arial" w:hAnsi="Arial"/>
                <w:sz w:val="13"/>
                <w:szCs w:val="13"/>
                <w:color w:val="auto"/>
              </w:rPr>
              <w:t>issuance of Series G preferred stock</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340"/>
              <w:spacing w:after="0" w:line="135" w:lineRule="exact"/>
              <w:rPr>
                <w:sz w:val="20"/>
                <w:szCs w:val="20"/>
                <w:color w:val="auto"/>
              </w:rPr>
            </w:pPr>
            <w:r>
              <w:rPr>
                <w:rFonts w:ascii="Arial" w:cs="Arial" w:eastAsia="Arial" w:hAnsi="Arial"/>
                <w:sz w:val="13"/>
                <w:szCs w:val="13"/>
                <w:color w:val="auto"/>
              </w:rPr>
              <w:t>(inclusive of $1,123 adjustment upon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conversion)</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1,026,367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11,123</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of issuance costs of $21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$267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3,962,735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43,188</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49"/>
        </w:trPr>
        <w:tc>
          <w:tcPr>
            <w:tcW w:w="25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(29,886)</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1,139,962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(48,909)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Grant of restricted stock</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135,791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Payoff of promissory note receivable for</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restricted stock purchase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$27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125,684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Issuance of Series H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issuance costs of $284</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2,075,216</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49,999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5"/>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7,921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(129,672)</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360"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(25,149)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(30,384)</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(29,886)</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4,921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expenses related to convertible note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preferred and common stock warrant liabilities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Restructuring loss on write-off of fixed assets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Accounts receivables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(9,045)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10,455</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3,798</w:t>
            </w:r>
          </w:p>
        </w:tc>
      </w:tr>
      <w:tr>
        <w:trPr>
          <w:trHeight w:val="273"/>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(37,721)</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used in investing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(22,228)</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 held for sale</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(1,022)</w:t>
            </w:r>
          </w:p>
        </w:tc>
      </w:tr>
      <w:tr>
        <w:trPr>
          <w:trHeight w:val="273"/>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of security deposits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(23,242)</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H preferred stock offering, net of offering costs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G preferred stock offering, net of offering costs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51"/>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F preferred stock offering, net of offering costs</w:t>
            </w: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60"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E preferred stock offering, net of offering costs</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convertible note issuance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payoff of notes receivable for restricted stock purchase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revolving credit line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bank term loan borrowing</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equipment loan borrowing</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on revolving credit line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Repayment on term loan</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Missouri Note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Payments of capital lease obligations</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restricted stock</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offering costs</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Debt issuance costs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73"/>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for repurchase of common stock</w:t>
            </w:r>
          </w:p>
        </w:tc>
        <w:tc>
          <w:tcPr>
            <w:tcW w:w="1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76,199</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3,381</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22,037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at the beginning of the period</w:t>
            </w: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39,035</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16,998</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during the period for:</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Interest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Non-cash investing and financing activities:</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lease obligations for the purchase of property, plant and equipment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Issuance of convertible preferred stock warrants in connection with debt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 warrants in connection with debt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Non-cash additions to property, plant and equipment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offering costs, accrued not yet paid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27"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5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located in El Segundo, California. In addition to its own production facilities, the Company uses co-manufacturers in various locations in the United States to manufacture its products.</w:t>
      </w:r>
    </w:p>
    <w:p>
      <w:pPr>
        <w:spacing w:after="0" w:line="14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7, 2018, the Company changed its name from Savage River, Inc. to Beyond Meat,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financial statements have been prepared by the Company in accordance with accounting principles generally accepted in the United States of America or US GAAP.</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Actual results could differ from those estimates and such differences may be material to the financial statements. Significant accounting estimates made by the Company include trade promotion accruals; useful lives of property, plant and equipment; valuation of deferred taxes; valuation of inventory; and the valuation of the fair value of common stock and preferred stock used to determine stock compensation expense and in the remeasurement of warrants and liabilities.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60"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financial statements and related notes to the number of shares of common stock, convertible preferred stock, warrants and options to purchase common stock and per share data have been revised on a retroactive basis for all periods presented to reflect the effect of the reverse stock split.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$ 250,000. The Company considers all highly liquid investments with original maturity dates of 90 days or less to be cash equivalents. Prior to 2018, the Company did not hold any cash equivalents.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 on the Company’s history of write-offs, level of past due accounts, and relationships with and economic status of the Company’s distributors or customers. The Company had no allowance for doubtful accounts as of December 31, 2017 or 2018.</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demand, and the age of the inventory, among other factors.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Shorter of lease term or estimated useful life</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100" w:type="dxa"/>
            <w:vAlign w:val="bottom"/>
          </w:tcPr>
          <w:p>
            <w:pPr>
              <w:ind w:left="1200"/>
              <w:spacing w:after="0"/>
              <w:rPr>
                <w:sz w:val="20"/>
                <w:szCs w:val="20"/>
                <w:color w:val="auto"/>
              </w:rPr>
            </w:pPr>
            <w:r>
              <w:rPr>
                <w:rFonts w:ascii="Arial" w:cs="Arial" w:eastAsia="Arial" w:hAnsi="Arial"/>
                <w:sz w:val="18"/>
                <w:szCs w:val="18"/>
                <w:color w:val="auto"/>
              </w:rPr>
              <w:t>3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5 to 10 years</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Research and development equipment</w:t>
            </w:r>
          </w:p>
        </w:tc>
        <w:tc>
          <w:tcPr>
            <w:tcW w:w="7100" w:type="dxa"/>
            <w:vAlign w:val="bottom"/>
          </w:tcPr>
          <w:p>
            <w:pPr>
              <w:ind w:left="1200"/>
              <w:spacing w:after="0"/>
              <w:rPr>
                <w:sz w:val="20"/>
                <w:szCs w:val="20"/>
                <w:color w:val="auto"/>
              </w:rPr>
            </w:pPr>
            <w:r>
              <w:rPr>
                <w:rFonts w:ascii="Arial" w:cs="Arial" w:eastAsia="Arial" w:hAnsi="Arial"/>
                <w:sz w:val="18"/>
                <w:szCs w:val="18"/>
                <w:color w:val="auto"/>
              </w:rPr>
              <w:t>5 to 10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 years</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Vehicles</w:t>
            </w:r>
          </w:p>
        </w:tc>
        <w:tc>
          <w:tcPr>
            <w:tcW w:w="7100" w:type="dxa"/>
            <w:vAlign w:val="bottom"/>
          </w:tcPr>
          <w:p>
            <w:pPr>
              <w:ind w:left="1200"/>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333"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spacing w:after="0" w:line="262" w:lineRule="auto"/>
        <w:rPr>
          <w:rFonts w:ascii="Arial" w:cs="Arial" w:eastAsia="Arial" w:hAnsi="Arial"/>
          <w:sz w:val="18"/>
          <w:szCs w:val="18"/>
          <w:color w:val="0000EE"/>
        </w:rPr>
      </w:pPr>
      <w:r>
        <w:rPr>
          <w:rFonts w:ascii="Arial" w:cs="Arial" w:eastAsia="Arial" w:hAnsi="Arial"/>
          <w:sz w:val="18"/>
          <w:szCs w:val="18"/>
          <w:color w:val="auto"/>
        </w:rPr>
        <w:t xml:space="preserve">disposal is included in loss from operations. Expenditures for repairs and maintenance are charged directly to expense when incurred. See </w:t>
      </w:r>
      <w:hyperlink w:anchor="page208">
        <w:r>
          <w:rPr>
            <w:rFonts w:ascii="Arial" w:cs="Arial" w:eastAsia="Arial" w:hAnsi="Arial"/>
            <w:sz w:val="18"/>
            <w:szCs w:val="18"/>
            <w:u w:val="single" w:color="auto"/>
            <w:color w:val="0000EE"/>
          </w:rPr>
          <w:t>Note 5</w:t>
        </w:r>
      </w:hyperlink>
      <w:r>
        <w:rPr>
          <w:rFonts w:ascii="Arial" w:cs="Arial" w:eastAsia="Arial" w:hAnsi="Arial"/>
          <w:sz w:val="18"/>
          <w:szCs w:val="18"/>
          <w:color w:val="000000"/>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right="20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Other than the write off of certain property, plant and equipment in connection with the restructuring efforts disclosed in </w:t>
      </w:r>
      <w:hyperlink w:anchor="page206">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concluded that no long-lived assets were impaired during the fiscal years ended December 31, 2016, 2017 and 2018.</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Deferred offering costs, consisting primarily of legal, accounting, printing and filing services, and other direct fees and costs related to the proposed initial public offering, are capitalized. The deferred offering costs will be offset against proceeds from the planned initial public offering upon the closing of the offering. In the event the planned offering is terminated, all deferred offering costs will be expensed. As of December 31, 2018, $3.2 million of deferred offering costs have been recorded in prepaid expenses and other current assets. There were no deferred offering costs prior to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 remeasurement at each balance sheet date. Any change in fair value is recognized in the statements of operations in other expense. The Company will continue to adjust the warrant liability for changes in fair value until the earlier of the exercise of the warrants, the completion of a deemed liquidation event, or the conversion of convertible preferred stock into common stock.</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52" w:lineRule="exact"/>
        <w:rPr>
          <w:sz w:val="20"/>
          <w:szCs w:val="20"/>
          <w:color w:val="auto"/>
        </w:rPr>
      </w:pPr>
    </w:p>
    <w:p>
      <w:pPr>
        <w:ind w:right="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hyperlink w:anchor="page220">
        <w:r>
          <w:rPr>
            <w:rFonts w:ascii="Arial" w:cs="Arial" w:eastAsia="Arial" w:hAnsi="Arial"/>
            <w:sz w:val="18"/>
            <w:szCs w:val="18"/>
            <w:u w:val="single" w:color="auto"/>
            <w:color w:val="0000EE"/>
          </w:rPr>
          <w:t>Note 10</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333"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jc w:val="both"/>
        <w:ind w:left="660" w:right="120" w:hanging="328"/>
        <w:spacing w:after="0" w:line="266" w:lineRule="auto"/>
        <w:tabs>
          <w:tab w:leader="none" w:pos="66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2" w:lineRule="exact"/>
        <w:rPr>
          <w:rFonts w:ascii="Arial" w:cs="Arial" w:eastAsia="Arial" w:hAnsi="Arial"/>
          <w:sz w:val="18"/>
          <w:szCs w:val="18"/>
          <w:i w:val="1"/>
          <w:iCs w:val="1"/>
          <w:color w:val="auto"/>
        </w:rPr>
      </w:pPr>
    </w:p>
    <w:p>
      <w:pPr>
        <w:ind w:left="660" w:right="220" w:hanging="328"/>
        <w:spacing w:after="0" w:line="282" w:lineRule="auto"/>
        <w:tabs>
          <w:tab w:leader="none" w:pos="66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i w:val="1"/>
          <w:iCs w:val="1"/>
          <w:color w:val="auto"/>
        </w:rPr>
      </w:pPr>
    </w:p>
    <w:p>
      <w:pPr>
        <w:ind w:left="660" w:hanging="328"/>
        <w:spacing w:after="0"/>
        <w:tabs>
          <w:tab w:leader="none" w:pos="66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Company’s financial instruments include cash equivalents, accounts receivable, accounts payable, accrued expenses, and short-term debt for which the carrying amounts approximate fair value due to the short-term maturity of these financial instruments. Based on the borrowing rates currently available to the Company for debt with similar terms, the carrying value of the line of credit and term debt with its bank approximate fair value as well. The fair value of long-term promissory note debt at December 31, 2017 was $1.48 million, as determined using the estimated net present value of expected future cash flows reflecting the Company’s own assumptions (Level 3). The long-term promissory note debt was paid off as of December 31, 2018.</w:t>
      </w:r>
    </w:p>
    <w:p>
      <w:pPr>
        <w:spacing w:after="0" w:line="155"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The following table sets forth our financial instruments that were measured at fair value on a recurring basis based on the fair value hierarchy:</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40" w:firstLine="324"/>
        <w:spacing w:after="0" w:line="262"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for 2017 and 2018. The key assumptions used in the Black-Scholes option-pricing model for the valuation of the preferred stock warrant liability upon remeasurement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4020" w:type="dxa"/>
            <w:vAlign w:val="bottom"/>
          </w:tcPr>
          <w:p>
            <w:pPr>
              <w:spacing w:after="0"/>
              <w:rPr>
                <w:sz w:val="22"/>
                <w:szCs w:val="22"/>
                <w:color w:val="auto"/>
              </w:rPr>
            </w:pPr>
          </w:p>
        </w:tc>
        <w:tc>
          <w:tcPr>
            <w:tcW w:w="3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57"/>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Fair value of underlying shares</w:t>
            </w:r>
          </w:p>
        </w:tc>
        <w:tc>
          <w:tcPr>
            <w:tcW w:w="32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19.02</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621"/>
        </w:trPr>
        <w:tc>
          <w:tcPr>
            <w:tcW w:w="4020" w:type="dxa"/>
            <w:vAlign w:val="bottom"/>
          </w:tcPr>
          <w:p>
            <w:pPr>
              <w:spacing w:after="0"/>
              <w:rPr>
                <w:sz w:val="24"/>
                <w:szCs w:val="24"/>
                <w:color w:val="auto"/>
              </w:rPr>
            </w:pPr>
          </w:p>
        </w:tc>
        <w:tc>
          <w:tcPr>
            <w:tcW w:w="3260" w:type="dxa"/>
            <w:vAlign w:val="bottom"/>
            <w:gridSpan w:val="2"/>
          </w:tcPr>
          <w:p>
            <w:pPr>
              <w:jc w:val="right"/>
              <w:ind w:right="1380"/>
              <w:spacing w:after="0"/>
              <w:rPr>
                <w:sz w:val="20"/>
                <w:szCs w:val="20"/>
                <w:color w:val="auto"/>
              </w:rPr>
            </w:pPr>
            <w:r>
              <w:rPr>
                <w:rFonts w:ascii="Arial" w:cs="Arial" w:eastAsia="Arial" w:hAnsi="Arial"/>
                <w:sz w:val="18"/>
                <w:szCs w:val="18"/>
                <w:color w:val="auto"/>
              </w:rPr>
              <w:t>F-34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Generally, increases or decreases in the fair value of the underlying convertible preferred stock would result in a directionally similar impact in the fair value measurement of the associated warrant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10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leases certain equipment used in the research and development and operations under both capital and operating lease agreements. An asset and a corresponding liability for the capital lease obligations are established for the cost of a capital lease. Capital lease assets are included in property, plant and equipment—net in the Company’s balance sheets. Operating lease costs are recognized as rent expense on a straight-line basis over the applicable lease terms. See </w:t>
      </w:r>
      <w:hyperlink w:anchor="page219">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4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hyperlink w:anchor="page219">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recognizes revenues when realized or realizable and earned. Revenue transactions represent sales of inventory. Revenue is recognized upon the transfer of the title to the product, ownership, and risk of loss to the customer, which typically occurs on the date of receipt of the product by the customer. 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33"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revenues by platform and channel are included in the tables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Fresh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18,109</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81,686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Frozen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15,896</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24"/>
                <w:szCs w:val="24"/>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25,490</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50,779</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37,155</w:t>
            </w:r>
          </w:p>
        </w:tc>
      </w:tr>
      <w:tr>
        <w:trPr>
          <w:trHeight w:val="257"/>
        </w:trPr>
        <w:tc>
          <w:tcPr>
            <w:tcW w:w="40" w:type="dxa"/>
            <w:vAlign w:val="bottom"/>
          </w:tcPr>
          <w:p>
            <w:pPr>
              <w:spacing w:after="0"/>
              <w:rPr>
                <w:sz w:val="22"/>
                <w:szCs w:val="22"/>
                <w:color w:val="auto"/>
              </w:rPr>
            </w:pPr>
          </w:p>
        </w:tc>
        <w:tc>
          <w:tcPr>
            <w:tcW w:w="6340" w:type="dxa"/>
            <w:vAlign w:val="bottom"/>
            <w:gridSpan w:val="2"/>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Three distributors accounted for approximately 31%, 16% and 12%, respectively, of our revenues in 2016; 38%, 10% and 10%, respectively, of our revenues in 2017; and 32%, 21% and 13%, respectively, of our revenues in 2018, which were primarily related to sales in the United States and Canada. In 2017, one customer accounted for 10% of our revenues. No other customer accounted for more than 10% of our revenues in 2016 or 2018. Approximately 7% of our net revenues in 2018 was from international sales. International sales in prior years were immaterial.</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18"/>
          <w:szCs w:val="18"/>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w:t>
      </w:r>
    </w:p>
    <w:p>
      <w:pPr>
        <w:spacing w:after="0" w:line="1" w:lineRule="exact"/>
        <w:rPr>
          <w:sz w:val="20"/>
          <w:szCs w:val="20"/>
          <w:color w:val="auto"/>
        </w:rPr>
      </w:pPr>
    </w:p>
    <w:p>
      <w:pPr>
        <w:ind w:right="5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Such potential common shares include options, warrants and convertible preferred stock. In periods when the Company records net loss, potential common shares are excluded in the computation of EPS because their inclusion would be anti-dilutive. See </w:t>
      </w:r>
      <w:hyperlink w:anchor="page223">
        <w:r>
          <w:rPr>
            <w:rFonts w:ascii="Arial" w:cs="Arial" w:eastAsia="Arial" w:hAnsi="Arial"/>
            <w:sz w:val="18"/>
            <w:szCs w:val="18"/>
            <w:u w:val="single" w:color="auto"/>
            <w:color w:val="0000EE"/>
          </w:rPr>
          <w:t>Note 11</w:t>
        </w:r>
      </w:hyperlink>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primarily include prepaid rent and insurance, which are expensed in the period to which they relate.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Selling, general and administrative or SG&amp;A expenses are primarily comprised of marketing expenses, selling expenses, administrative expenses, depreciation and amortization expense on non-manufacturing assets, and other miscellaneous operating items. Included in SG&amp;A expenses are advertising costs, and out-bound shipping and handling costs which are charged to expense as incurred. Advertising costs in the years ended December 31, 2016, 2017 and 2018 were $15,000, $0.3 million and $62,000, respectively. Non-advertising related components of the Company’s total marketing expenditures include costs associated with consumer promotions, product sampling, and sales aids, which are also included in SG&amp;A. SG&amp;A expenses in the year ended December 31, 2016 include $2.9 million in costs to transition certain manufacturing and packaging operations from the Company’s existing manufacturing facility in Columbia, Missouri to a co-packer.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333"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are considered as fulfillment costs and are recorded in SG&amp;A expenses. Outbound shipping and handling costs in the years ended December 31, 2016, 2017 and 2018 were $1.4 million, $3.4 million and $6.1 million, respectively. Outbound shipping and handling costs in the year ended December 31, 2017 included $0.8 million related to the termination of the exclusive supply agreement with a co-manufacturer.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Research and development costs, which includes research for the Beyond Burger, our flagship product that we launched in May 2016, enhancements to existing products and new product development, are expensed in the period incurred. Research and development expenses in the years ended December 31, 2016, 2017 and 2018, were $5.8 million, $5.7 million and $9.6 million, respectively.</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on a straight line-basis in its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58" w:lineRule="exact"/>
        <w:rPr>
          <w:sz w:val="20"/>
          <w:szCs w:val="20"/>
          <w:color w:val="auto"/>
        </w:rPr>
      </w:pPr>
    </w:p>
    <w:p>
      <w:pPr>
        <w:ind w:right="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hyperlink w:anchor="page215">
        <w:r>
          <w:rPr>
            <w:rFonts w:ascii="Arial" w:cs="Arial" w:eastAsia="Arial" w:hAnsi="Arial"/>
            <w:sz w:val="18"/>
            <w:szCs w:val="18"/>
            <w:u w:val="single" w:color="auto"/>
            <w:color w:val="0000EE"/>
          </w:rPr>
          <w:t>Note 8</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On January 1, 2017 the Company initiated a 401(k) retirement saving plan for the benefit of eligible employees. Under terms of this plan, eligible employees are able to make contributions of their wages on a tax-deferred basis. The Company is authorized to, but has not made matching contributions.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75"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color w:val="auto"/>
        </w:rPr>
        <w:t xml:space="preserve">The Company accounts for exit or disposal of activities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The Company defines a business restructuring as an exit or disposal activity that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333" w:right="2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spacing w:after="0" w:line="148" w:lineRule="exact"/>
        <w:rPr>
          <w:sz w:val="20"/>
          <w:szCs w:val="20"/>
          <w:color w:val="auto"/>
        </w:rPr>
      </w:pPr>
    </w:p>
    <w:p>
      <w:pPr>
        <w:jc w:val="both"/>
        <w:ind w:right="1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page206">
        <w:r>
          <w:rPr>
            <w:rFonts w:ascii="Arial" w:cs="Arial" w:eastAsia="Arial" w:hAnsi="Arial"/>
            <w:sz w:val="18"/>
            <w:szCs w:val="18"/>
            <w:u w:val="single" w:color="auto"/>
            <w:color w:val="0000EE"/>
          </w:rPr>
          <w:t>Note 3</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Pursuant to the consulting agreement, the Company will pay Mr. Goldman $14,585.33 per month for services rendered under the consulting agreement. The consulting agreement may be terminated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our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2018 the Company incurred consulting costs payable to a company associated with Donald Thompson, a member of the Company’s Board of Directors, in the amount of $121,546.</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In connection with the issuance of restricted stock and for value received, in December 2015, the nonemployee members of our Board of Directors entered into a promissory note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2018. See </w:t>
      </w:r>
      <w:r>
        <w:rPr>
          <w:rFonts w:ascii="Arial" w:cs="Arial" w:eastAsia="Arial" w:hAnsi="Arial"/>
          <w:sz w:val="18"/>
          <w:szCs w:val="18"/>
          <w:u w:val="single" w:color="auto"/>
          <w:color w:val="0000EE"/>
        </w:rPr>
        <w:t>Note 12</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333"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March 2016, the FASB issued ASU No. 2016-09, “Compensation—Stock Compensation (Topic 718): Improvements to Employee Share-Based Payment Accounting” or ASU 2016-09. ASU 2016-09 simplifies certain aspects of accounting for share-based payment transactions, including the income tax consequences, classification of awards as either equity or liabilities, and an option to recognize gross stock compensation expense with actual forfeitures recognized as they occur, as well as certain classifications in the statements of cash flows. ASU 2016-09 is effective for all entities other than public business entities for fiscal years beginning after December 15, 2017, and therefore, effective for the Company for the fiscal year ending December 31, 2018. Early adoption is permitted. The Company adopted ASU 2016-09 beginning January 1, 2018. Adoption of ASU 2016-09 did not have a material impact on the Company’s financial position, results of operations, or cash flows.</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or ASU 2017-09. ASU 2017-09 amends the scope of modification accounting for share-based payment arrangements and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ASU 2017-09 is effective for all entities for annual periods, and interim periods within those annual periods, beginning after December 15, 2017 with early adoption permitted. The Company adopted ASU 2017-09 beginning January 1, 2018. Adoption of ASU 2017-09 did not have a material impact on the Company’s financial position, results of operations, or cash flows.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or ASU 2014-09, which, along with subsequent ASUs, amends the existing accounting standards for revenue recognition. This guidance is based on principles that govern the recognition of revenue at an amount an entity expects to be entitled to receive when products are transferred to customers. ASU 2014-09 is effective for annual reporting periods beginning after December 15, 2017, including interim periods within that reporting period for public business entities, and for annual reporting periods beginning after December 15, 2018 for business entities that are not public. ASU 2014-09 is effective for the Company beginning January 1, 2019. ASU 2014-09 may be applied retrospectively to each prior period presented or retrospectively with the cumulative effect recognized as of the date of adoption. Additionally, ASU 2014-09 requires enhanced disclosures, including revenue recognition policies to identify performance obligations to customers and significant judgments in measurement and recognition. The Company is currently in the process of assessing its adoption methodology for ASU 2014-09 and expects to use the modified retrospective method.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currently determined that the adoption of ASU 2014-09 will not have a material impact on our financial position, results of operations, or cash flows. The Company will adopt and implement ASU 2014-09 effective January 1, 2019.</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333" w:right="2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or ASU 2016-01, which makes amendments to the guidance in U.S.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5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August 2016, the FASB issued ASU No. 2016-15, “Statements of Cash Flows (Topic 230) Classification of Certain Cash Receipts and Cash Payments” or ASU 2016-15, which addresses eight specific cash flow issues with the objective of reducing the existing diversity in practice in how certain cash receipts and cash payments are presented and classified in the statements of cash flows. ASU 2016-15 is effective for annual periods (including interim periods) beginning after December 15, 2018 for business entities that are not public, should be applied retrospectively, and early adoption is permitted. The Company is currently evaluating the impact that will result from adopting ASU 2016-15 on its cash flows.</w:t>
      </w:r>
    </w:p>
    <w:p>
      <w:pPr>
        <w:spacing w:after="0" w:line="155"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 years beginning after December 15, 2020. ASU 2018-07 is effective for the Company beginning January 1, 2020. Early adoption is permitted, but no earlier than the Company’s adoption date of Topic 606.</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Subsequent events have been evaluated through March 27, 2019, which is the date the annual financial statements were available to be issued.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2017, management approved a plan to terminate its exclusive supply agreement or Agreement with one of its co-manufacturers, due to non-performance under the Agreement and on May 23, 2017, the Company notified the co-manufacturer of its decision to terminate the Agreement. In accordance with the Company’s policy of reviewing long-lived assets for impairment whenever events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333"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changes in circumstances indicate that the carrying amount of such assets may not be recoverable, the Company determined that as of</w:t>
      </w:r>
    </w:p>
    <w:p>
      <w:pPr>
        <w:spacing w:after="0" w:line="9" w:lineRule="exact"/>
        <w:rPr>
          <w:sz w:val="20"/>
          <w:szCs w:val="20"/>
          <w:color w:val="auto"/>
        </w:rPr>
      </w:pPr>
    </w:p>
    <w:p>
      <w:pPr>
        <w:ind w:right="6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May 23, 2017, the date the Company notified the co-manufacturer of its decision to terminate the Agreement, the assets held in possession of the co-manufacturer were no longer recoverable. The Company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$ 1.2 million was primarily related to legal and other expenses associated with the dispute with the co-manufacturer (see </w:t>
      </w:r>
      <w:hyperlink w:anchor="page219">
        <w:r>
          <w:rPr>
            <w:rFonts w:ascii="Arial" w:cs="Arial" w:eastAsia="Arial" w:hAnsi="Arial"/>
            <w:sz w:val="18"/>
            <w:szCs w:val="18"/>
            <w:u w:val="single" w:color="auto"/>
            <w:color w:val="0000EE"/>
          </w:rPr>
          <w:t>Note 9</w:t>
        </w:r>
      </w:hyperlink>
      <w:r>
        <w:rPr>
          <w:rFonts w:ascii="Arial" w:cs="Arial" w:eastAsia="Arial" w:hAnsi="Arial"/>
          <w:sz w:val="18"/>
          <w:szCs w:val="18"/>
          <w:color w:val="auto"/>
        </w:rPr>
        <w:t xml:space="preserve">). In addition, the Company recorded $2.4 million in write-off of unrecoverable inventory held at the co-manufacturer’s site which is included in cost of goods sold (see </w:t>
      </w:r>
      <w:hyperlink w:anchor="page207">
        <w:r>
          <w:rPr>
            <w:rFonts w:ascii="Arial" w:cs="Arial" w:eastAsia="Arial" w:hAnsi="Arial"/>
            <w:sz w:val="18"/>
            <w:szCs w:val="18"/>
            <w:u w:val="single" w:color="auto"/>
            <w:color w:val="0000EE"/>
          </w:rPr>
          <w:t>Note 4</w:t>
        </w:r>
      </w:hyperlink>
      <w:r>
        <w:rPr>
          <w:rFonts w:ascii="Arial" w:cs="Arial" w:eastAsia="Arial" w:hAnsi="Arial"/>
          <w:sz w:val="18"/>
          <w:szCs w:val="18"/>
          <w:color w:val="auto"/>
        </w:rPr>
        <w:t>) and $1.2 million in expenses related to the dispute in SG&amp;A expenses in the Company’s statement of operations in the year ended December 31, 2017. In 2018, the Company recorded $1.5 million in restructuring expenses related to this dispute, which consisted primarily of legal and other expenses. As of December 31, 2017 and 2018, there were no accrued unpaid liabilities associated with this contract termination.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classes of inventory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Raw materials and packaging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13,756</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13,984</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30,257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wrote off approximately $1.2 million in discontinued product inventories and recognized that expense in cost of goods sold in its statement of operations for the year ended December 31, 2016. The Company wrote off $2.4 million in unrecoverable inventory related to the termination of an exclusive supply agreement with one of the Company’s co-manufacturers which was recorded in cost of goods sold in its statement of operations for the year ended December 31, 2017. The Company wrote off $0 and $0.8 million in excess and obsolete inventories and recognized that expense in cost of goods sold in its statements of operations for the years ended December 31, 2017 and 2018, respectively. There was no write down of inventory to lower of cost or net realizable value at December 31, 2017 or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333"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2018,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25,314</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equipment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6,088</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882</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Assets not yet placed in service</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3,374</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21,896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43,203</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7,778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12,676</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30,527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Depreciation and amortization expense for the years ended December 31, 2016, 2017 and 2018, was $2.1 million, $3.2 million and $4.9 million, respectively. Of the total depreciation and amortization expense in the years ended December 31, 2016, 2017 and 2018, $1.9 million, $2.9 million and $3.7 million, respectively, were recorded in cost of goods sold and $0.2 million, $0.3 million and $1.2 million, respectively, were recorded in research and development expenses in the Company’s statements of operations.</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2018, the Company purchased $1.0 million in property, plant and equipment and shortly thereafter elected to sell such property, plant and equipment to a third-party. These assets have been concluded to meet the criteria for assets held for sales and are included in Prepaid expenses and other current assets on the balance sheet as of December 31, 2018. The Company expects to sell such assets in the upcoming year for amounts that approximate book value.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46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2016</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2016</w:t>
            </w: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Term Loan Facility (defined below)</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Missouri Note (defined below)</w:t>
            </w:r>
          </w:p>
        </w:tc>
        <w:tc>
          <w:tcPr>
            <w:tcW w:w="3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2018</w:t>
            </w: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7"/>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3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r>
      <w:tr>
        <w:trPr>
          <w:trHeight w:val="263"/>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Equipment financing loan</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0"/>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4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Total debt outstanding</w:t>
            </w:r>
          </w:p>
        </w:tc>
        <w:tc>
          <w:tcPr>
            <w:tcW w:w="3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30,388</w:t>
            </w:r>
          </w:p>
        </w:tc>
      </w:tr>
      <w:tr>
        <w:trPr>
          <w:trHeight w:val="270"/>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4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3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30,388</w:t>
            </w: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60" w:type="dxa"/>
            <w:vAlign w:val="bottom"/>
            <w:gridSpan w:val="2"/>
          </w:tcPr>
          <w:p>
            <w:pPr>
              <w:jc w:val="right"/>
              <w:ind w:right="2580"/>
              <w:spacing w:after="0"/>
              <w:rPr>
                <w:sz w:val="20"/>
                <w:szCs w:val="20"/>
                <w:color w:val="auto"/>
              </w:rPr>
            </w:pPr>
            <w:r>
              <w:rPr>
                <w:rFonts w:ascii="Arial" w:cs="Arial" w:eastAsia="Arial" w:hAnsi="Arial"/>
                <w:sz w:val="18"/>
                <w:szCs w:val="18"/>
                <w:color w:val="auto"/>
              </w:rPr>
              <w:t>F-42</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balance sheets. Debt issuance costs, net of amortization, totaled $35,000 and $0.6 million as of December 31, 2017 and 2018, respectively. Debt issuance costs are amortized as interest expense over the term of the loan for which amortization of $21,000, $37,000 and $93,000 was recorded during the years ended December 31, 2016, 2017 and 2018,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June 2016, the Company entered into a Loan and Security Agreement, referred to as the Original LSA, with Silicon Valley Bank, or SVB, which comprised a $2.5 million revolving line of credit, or the 2016 Revolving Credit Facility, maturing in June 2018, and a $1.5 million growth capital term loan advance, or the 2016 Term Loan Facility, maturing in December 2019. Principal payments on the 2016 Term Loan Facility were due in 36 equal monthly installments beginning January 31, 2017.</w:t>
      </w:r>
    </w:p>
    <w:p>
      <w:pPr>
        <w:spacing w:after="0" w:line="150"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2016 Revolving Credit Facility and the 2016 Term Loan Facility were secured by an interest in manufacturing equipment, inventory, contract rights or rights to payment of money, leases, license agreements, general intangibles, and cash. The Company paid a facility fee of $30,000 to secure the Original LSA. Both the 2016 Term Loan Facility and borrowings on the 2016 Revolving Credit Facility accrue interest at the annual rate of 1.0% above prime rate, payable monthly. In the event of occurrence and during the time of continuation of default, loan obligations will bear a default interest rate of additional 5% above the rate that is otherwise applicable. The interest rate on the obligations at December 31, 2016 and 2017 were 4.75% and 5.5%, respectively.</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December 31, 2017, the outstanding principal balance under the 2016 Revolving Credit Facility was $2.5 million and the outstanding balance in the 2016 Term Loan Facility was $1.0 million, of which $0.5 million was included in short-term debt and the remainder was included in long-term debt on the Company’s balance sheet. The Company recognized interest expense of $0 and $0.1 million in 2016 and 2017, respectively, on the 2016 Revolving Credit Facility and $34,000 and $63,000 in 2016 and 2017, respectively, on the 2016 Term Loan Facility. As of December 31, 2017, there was no availability to borrow under the 2016 Revolving Credit Facility. The interest rate on the obligations at December 31, 2017 was 5.5%.</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Loan and Security Agreement</w:t>
      </w:r>
    </w:p>
    <w:p>
      <w:pPr>
        <w:spacing w:after="0" w:line="18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June 2018, the Company refinanced the 2016 Revolving Credit Facility and the 2016 Term Loan Facility under the Original LSA with SVB, or the Amended LSA, such that the 2016 Revolving Credit Facility was expanded from $2.5 million to $ 6.0 million, and all loans under the 2016 Term Loan Facility were paid in full without a prepayment penalty and the 2016 Term Loan Facility was discontinued. The Amended LSA includes the expanded revolving credit facility or the 2018 Revolving Credit Facility and the 2018 Term Loan Facility. The 2018 Term Loan Facility is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 above the prime rate, with interest payable monthly and principal amortizing commencing on January 1, 2020, and will mature in June 2022. Borrowings under the 2018 Revolving Credit Facility carry a variable annual interest rate of prime rate + 0.75% to 1.25% with an additional 5% on the outstanding balances in the event of a default. The 2018 Revolving Credit Facility matures in June 2020.</w:t>
      </w:r>
    </w:p>
    <w:p>
      <w:pPr>
        <w:spacing w:after="0" w:line="1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2018 Revolving Term Loan Facility and the 2018 Revolving Credit Facility, or together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333"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The SVB Credit Facilities are secured by an interest in the Company’s assets including manufacturing equipment, inventory, contract rights or rights to payment of money, leases, license agreements, general intangibles, and cash.</w:t>
      </w:r>
    </w:p>
    <w:p>
      <w:pPr>
        <w:spacing w:after="0" w:line="142"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In conjunction with the execution of the Amended LSA, the Company issued two common stock warrants one each to SVB and its affiliate to provide the ability to purchase an aggregate of 60,002 shares of the Company’s common stock at an exercise price of $2.99 per share. The common stock warrants were fully exercisable on the date of the grant and have a term of 10 years. The Company also paid a commitment fee of $30,000 to SVB in connection with the execution of the Amended LSA.</w:t>
      </w:r>
    </w:p>
    <w:p>
      <w:pPr>
        <w:spacing w:after="0" w:line="15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December 31, 2018, the Company had $6.0 million and $20.0 million in borrowings on the 2018 Revolving Credit Facility and 2018 Term Loan Facility, respectively, and had no availability to borrow under either of these loan facilities. In 2018, the Company incurred $0.9 million in interest expense related to the term loans and revolving credit facilities. The interest rates on the 2018 Revolving Credit Facility and the term loans at December 31, 2018 were 6.25% and 9.50%,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September 2018, the Company entered into an agreement with Structural Capital Investments II, LP, or Structural Capital, wherein Structural Capital agreed to provide an equipment loan facility to the Company in the amount of $ 5.0 million for the purpose of purchasing equipment. Subject to Structural Capital’s approval, the Company may request that they advance an additional $5.0 million or an aggregate of $10.0 million. The equipment loan facility matures on May 1, 2022, carries an interest rate of 6.25% plus the greater of 4.75% or the prime rate and is secured by the financed equipment. Principal repayments begin six months or 18 months after loan draw depending on the Company achieving certain financial milestones, and therefore, are paid over a period of 37 months or 25 months, respectively. The Company is also required to offer Structural Capital the right to purchase up to an aggregate of $1.0 million of the Company’s capital stock or any other equity interest in any transaction where the Company receive gross proceeds of at least $10.0 million. The equipment loan facility has a prepayment penalty of 2% during the first two years of the term and 1% thereafter. The Company must also pay a final payment fee of 13% of the facility commitment amount on the maturity date and such other date as the advances become due and such fee will increase by 1% if certain milestones are achieved.</w:t>
      </w:r>
    </w:p>
    <w:p>
      <w:pPr>
        <w:spacing w:after="0" w:line="15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Company had $5.0 million in borrowings outstanding as of December 31, 2018 under the equipment loan facility. The interest rate on the equipment loan facility at December 31, 2018 was 11.50%.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Promissory Note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entered into a note with the Missouri Department of Economic Development in the amount of $ 1.45 million on December 20, 2013 or the Missouri Note. The principal was due and payable on December 20, 2021. The Missouri Note carried a fixed interest rate of 2% per year, payable quarterly, commencing on December 31, 2016. The Company recognized interest expense of $26,000 and $29,000, in 2016 and 2017, respectively. As of December 31, 2017, the Company was in compliance with the promissory note covenant to maintain at least 20 full-time employees in Missouri throughout the life of the note. On June 28, 2018, the Missouri Note was paid in full.</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September 2016, the Company issued $4.0 million in Convertible Promissory Notes (“2016 Convertible Notes”) to several purchasers of the Series F Preferred Stock, one of whom was a non-employee Board Member. The 2016 Convertible Notes were due six months after the issuance date. The 2016 Convertible Notes had a fixed interest rate of 1% per year during their term and permitted the holders to convert the notes to Series F Preferred Stock at 95% of the cash price per share.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333" w:right="2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outstanding principal and all accrued but unpaid interest under the 2016 Convertible Notes were converted into Series F Preferred Stock in October 2016. The Company issued 681,164 shares of Series F Preferred Stock upon conversion of the 2016 Convertible Notes. The number of shares issued was calculated based on the quotient obtained by dividing the outstanding principal and all accrued interest by 95% of the cash price per share of the Series F Preferred Stock issuance. In connection with the accounting for the 2016 Convertible Notes, a debt discount of $0.2 million was recognized at issuance, and subsequently, as a component of interest expense through the date of conversion.</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August 2017 through November 2017, the Company issued $10.0 million in Convertible Promissory Notes (“2017 Convertible Notes”) to several purchasers of the Series G Preferred Stock, two of whom were 5% stockholders and two were non-employee members of our Board of Directors. The 2017 Convertible Notes were due six months after the issuance date. The 2017 Convertible Notes had a fixed interest rate of 5% per year during their term and permitted the holders to convert the notes to Series G Preferred Stock at 90% of the cash price per share.</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outstanding principal and all accrued but unpaid interest under the 2017 Convertible Notes were converted into 1,026,367 shares of Series G Preferred Stock beginning in November 2017. The number of shares issued was calculated based on the quotient obtained by dividing the outstanding principal and all accrued interest by 90% of the cash price per share of the Series G Preferred Stock issuance. In connection with the accounting for the 2017 Convertible Notes, a debt discount of $1.1 million was recognized at issuance, of which $0.7 million was recognized as a component of interest expense through the date of conversion. The remaining unamortized discount of $0.4 million was recorded in other expense at the date of conversion.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93" w:lineRule="exact"/>
        <w:rPr>
          <w:sz w:val="20"/>
          <w:szCs w:val="20"/>
          <w:color w:val="auto"/>
        </w:rPr>
      </w:pPr>
    </w:p>
    <w:p>
      <w:pPr>
        <w:ind w:right="6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connection with its financing arrangements, the Company has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The Series B and Series E warrants are exercisable and expire seven and ten years from the date of issuance, respectively. In connection with the Company’s refinancing of its credit facilities with SVB, the Company issued to SVB and its affiliates warrants to purchase an aggregate 60,002 shares of its common stock at an exercise price of $2.99 per share. The warrants remained outstanding as of December 31, 2017 and 2018. See </w:t>
      </w:r>
      <w:hyperlink w:anchor="page197">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on the warrant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 and Convertible Preferred Stock</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2017, the Company’s shares consisted of 52,002,600 authorized shares of Common Stock, of which 5,724,506 shares were issued and outstanding, and 39,673,174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and 4,989,102 shares of Series G Preferred Stock were issued and outstanding.</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of which 6,951,350 shares were issued and outstanding, and 43,882,867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5,114,786 shares of Series G Preferred Stock and 2,075,216 shares of Series H Preferred Stock were issued and outstanding.</w:t>
      </w:r>
    </w:p>
    <w:p>
      <w:pPr>
        <w:spacing w:after="0" w:line="15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333" w:right="2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H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H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Series D Preferred Stock, Series E Preferred Stock, Series F Preferred Stock, Series G Preferred Stock or Common Stock by reason of their ownership thereof, an amount per share equal to the greater of (i) the Series H Original Issue Price of $24.23 for each outstanding share of Series H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H Preferred Stock the full amount to which they shall be entitled, the holders of shares of Series H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H Original Issue Price of $ 24.23 per share is subject to appropriate adjustment in the event of any stock dividend, stock split, combination, or other similar recapitalization with respect to the Series H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G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G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Series F Preferred Stock, or Common Stock by reason of their ownership thereof, an amount per share equal to the greater of (i) the Series G Original Issue Price for each outstanding share of Series G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G Preferred Stock the full amount to which they shall be entitled, the holders of shares of Series G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G Original Issue Price shall mean $10.94 per share, subject to appropriate adjustment in the event of any stock dividend, stock split, combination, or other similar recapitalization with respect to the Series G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F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the holders of shares of Series F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or Common Stock by reason of their ownership thereof, an amount per share equal to the greater of (i) the Series F Original Issue Price for each outstanding share of Series F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333"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Preferred Stock the full amount to which they shall be entitled, the holders of shares of Series 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F Original Issue Price shall mean $6.19 per share, subject to appropriate adjustment in the event of any stock dividend, stock split, combination, or other similar recapitalization with respect to the Series F Preferred Stock.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E Preferred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then outstanding shall be entitled to be paid, on a pari passu basis, out of the assets of the Company available for distribution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its stockholders before any payment shall be made to the holders of Series A Preferred Stock, Series B Preferred Stock, Series C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Series D Preferred Stock, or Common Stock by reason of their ownership thereof, an amount per share equal to the greater of (i)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E Original Issue Price for each outstanding share of Series E Preferred Stock then held by them, plus any dividends declared but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thereon, or (ii) such amount per share as would have been payable had all shares of such series been converted into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liquidation, dissolution, or winding up. If upon any such liquidation, dissolution, or winding up of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shall be insufficient to pay the holders of shares of Series E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to which they shall be entitled, the holders of shares of Series E Preferred Stock shall share ratably in any distribution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available for distribution in proportion to the respective amounts, which would otherwise be payable in respect of the shares held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upon such distribution if all amounts payable on or with respect to such shares were paid in full. The Series E Original Issue Price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$3.68 per share, subject to appropriate adjustment in the event of any stock dividend, stock split, combination, or other similar recapitalization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Series E Preferred Stock.</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D Preferred Stock</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the holders of shares of Series D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or Common Stock by reason of their ownership thereof, an amount per share equal to the greater of (i) the Series D Original Issue Price for each outstanding share of Series D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D Preferred Stock the full amount to which they shall be entitled under this,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D Original Issue Price shall mean $2.87 per share, subject to appropriate adjustment in the event of any stock dividend, stock split, combination, or other similar recapitalization with respect to the Series D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C Preferred Stock</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and to the holders of shares of Series D Preferred Stock, the holders of shares of Series C Preferred Stock then outstanding shall be entitled to be paid, on a pari passu basis, out of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333"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before any payment shall be made to the holders of Series A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Series B Preferred Stock, or Common Stock by reason of their ownership thereof, an amount per share equal to the greater of (i)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C Original Issue Price for each outstanding share of Series C Preferred Stock then held by them, plus any dividends declared but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unpaid thereon, or (ii) such amount per share as would have been payable had all shares of such series been converted into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liquidation, dissolution, or winding up. If upon any such liquidation, dissolution, or winding up of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shall be insufficient to pay the holders of shares of Series C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to which they shall be entitled, the holders of shares of Series C Preferred Stock shall share ratably in any distribution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available for distribution in proportion to the respective amounts, which would otherwise be payable in respect of the shares held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upon such distribution if all amounts payable on or with respect to such shares were paid in full. The Series C Original Issue Price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 per share, subject to appropriate adjustment in the event of any stock dividend, stock split, combination, or other similar recapitalization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Series C Preferred Stock.</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A Preferred Stock and Series B Preferred Stock</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to the holders of shares of Series D Preferred Stock and to the holders of shares of Series C Preferred Stock, the holders of shares of Series A Preferred Stock then outstanding and Series B Preferred Stock then outstanding shall be entitled to be paid, on a pari passu basis, out of the assets of the Company available for distribution to its stockholders before any payment shall be made to the holders of Common Stock by reason of their ownership thereof, an amount per share equal to the greater of (i) the Series A Original Issue Price for each outstanding share of Series A Preferred Stock then held by them and the Series B Original Issue Price for each outstanding share of Series B Preferred Stock then held by them, in each case,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Corporation available for distribution to its stockholders shall be insufficient to pay the holders of shares of Series A Preferred Stock and Series B Preferred Stock the full amount to which they shall be entitled, the holders of shares of Series A Preferred Stock and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A Original Issue Price is $0.60 per share, subject to appropriate adjustment in the event of any stock dividend, stock split, combination, or other similar recapitalization with respect to the Series A Preferred Stock. The Series B Original Issue Price is $ 1.07 per share, subject to appropriate adjustment in the event of any stock dividend, stock split, combination, or other similar recapitalization with respect to the Series B Preferred Stock.</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Preferred Stock Significant Provisions</w:t>
      </w:r>
    </w:p>
    <w:p>
      <w:pPr>
        <w:spacing w:after="0" w:line="175" w:lineRule="exact"/>
        <w:rPr>
          <w:sz w:val="20"/>
          <w:szCs w:val="20"/>
          <w:color w:val="auto"/>
        </w:rPr>
      </w:pPr>
    </w:p>
    <w:p>
      <w:pPr>
        <w:ind w:left="660" w:hanging="328"/>
        <w:spacing w:after="0" w:line="255"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Each share of our preferred stock, at the option of the holder, is convertible into shares of common stock on a one-for-one basis, subject to adjustment. Conversion will occur upon the closing of an underwritten initial public offering of our common stock to the public at a price per share implying a valuation equal to at least $350,000,000 (calculated on a fully-diluted basis) and resulting in at least $50,000,000 of gross proceeds to us. Conversion of the Series A convertible preferred stock and Series B convertible preferred stock may also occur upon the vote of 55% of the outstanding Series A convertible preferred stock and Series B convertible preferred stock voting together as a single class on an as-converted basis. Conversion of the Series C convertible preferred stock may also occur upon the vote of at least 75% of the outstanding Series C convertible preferred stock. Conversion of the Series D convertible preferred stock and Series E convertible preferred stock may also occur upon the vote of at least 60% of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333"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line="300" w:lineRule="auto"/>
        <w:rPr>
          <w:sz w:val="20"/>
          <w:szCs w:val="20"/>
          <w:color w:val="auto"/>
        </w:rPr>
      </w:pPr>
      <w:r>
        <w:rPr>
          <w:rFonts w:ascii="Arial" w:cs="Arial" w:eastAsia="Arial" w:hAnsi="Arial"/>
          <w:sz w:val="18"/>
          <w:szCs w:val="18"/>
          <w:color w:val="auto"/>
        </w:rPr>
        <w:t>outstanding Series D convertible preferred stock and 60% of the outstanding Series E convertible preferred stock respectively, each voting as a separate class. Conversion of the Series F convertible preferred stock, Series G convertible preferred stock, and Series H convertible preferred stock may also occur upon the vote of at least a majority of the outstanding Series F convertible preferred stock, a majority of the outstanding Series G convertible preferred stock, and a majority of the outstanding Series H convertible preferred stock respectively, each voting as a separate class.</w:t>
      </w:r>
    </w:p>
    <w:p>
      <w:pPr>
        <w:spacing w:after="0" w:line="106" w:lineRule="exact"/>
        <w:rPr>
          <w:sz w:val="20"/>
          <w:szCs w:val="20"/>
          <w:color w:val="auto"/>
        </w:rPr>
      </w:pPr>
    </w:p>
    <w:p>
      <w:pPr>
        <w:ind w:left="660" w:right="20" w:hanging="328"/>
        <w:spacing w:after="0" w:line="258"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Holders of preferred stock shall be entitled to receive noncumulative dividends on a pari passu basis and prior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to any declaration or payment of any dividends to holders of common stock at a rate of 8% per annum. After the payment of such dividends to the holders of the Preferred Stock, any additional dividends or distributions shall be distributed among the holders of common stock and the preferred stock in proportion to the number of shares of common stock that would be held by each such holder if all shares of the preferred stock were converted to common stock.</w:t>
      </w:r>
    </w:p>
    <w:p>
      <w:pPr>
        <w:spacing w:after="0" w:line="129"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On any matter presented to the stockholders of the Company for their action or consideration at any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(or by written consent of the stockholders in lieu of meeting), each holder of outstanding shares of the preferred stock shall be entitled to cast the number of votes equal to the number of whole shares of common stock into which the preferred stock held by such holder are convertible as of the record date for determining stockholders entitled to vote on such matter. Except as provided by law or by other provisions of our Certificate of Incorporation, holders of preferred stock shall vote together with the holders of common stock as a single class.</w:t>
      </w:r>
    </w:p>
    <w:p>
      <w:pPr>
        <w:spacing w:after="0" w:line="128"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Liquidation Preferences—</w:t>
      </w:r>
      <w:r>
        <w:rPr>
          <w:rFonts w:ascii="Arial" w:cs="Arial" w:eastAsia="Arial" w:hAnsi="Arial"/>
          <w:sz w:val="18"/>
          <w:szCs w:val="18"/>
          <w:color w:val="auto"/>
        </w:rPr>
        <w:t>In the event of any voluntary or involuntary liquidation, dissolution or winding up or deemed liquidation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after the payment of all preferential amounts required to be paid to the holders of shares of preferred stock in accordance with the terms of our Certificate of Incorporation, our remaining assets available for distribution to the stockholders of the Company shall be distributed among the holders of shares of common stock, pro rata based on the number of shares of common stock held by each such holder.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Activity</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October 2018, the Company issued 2,075,216 Series H Preferred Stock for $50.0 million, net of issuance costs of $0.3 million. In 2018, the Company also issued 125,684 shares of Series G Preferred Stock for $1.3 million, net of issuance costs of $27,000.</w:t>
      </w:r>
    </w:p>
    <w:p>
      <w:pPr>
        <w:spacing w:after="0" w:line="14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In November 2017, the Company issued 4,989,102 Series G Preferred Stock for $43.2 million, net of issuance costs of $ 0.3 million. In 2017, the Company also issued 16,168 shares of Series F Preferred Stock for proceeds of $79,000, net of issuance costs of $21,000.</w:t>
      </w:r>
    </w:p>
    <w:p>
      <w:pPr>
        <w:spacing w:after="0" w:line="14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In October 2016, the Company issued 4,850,590 Series F Preferred Stock for $29.8 million, net of issuance costs of $ 0.2 million. In 2016, the Company also issued 81,521 shares of Series E Preferred Stock for proceeds of $0.3 million, net of issuance costs of $3,000.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or the 2011 Plan, and most recently amended the 2011 Plan on March 8, 2018. The Plan provides for the grant of stock options (including incentive stock options and non-qualified stock options), stock appreciation rights, restricted stock and restricted stock unit awards to eligible participants. Eligible participants are employees, directors and consultants. As of December 31, 2018, the Plan authorized the issuance of 9,462,455 shares of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333"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Plan is administered by the Board or another Board committee or subcommittee, as may be determined by the Board from time to time (subject to limitations that may be imposed under Section 409A of the Code). The administrator of the Plan or the Administrator or its delegatee will have the authority to determine which eligible persons receive awards and to set the terms and conditions applicable to awards within the confines of the Plan’s terms. The Administrator will have the authority to make all determinations and interpretations under, and adopt rules and guidelines for the administration of, the Plan.</w:t>
      </w:r>
    </w:p>
    <w:p>
      <w:pPr>
        <w:spacing w:after="0" w:line="1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Plan contains provisions with respect to payment of exercise or purchase prices, vesting and expiration of awards, adjustments and treatment of awards upon certain corporate transactions, including stock splits, recapitalizations and mergers, transferability of awards and tax withholding requirements.</w:t>
      </w:r>
    </w:p>
    <w:p>
      <w:pPr>
        <w:spacing w:after="0" w:line="14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Plan may be amended or terminated by the Board at any time, subject to certain limitations requiring stockholder consent or the consent of the applicable participant. In addition, the Administrator may not, without the approval of the Company’s stockholders, authorize certain re-pricing of any outstanding stock options or stock appreciation rights granted under the Plan. The board of directors may suspend or terminate the Plan at any time. Unless sooner terminated by the board of directors, the Plan shall automatically terminate on April 7, 2021.</w:t>
      </w:r>
    </w:p>
    <w:p>
      <w:pPr>
        <w:spacing w:after="0" w:line="1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December 31, 2017 and 2018, there were 4,207,029 and 5,120,293 shares, respectively, issuable under stock options outstanding, 3,059,578 and 4,335,331 shares, respectively, issued for stock options exercises and restricted stock grants, and 1,279,929 and 6,859 shares, respectively, available for grant.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right="800" w:firstLine="324"/>
        <w:spacing w:after="0" w:line="262" w:lineRule="auto"/>
        <w:rPr>
          <w:sz w:val="20"/>
          <w:szCs w:val="20"/>
          <w:color w:val="auto"/>
        </w:rPr>
      </w:pPr>
      <w:r>
        <w:rPr>
          <w:rFonts w:ascii="Arial" w:cs="Arial" w:eastAsia="Arial" w:hAnsi="Arial"/>
          <w:sz w:val="18"/>
          <w:szCs w:val="18"/>
          <w:color w:val="auto"/>
        </w:rPr>
        <w:t>For the periods presented, the fair value of options was estimated using the Black-Scholes option-pricing model with the following assumptions:</w:t>
      </w:r>
    </w:p>
    <w:p>
      <w:pPr>
        <w:spacing w:after="0" w:line="314"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Average expected term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7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gridSpan w:val="3"/>
          </w:tcPr>
          <w:p>
            <w:pPr>
              <w:jc w:val="right"/>
              <w:ind w:right="12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ind w:left="660" w:right="100" w:hanging="328"/>
        <w:spacing w:after="0" w:line="282" w:lineRule="auto"/>
        <w:tabs>
          <w:tab w:leader="none" w:pos="66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07" w:lineRule="exact"/>
        <w:rPr>
          <w:rFonts w:ascii="Arial" w:cs="Arial" w:eastAsia="Arial" w:hAnsi="Arial"/>
          <w:sz w:val="18"/>
          <w:szCs w:val="18"/>
          <w:i w:val="1"/>
          <w:iCs w:val="1"/>
          <w:color w:val="auto"/>
        </w:rPr>
      </w:pPr>
    </w:p>
    <w:p>
      <w:pPr>
        <w:ind w:left="660" w:right="20" w:hanging="328"/>
        <w:spacing w:after="0" w:line="266" w:lineRule="auto"/>
        <w:tabs>
          <w:tab w:leader="none" w:pos="66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options granted to employees during the years ended December 31, 2016, 2017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management’s expectations of the options granted, which are expected to remain outstanding. The expected term for options granted to nonemployees is equal to the remaining contractual life of the options.</w:t>
      </w:r>
    </w:p>
    <w:p>
      <w:pPr>
        <w:spacing w:after="0" w:line="122" w:lineRule="exact"/>
        <w:rPr>
          <w:rFonts w:ascii="Arial" w:cs="Arial" w:eastAsia="Arial" w:hAnsi="Arial"/>
          <w:sz w:val="18"/>
          <w:szCs w:val="18"/>
          <w:i w:val="1"/>
          <w:iCs w:val="1"/>
          <w:color w:val="auto"/>
        </w:rPr>
      </w:pPr>
    </w:p>
    <w:p>
      <w:pPr>
        <w:ind w:left="660" w:hanging="328"/>
        <w:spacing w:after="0" w:line="26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 Company is a private entity, there is not a substantive share price history to calculate volatility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an approximation based on the volatility of other comparable public companies, which compete directly with the Company, over the expected term of the options.</w:t>
      </w:r>
    </w:p>
    <w:p>
      <w:pPr>
        <w:spacing w:after="0" w:line="122"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not issued regular dividends on common shares in the past nor does the Company expect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future.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333"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14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Plan generally provides that the Board of Directors may set the vesting schedule applicable to grants approved under the 2011 Plan. Option grants approved under the 2011 Plan typically vest 25% of the total award on the first anniversary of the grant date, and thereafter ratably monthly vesting over the remaining three years of the award. The Company has not granted equity awards with performance-based vesting conditions.</w:t>
      </w:r>
    </w:p>
    <w:p>
      <w:pPr>
        <w:spacing w:after="0" w:line="1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Options granted in the year ended December 31, 2018 and prior have a variety of different vesting schedules and have a contractual life of 10 years.</w:t>
      </w:r>
    </w:p>
    <w:p>
      <w:pPr>
        <w:spacing w:after="0" w:line="14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2015 through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5,114,597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1,674,141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(1,115,034)</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4,879,850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382,476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(609,096)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4,207,029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2,136,012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5,120,293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December 31, 2018</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2,860,767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December 31, 2018</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3,976,569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fiscal years 2016, 2017 and 2018, the Company recorded in aggregate $0.7 million, $0.5 million and $1.5 million, respectively, of share-based compensation expense related to options issued to employees and nonemployees. The share-based compensation is included in cost of goods sold and SG&amp;A expenses in the Company’s statements of operations.</w:t>
      </w:r>
    </w:p>
    <w:p>
      <w:pPr>
        <w:spacing w:after="0" w:line="14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As of December 31, 2017 and 2018, there was $0.5 million and $2.4 million in unrecognized compensation expense related to nonvested share-based compensation arrangements, which is expected to be recognized over 1.7 years and 2.9 years,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333"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 The Company determined the fair value of the restricted stock award on the date of grant and remeasured the fair value as of December 31, 2018.</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Fair Value</w:t>
            </w:r>
          </w:p>
        </w:tc>
      </w:tr>
      <w:tr>
        <w:trPr>
          <w:trHeight w:val="228"/>
        </w:trPr>
        <w:tc>
          <w:tcPr>
            <w:tcW w:w="64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135,791</w:t>
            </w:r>
          </w:p>
        </w:tc>
        <w:tc>
          <w:tcPr>
            <w:tcW w:w="1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17.03</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(35,664)</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100,127</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During the fiscal year 2018, the Company recorded in aggregate $0.7 million in share-based compensation expense related to restricted stock issued to nonemployee brand ambassadors, which is included in SG&amp;A expenses in the Company’s statements of operations.</w:t>
      </w:r>
    </w:p>
    <w:p>
      <w:pPr>
        <w:spacing w:after="0" w:line="14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of December 31, 2018, there was $1.6 million in unrecognized compensation expense related to nonvested restricted stock, which is expected to be recognized over 1.6 years.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Loans to Related Parties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December 2015, the Company’s Board of Directors approved the issuance of 1,006,658 shares of restricted stock to nonemployee board members. The Company had the option of repurchasing the shares; however, as shares vest monthly over 36 months, they were being released from the repurchase option (and all such shares were released from the repurchase option by November 1, 2018). In connection with the issuance and for value received, the nonemployee board members entered into promissory notes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July 2018.</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193" w:lineRule="exact"/>
        <w:rPr>
          <w:sz w:val="20"/>
          <w:szCs w:val="20"/>
          <w:color w:val="auto"/>
        </w:rPr>
      </w:pPr>
    </w:p>
    <w:p>
      <w:pPr>
        <w:ind w:right="60" w:firstLine="324"/>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 July 2018, the Company repurchased 48,909 shares of common stock from one of its individual investors at a negotiated price of $10.50 per share, as adjusted to give effect to the reverse stock split described in </w:t>
      </w:r>
      <w:hyperlink w:anchor="page197">
        <w:r>
          <w:rPr>
            <w:rFonts w:ascii="Arial" w:cs="Arial" w:eastAsia="Arial" w:hAnsi="Arial"/>
            <w:sz w:val="18"/>
            <w:szCs w:val="18"/>
            <w:u w:val="single" w:color="auto"/>
            <w:color w:val="0000EE"/>
          </w:rPr>
          <w:t>Note 2</w:t>
        </w:r>
      </w:hyperlink>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333"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 has operating leases for its corporate offices including its research and development center, its manufacturing facility and its warehouses, and capital leases for certain of the Company’s equipment.</w:t>
      </w:r>
    </w:p>
    <w:p>
      <w:pPr>
        <w:spacing w:after="0" w:line="142"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On October 12, 2017, the Company entered into a lease or the Lease, for its manufacturing facility located in Columbia, Missouri. The Lease is for a period of seven years commencing on October 1, 2017. The future minimum lease payments required under noncancelable lease obligations related to this Lease are $2.7 million due through 2023 (approximately $0.5 million annually) and $0.8 million thereafter.</w:t>
      </w:r>
    </w:p>
    <w:p>
      <w:pPr>
        <w:spacing w:after="0" w:line="14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represents the Company’s commitments as of December 31, 2018 including future minimum lease payments required under noncancelable lease obligations: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Operating</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6"/>
                <w:szCs w:val="16"/>
                <w:b w:val="1"/>
                <w:bCs w:val="1"/>
                <w:color w:val="auto"/>
              </w:rPr>
              <w:t>Capital Lease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Arial" w:cs="Arial" w:eastAsia="Arial" w:hAnsi="Arial"/>
                <w:sz w:val="16"/>
                <w:szCs w:val="16"/>
                <w:b w:val="1"/>
                <w:bCs w:val="1"/>
                <w:color w:val="auto"/>
              </w:rPr>
              <w:t>Purchase</w:t>
            </w:r>
          </w:p>
        </w:tc>
      </w:tr>
      <w:tr>
        <w:trPr>
          <w:trHeight w:val="180"/>
        </w:trPr>
        <w:tc>
          <w:tcPr>
            <w:tcW w:w="60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00" w:type="dxa"/>
            <w:vAlign w:val="bottom"/>
          </w:tcPr>
          <w:p>
            <w:pPr>
              <w:jc w:val="right"/>
              <w:ind w:right="331"/>
              <w:spacing w:after="0" w:line="181" w:lineRule="exact"/>
              <w:rPr>
                <w:sz w:val="20"/>
                <w:szCs w:val="20"/>
                <w:color w:val="auto"/>
              </w:rPr>
            </w:pPr>
            <w:r>
              <w:rPr>
                <w:rFonts w:ascii="Arial" w:cs="Arial" w:eastAsia="Arial" w:hAnsi="Arial"/>
                <w:sz w:val="16"/>
                <w:szCs w:val="16"/>
                <w:b w:val="1"/>
                <w:bCs w:val="1"/>
                <w:color w:val="auto"/>
              </w:rPr>
              <w:t>Obligations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9"/>
              </w:rPr>
              <w:t>Obligations</w:t>
            </w:r>
          </w:p>
        </w:tc>
        <w:tc>
          <w:tcPr>
            <w:tcW w:w="220" w:type="dxa"/>
            <w:vAlign w:val="bottom"/>
          </w:tcPr>
          <w:p>
            <w:pPr>
              <w:spacing w:after="0"/>
              <w:rPr>
                <w:sz w:val="15"/>
                <w:szCs w:val="15"/>
                <w:color w:val="auto"/>
              </w:rPr>
            </w:pPr>
          </w:p>
        </w:tc>
        <w:tc>
          <w:tcPr>
            <w:tcW w:w="1500" w:type="dxa"/>
            <w:vAlign w:val="bottom"/>
          </w:tcPr>
          <w:p>
            <w:pPr>
              <w:jc w:val="right"/>
              <w:ind w:right="232"/>
              <w:spacing w:after="0" w:line="181" w:lineRule="exact"/>
              <w:rPr>
                <w:sz w:val="20"/>
                <w:szCs w:val="20"/>
                <w:color w:val="auto"/>
              </w:rPr>
            </w:pPr>
            <w:r>
              <w:rPr>
                <w:rFonts w:ascii="Arial" w:cs="Arial" w:eastAsia="Arial" w:hAnsi="Arial"/>
                <w:sz w:val="16"/>
                <w:szCs w:val="16"/>
                <w:b w:val="1"/>
                <w:bCs w:val="1"/>
                <w:color w:val="auto"/>
              </w:rPr>
              <w:t>Commitments</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57"/>
        </w:trPr>
        <w:tc>
          <w:tcPr>
            <w:tcW w:w="60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imputed interest (4.1% to 15.9%)</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capital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current portion of capital lease obligations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Effective March 1, 2019, the Company entered into a lease for its corporate offices on 119 Standard Street, El Segundo, California, for an initial term of five years. The aggregate lease amount for the five year term (not included in the table above) is $2.7 million.</w:t>
      </w:r>
    </w:p>
    <w:p>
      <w:pPr>
        <w:spacing w:after="0" w:line="14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Total rent expense was $0.8 million, $1.0 million and $1.7 million in the years ended December 31, 2016, 2017 and 2018, respectively. Rent expense is reflected in cost of goods sold, research and development expenses and SG&amp;A expenses in the statements of operations for all the periods presented.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 had committed to purchase pea protein inventory totaling $22.4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333"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dated December 2, 2014 between the Company and the former co-manufacturer, pursuant to its terms (see </w:t>
      </w:r>
      <w:hyperlink w:anchor="page206">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denies these claims, filed counter-claims on July 27, 2017, alleging (1) breach of contract, (2) unfair competition under California Business &amp; Professions Code Section 17200 Et. Seq., and (3) conversion, and is in the process of litigating this matter.</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152"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was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37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37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6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CCEEFF"/>
            </w:tcBorders>
            <w:shd w:val="clear" w:color="auto" w:fill="CCEEFF"/>
          </w:tcPr>
          <w:p>
            <w:pPr>
              <w:spacing w:after="0"/>
              <w:rPr>
                <w:sz w:val="24"/>
                <w:szCs w:val="24"/>
                <w:color w:val="auto"/>
              </w:rPr>
            </w:pPr>
          </w:p>
        </w:tc>
        <w:tc>
          <w:tcPr>
            <w:tcW w:w="26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spacing w:after="0"/>
              <w:rPr>
                <w:sz w:val="24"/>
                <w:szCs w:val="24"/>
                <w:color w:val="auto"/>
              </w:rPr>
            </w:pPr>
          </w:p>
        </w:tc>
      </w:tr>
      <w:tr>
        <w:trPr>
          <w:trHeight w:val="250"/>
        </w:trPr>
        <w:tc>
          <w:tcPr>
            <w:tcW w:w="374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20" w:type="dxa"/>
            <w:vAlign w:val="bottom"/>
            <w:gridSpan w:val="2"/>
          </w:tcPr>
          <w:p>
            <w:pPr>
              <w:jc w:val="right"/>
              <w:ind w:right="860"/>
              <w:spacing w:after="0"/>
              <w:rPr>
                <w:sz w:val="20"/>
                <w:szCs w:val="20"/>
                <w:color w:val="auto"/>
              </w:rPr>
            </w:pPr>
            <w:r>
              <w:rPr>
                <w:rFonts w:ascii="Arial" w:cs="Arial" w:eastAsia="Arial" w:hAnsi="Arial"/>
                <w:sz w:val="18"/>
                <w:szCs w:val="18"/>
                <w:color w:val="auto"/>
              </w:rPr>
              <w:t>F-54</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The Company has provided a 100% valuation allowance on its deferred tax assets. Provision for income taxes in 2016 and 2017 is primarily for cash taxes payable to the states.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State income tax, net of federal benefits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Research &amp; development Credits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Return to provision &amp; other</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Rate adjustment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668</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Tax law change—revaluing deferreds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Significant components of the Company’s net deferred tax assets at December 31, 2017 and 2018, are shown below. A valuation allowance has been recorded to offset the net deferred tax assets as of December 31, 2017 and 2018, as the realization of such assets does not meet the more-likely-than-not threshold.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operating loss (NOL)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23,198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29,634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Share-based and accrued compensation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24,915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31,900</w:t>
            </w:r>
          </w:p>
        </w:tc>
      </w:tr>
      <w:tr>
        <w:trPr>
          <w:trHeight w:val="297"/>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32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24,652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31,617</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deferred tax asset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of December 31, 2018 and 2017, management assessed the realizability of deferred tax assets and evaluated the need for an amount of a valuation allowance for deferred tax assets on a jurisdictional basis. This evaluation utilized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percent) that they will not be realized. In assessing the realization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333"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Company’s deferred tax assets, the Company considered all available evidence, both positive and negative.</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the Company concluded on a more-likely-than-not basis that certain deferred tax assets were not realizable as of December 31, 2018. Accordingly, a valuation allowance of $ 31.6 million has been recorded to offset the deferred tax assets. The change in valuation allowance for the year ended December 31, 2018 from 2017 was an increase of $7.0 million.</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2017, the Company has accumulated federal and state net operating loss carryforwards of approximately $90.8 million and $73.3 million, respectively. As of December 31, 2018, the Company has accumulated federal and state net operating loss carryforwards of approximately $119.7 million and $ 92.3 million, respectively. Approximately $28.0 million of the federal net operating losses do not expire and the remaining federal and state tax loss carryforwards begin to expire in 2031 and 2032, respectively, unless previously utilized.</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Utilization of the Company’s net operating loss and tax credit carryforwards may be subject to a substantial annual limitation due to ownership change limitations provided by the Internal Revenue Code and similar state provisions. Such an annual limitation could result in the expiration or elimination of the net operating loss and tax credit carryforwards before utilization. Management believes that the limitation will not limit utilization of the carryforwards prior to their expiration.</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adopted ASU 2016-09 in its first quarter of 2018. Under the new guidance, companies will no longer record excess tax benefits and certain tax deficiencies related to share-based payment to employees in additional paid-in capital. Instead, the Company will recognize all income tax effects of awards in its statement of operations when awards vest or are settled. All excess tax benefits not previously recognized were to be recorded to retained earnings as a cumulative effect adjustment upon adoption. Upon adoption, no adjustment to retained earnings was necessary due to the Company’s valuation allowance position. Approximately $0.2 million attributable to excess tax benefits on stock compensation that had not been previously recognized were added to the net operating loss with a corresponding increase to the valuation allowance.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Cuts and Jobs Act</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Tax Cuts and Jobs Act or the Tax Act was enacted in the United States on December 22, 2017. The Tax Act reduced the United States federal corporate income tax rate to 21% from 35%, required companies to pay a one-time transition tax on earnings of certain foreign subsidiaries that were previously tax deferred and created new taxes on certain foreign-sourced earnings. In 2017 the Company recorded provisional amounts for certain enactment-date effects of the Tax Act by applying the guidance in Staff Accounting Bulletin No. 118 or SAB 118 because the Company had not yet completed its enactment-date accounting for these effects.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SAB 118 measurement period</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for the remeasurement of deferred tax assets and liabilities. The Company completed its accounting for all of the enactment-date income tax effects of the Act as of December 31, 2018. As further discussed below, during 2018, the Company did not recognize adjustments to the provisional amounts recorded at December 31, 2017.</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80"/>
          </w:cols>
          <w:pgMar w:left="240" w:top="333" w:right="2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89"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expense of $11.8 million. Upon further analysis of certain aspects of the Tax Act and refinement of the Company’s calculations during the year ended December 31, 2018, the Company determined that no material adjustments were necessary.</w:t>
      </w:r>
    </w:p>
    <w:p>
      <w:pPr>
        <w:spacing w:after="0" w:line="1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2017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the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Increases related to current year positions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888</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positions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Gross unrecognized tax benefits at the end of the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As of December 31, 2017 and 2018, the Company had $1.1 million and $1.7 million, respectively, of unrecognized tax benefits from research and development tax credits.</w:t>
      </w:r>
    </w:p>
    <w:p>
      <w:pPr>
        <w:spacing w:after="0" w:line="14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Company had no accrual for interest and penalties on the Company’s balance sheets and has not recognized interest and penalties in the statements of operations for the years ended December 31, 2017 and 2018. The Company does not expect any significant increases or decreases to its unrecognized tax benefits within the next 12 months.</w:t>
      </w:r>
    </w:p>
    <w:p>
      <w:pPr>
        <w:spacing w:after="0" w:line="14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Company is subject to taxation in the United States and state jurisdictions. The Company’s tax years from 2011 (inception) are subject to examination by the United States and state authorities due to the carry forward of unutilized net operating losses and research and development credits.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convertible preferred stock to be participating securities. Under the two-class method, the net loss attributable to common stockholders is not allocated to the convertible preferred stock as the holders of convertible preferred stock do not have a contractual obligation to share in losses.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333"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For purposes of this calculation, convertible preferred stock, options to purchase common stock and warrants to purchase preferred stock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r>
      <w:tr>
        <w:trPr>
          <w:trHeight w:val="25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6,287,172</w:t>
            </w:r>
          </w:p>
        </w:tc>
      </w:tr>
      <w:tr>
        <w:trPr>
          <w:trHeight w:val="23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Dilutive effect of stock equivalents resulting from stock options, preferred stock</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and convertible preferred stock (as converted)</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r>
      <w:tr>
        <w:trPr>
          <w:trHeight w:val="23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bl>
    <w:p>
      <w:pPr>
        <w:spacing w:after="0" w:line="16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loss per share attributable to common stockholders for the periods presented because the impact of including them would have been antidilutive: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Convertible preferred stock (as converted)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34,355,941</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39,361,211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39,953,983</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warrants</w:t>
            </w:r>
          </w:p>
        </w:tc>
        <w:tc>
          <w:tcPr>
            <w:tcW w:w="194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160,767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160,767</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34,516,708</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39,521,978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40,114,750</w:t>
            </w:r>
          </w:p>
        </w:tc>
      </w:tr>
      <w:tr>
        <w:trPr>
          <w:trHeight w:val="20"/>
        </w:trPr>
        <w:tc>
          <w:tcPr>
            <w:tcW w:w="4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460" w:type="dxa"/>
            <w:vAlign w:val="bottom"/>
          </w:tcPr>
          <w:p>
            <w:pPr>
              <w:spacing w:after="0"/>
              <w:rPr>
                <w:sz w:val="24"/>
                <w:szCs w:val="24"/>
                <w:color w:val="auto"/>
              </w:rPr>
            </w:pPr>
          </w:p>
        </w:tc>
        <w:tc>
          <w:tcPr>
            <w:tcW w:w="3460" w:type="dxa"/>
            <w:vAlign w:val="bottom"/>
            <w:gridSpan w:val="2"/>
          </w:tcPr>
          <w:p>
            <w:pPr>
              <w:jc w:val="right"/>
              <w:ind w:right="1933"/>
              <w:spacing w:after="0"/>
              <w:rPr>
                <w:sz w:val="20"/>
                <w:szCs w:val="20"/>
                <w:color w:val="auto"/>
              </w:rPr>
            </w:pPr>
            <w:r>
              <w:rPr>
                <w:rFonts w:ascii="Arial" w:cs="Arial" w:eastAsia="Arial" w:hAnsi="Arial"/>
                <w:sz w:val="18"/>
                <w:szCs w:val="18"/>
                <w:color w:val="auto"/>
              </w:rPr>
              <w:t>F-58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24" w:name="page225"/>
    <w:bookmarkEnd w:id="224"/>
    <w:p>
      <w:pPr>
        <w:ind w:left="3420"/>
        <w:spacing w:after="0"/>
        <w:rPr>
          <w:sz w:val="20"/>
          <w:szCs w:val="20"/>
          <w:color w:val="auto"/>
        </w:rPr>
      </w:pPr>
      <w:r>
        <w:rPr>
          <w:rFonts w:ascii="Arial" w:cs="Arial" w:eastAsia="Arial" w:hAnsi="Arial"/>
          <w:sz w:val="32"/>
          <w:szCs w:val="32"/>
          <w:b w:val="1"/>
          <w:bCs w:val="1"/>
          <w:i w:val="1"/>
          <w:iCs w:val="1"/>
          <w:color w:val="auto"/>
        </w:rPr>
        <w:t>3,250,000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372110</wp:posOffset>
            </wp:positionV>
            <wp:extent cx="3164205" cy="1337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642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1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__________________________</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1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__________________________</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Goldman Sachs &amp; Co. LLC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J.P. Morgan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Suisse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Merrill Lynch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Jefferies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William Blair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Raymond James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July 31, 2019</w:t>
      </w:r>
    </w:p>
    <w:sectPr>
      <w:pgSz w:w="11900" w:h="16838" w:orient="portrait"/>
      <w:cols w:equalWidth="0" w:num="1">
        <w:col w:w="9019"/>
      </w:cols>
      <w:pgMar w:left="1440" w:top="8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1)"/>
      <w:numFmt w:val="decimal"/>
      <w:start w:val="1"/>
    </w:lvl>
  </w:abstractNum>
  <w:abstractNum w:abstractNumId="15">
    <w:nsid w:val="5DB70AE5"/>
    <w:multiLevelType w:val="hybridMultilevel"/>
    <w:lvl w:ilvl="0">
      <w:lvlJc w:val="left"/>
      <w:lvlText w:val="(%1)"/>
      <w:numFmt w:val="decimal"/>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1)"/>
      <w:numFmt w:val="decimal"/>
      <w:start w:val="2"/>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1)"/>
      <w:numFmt w:val="decimal"/>
      <w:start w:val="5"/>
    </w:lvl>
  </w:abstractNum>
  <w:abstractNum w:abstractNumId="82">
    <w:nsid w:val="73A1821B"/>
    <w:multiLevelType w:val="hybridMultilevel"/>
    <w:lvl w:ilvl="0">
      <w:lvlJc w:val="left"/>
      <w:lvlText w:val="(%1)"/>
      <w:numFmt w:val="decimal"/>
      <w:start w:val="17"/>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1"/>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decimal"/>
      <w:start w:val="1"/>
    </w:lvl>
  </w:abstractNum>
  <w:abstractNum w:abstractNumId="93">
    <w:nsid w:val="1D545C4D"/>
    <w:multiLevelType w:val="hybridMultilevel"/>
    <w:lvl w:ilvl="0">
      <w:lvlJc w:val="left"/>
      <w:lvlText w:val="(%1)"/>
      <w:numFmt w:val="decimal"/>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7"/>
    </w:lvl>
  </w:abstractNum>
  <w:abstractNum w:abstractNumId="99">
    <w:nsid w:val="51088277"/>
    <w:multiLevelType w:val="hybridMultilevel"/>
    <w:lvl w:ilvl="0">
      <w:lvlJc w:val="left"/>
      <w:lvlText w:val="(%1)"/>
      <w:numFmt w:val="decimal"/>
      <w:start w:val="18"/>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
      <w:numFmt w:val="bullet"/>
      <w:start w:val="1"/>
    </w:lvl>
  </w:abstractNum>
  <w:abstractNum w:abstractNumId="102">
    <w:nsid w:val="415E286C"/>
    <w:multiLevelType w:val="hybridMultilevel"/>
    <w:lvl w:ilvl="0">
      <w:lvlJc w:val="left"/>
      <w:lvlText w:val="•"/>
      <w:numFmt w:val="bullet"/>
      <w:start w:val="1"/>
    </w:lvl>
  </w:abstractNum>
  <w:abstractNum w:abstractNumId="103">
    <w:nsid w:val="7C58FD05"/>
    <w:multiLevelType w:val="hybridMultilevel"/>
    <w:lvl w:ilvl="0">
      <w:lvlJc w:val="left"/>
      <w:lvlText w:val="•"/>
      <w:numFmt w:val="bullet"/>
      <w:start w:val="1"/>
    </w:lvl>
  </w:abstractNum>
  <w:abstractNum w:abstractNumId="104">
    <w:nsid w:val="23D86AAC"/>
    <w:multiLevelType w:val="hybridMultilevel"/>
    <w:lvl w:ilvl="0">
      <w:lvlJc w:val="left"/>
      <w:lvlText w:val="•"/>
      <w:numFmt w:val="bullet"/>
      <w:start w:val="1"/>
    </w:lvl>
  </w:abstractNum>
  <w:abstractNum w:abstractNumId="105">
    <w:nsid w:val="45E6D486"/>
    <w:multiLevelType w:val="hybridMultilevel"/>
    <w:lvl w:ilvl="0">
      <w:lvlJc w:val="left"/>
      <w:lvlText w:val="•"/>
      <w:numFmt w:val="bullet"/>
      <w:start w:val="1"/>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
      <w:numFmt w:val="bullet"/>
      <w:start w:val="1"/>
    </w:lvl>
  </w:abstractNum>
  <w:abstractNum w:abstractNumId="108">
    <w:nsid w:val="3C5991AA"/>
    <w:multiLevelType w:val="hybridMultilevel"/>
    <w:lvl w:ilvl="0">
      <w:lvlJc w:val="left"/>
      <w:lvlText w:val="•"/>
      <w:numFmt w:val="bullet"/>
      <w:start w:val="1"/>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
      <w:numFmt w:val="bullet"/>
      <w:start w:val="1"/>
    </w:lvl>
    <w:lvl w:ilvl="1">
      <w:lvlJc w:val="left"/>
      <w:lvlText w:val="(%2)"/>
      <w:numFmt w:val="lowerLetter"/>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2019-11-30T11:56:37Z</dcterms:created>
  <dcterms:modified xsi:type="dcterms:W3CDTF">2019-11-30T11:56:37Z</dcterms:modified>
</cp:coreProperties>
</file>