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862965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829310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52705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125730</wp:posOffset>
            </wp:positionV>
            <wp:extent cx="1876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980" w:hanging="638"/>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ANNUAL REPORT PURSUANT TO SECTION 13 OR 15(d) OF THE SECURITIES EXCHANGE ACT OF 1934</w:t>
      </w:r>
    </w:p>
    <w:p>
      <w:pPr>
        <w:spacing w:after="0" w:line="12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color w:val="auto"/>
        </w:rPr>
        <w:t>December 31, 2023</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122" w:lineRule="exact"/>
        <w:rPr>
          <w:sz w:val="24"/>
          <w:szCs w:val="24"/>
          <w:color w:val="auto"/>
        </w:rPr>
      </w:pPr>
    </w:p>
    <w:p>
      <w:pPr>
        <w:ind w:left="980" w:hanging="638"/>
        <w:spacing w:after="0"/>
        <w:tabs>
          <w:tab w:leader="none" w:pos="980" w:val="left"/>
        </w:tabs>
        <w:numPr>
          <w:ilvl w:val="0"/>
          <w:numId w:val="2"/>
        </w:numPr>
        <w:rPr>
          <w:rFonts w:ascii="MS PGothic" w:cs="MS PGothic" w:eastAsia="MS PGothic" w:hAnsi="MS PGothic"/>
          <w:sz w:val="19"/>
          <w:szCs w:val="19"/>
          <w:color w:val="auto"/>
        </w:rPr>
      </w:pPr>
      <w:r>
        <w:rPr>
          <w:rFonts w:ascii="Arial" w:cs="Arial" w:eastAsia="Arial" w:hAnsi="Arial"/>
          <w:sz w:val="18"/>
          <w:szCs w:val="18"/>
          <w:color w:val="auto"/>
        </w:rPr>
        <w:t>TRANSITION REPORT PURSUANT TO SECTION 13 OR 15(d) OF THE SECURITIES EXCHANGE ACT OF 1934</w:t>
      </w:r>
    </w:p>
    <w:p>
      <w:pPr>
        <w:spacing w:after="0" w:line="363" w:lineRule="exact"/>
        <w:rPr>
          <w:sz w:val="24"/>
          <w:szCs w:val="24"/>
          <w:color w:val="auto"/>
        </w:rPr>
      </w:pPr>
    </w:p>
    <w:p>
      <w:pPr>
        <w:ind w:left="3880"/>
        <w:spacing w:after="0"/>
        <w:tabs>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123190</wp:posOffset>
            </wp:positionV>
            <wp:extent cx="2734310" cy="148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1489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BEYOND MEAT, INC.</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104775</wp:posOffset>
            </wp:positionV>
            <wp:extent cx="1876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72"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940" w:type="dxa"/>
            <w:vAlign w:val="bottom"/>
          </w:tcPr>
          <w:p>
            <w:pPr>
              <w:jc w:val="center"/>
              <w:ind w:right="1552"/>
              <w:spacing w:after="0"/>
              <w:rPr>
                <w:sz w:val="20"/>
                <w:szCs w:val="20"/>
                <w:color w:val="auto"/>
              </w:rPr>
            </w:pPr>
            <w:r>
              <w:rPr>
                <w:rFonts w:ascii="Arial" w:cs="Arial" w:eastAsia="Arial" w:hAnsi="Arial"/>
                <w:sz w:val="18"/>
                <w:szCs w:val="18"/>
                <w:b w:val="1"/>
                <w:bCs w:val="1"/>
                <w:color w:val="auto"/>
                <w:w w:val="98"/>
              </w:rPr>
              <w:t>Delaware</w:t>
            </w:r>
          </w:p>
        </w:tc>
        <w:tc>
          <w:tcPr>
            <w:tcW w:w="3020" w:type="dxa"/>
            <w:vAlign w:val="bottom"/>
          </w:tcPr>
          <w:p>
            <w:pPr>
              <w:jc w:val="center"/>
              <w:ind w:left="1552"/>
              <w:spacing w:after="0"/>
              <w:rPr>
                <w:sz w:val="20"/>
                <w:szCs w:val="20"/>
                <w:color w:val="auto"/>
              </w:rPr>
            </w:pPr>
            <w:r>
              <w:rPr>
                <w:rFonts w:ascii="Arial" w:cs="Arial" w:eastAsia="Arial" w:hAnsi="Arial"/>
                <w:sz w:val="18"/>
                <w:szCs w:val="18"/>
                <w:b w:val="1"/>
                <w:bCs w:val="1"/>
                <w:color w:val="auto"/>
                <w:w w:val="97"/>
              </w:rPr>
              <w:t>26-4087597</w:t>
            </w:r>
          </w:p>
        </w:tc>
      </w:tr>
      <w:tr>
        <w:trPr>
          <w:trHeight w:val="176"/>
        </w:trPr>
        <w:tc>
          <w:tcPr>
            <w:tcW w:w="3940" w:type="dxa"/>
            <w:vAlign w:val="bottom"/>
          </w:tcPr>
          <w:p>
            <w:pPr>
              <w:jc w:val="center"/>
              <w:ind w:right="1552"/>
              <w:spacing w:after="0" w:line="176" w:lineRule="exact"/>
              <w:rPr>
                <w:sz w:val="20"/>
                <w:szCs w:val="20"/>
                <w:color w:val="auto"/>
              </w:rPr>
            </w:pPr>
            <w:r>
              <w:rPr>
                <w:rFonts w:ascii="Arial" w:cs="Arial" w:eastAsia="Arial" w:hAnsi="Arial"/>
                <w:sz w:val="18"/>
                <w:szCs w:val="18"/>
                <w:color w:val="auto"/>
                <w:w w:val="98"/>
              </w:rPr>
              <w:t>(State or other jurisdiction of</w:t>
            </w:r>
          </w:p>
        </w:tc>
        <w:tc>
          <w:tcPr>
            <w:tcW w:w="3020" w:type="dxa"/>
            <w:vAlign w:val="bottom"/>
          </w:tcPr>
          <w:p>
            <w:pPr>
              <w:jc w:val="center"/>
              <w:ind w:left="1552"/>
              <w:spacing w:after="0" w:line="176" w:lineRule="exact"/>
              <w:rPr>
                <w:sz w:val="20"/>
                <w:szCs w:val="20"/>
                <w:color w:val="auto"/>
              </w:rPr>
            </w:pPr>
            <w:r>
              <w:rPr>
                <w:rFonts w:ascii="Arial" w:cs="Arial" w:eastAsia="Arial" w:hAnsi="Arial"/>
                <w:sz w:val="18"/>
                <w:szCs w:val="18"/>
                <w:color w:val="auto"/>
                <w:w w:val="98"/>
              </w:rPr>
              <w:t>(I.R.S. Employer</w:t>
            </w:r>
          </w:p>
        </w:tc>
      </w:tr>
      <w:tr>
        <w:trPr>
          <w:trHeight w:val="232"/>
        </w:trPr>
        <w:tc>
          <w:tcPr>
            <w:tcW w:w="3940" w:type="dxa"/>
            <w:vAlign w:val="bottom"/>
          </w:tcPr>
          <w:p>
            <w:pPr>
              <w:jc w:val="center"/>
              <w:ind w:right="1552"/>
              <w:spacing w:after="0"/>
              <w:rPr>
                <w:sz w:val="20"/>
                <w:szCs w:val="20"/>
                <w:color w:val="auto"/>
              </w:rPr>
            </w:pPr>
            <w:r>
              <w:rPr>
                <w:rFonts w:ascii="Arial" w:cs="Arial" w:eastAsia="Arial" w:hAnsi="Arial"/>
                <w:sz w:val="18"/>
                <w:szCs w:val="18"/>
                <w:color w:val="auto"/>
                <w:w w:val="98"/>
              </w:rPr>
              <w:t>incorporation or organization)</w:t>
            </w:r>
          </w:p>
        </w:tc>
        <w:tc>
          <w:tcPr>
            <w:tcW w:w="3020" w:type="dxa"/>
            <w:vAlign w:val="bottom"/>
          </w:tcPr>
          <w:p>
            <w:pPr>
              <w:jc w:val="center"/>
              <w:ind w:left="1552"/>
              <w:spacing w:after="0"/>
              <w:rPr>
                <w:sz w:val="20"/>
                <w:szCs w:val="20"/>
                <w:color w:val="auto"/>
              </w:rPr>
            </w:pPr>
            <w:r>
              <w:rPr>
                <w:rFonts w:ascii="Arial" w:cs="Arial" w:eastAsia="Arial" w:hAnsi="Arial"/>
                <w:sz w:val="18"/>
                <w:szCs w:val="18"/>
                <w:color w:val="auto"/>
                <w:w w:val="98"/>
              </w:rPr>
              <w:t>Identification No.)</w:t>
            </w:r>
          </w:p>
        </w:tc>
      </w:tr>
    </w:tbl>
    <w:p>
      <w:pPr>
        <w:spacing w:after="0" w:line="8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888 N. Douglas Street, Suite 100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El Segundo, CA 90245</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(866) 756-4112</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Trading</w:t>
            </w:r>
          </w:p>
        </w:tc>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8"/>
        </w:trPr>
        <w:tc>
          <w:tcPr>
            <w:tcW w:w="40" w:type="dxa"/>
            <w:vAlign w:val="bottom"/>
          </w:tcPr>
          <w:p>
            <w:pPr>
              <w:spacing w:after="0"/>
              <w:rPr>
                <w:sz w:val="18"/>
                <w:szCs w:val="18"/>
                <w:color w:val="auto"/>
              </w:rPr>
            </w:pPr>
          </w:p>
        </w:tc>
        <w:tc>
          <w:tcPr>
            <w:tcW w:w="4160" w:type="dxa"/>
            <w:vAlign w:val="bottom"/>
            <w:gridSpan w:val="2"/>
          </w:tcPr>
          <w:p>
            <w:pPr>
              <w:jc w:val="center"/>
              <w:ind w:right="18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Symbol(s)</w:t>
            </w:r>
          </w:p>
        </w:tc>
        <w:tc>
          <w:tcPr>
            <w:tcW w:w="3480" w:type="dxa"/>
            <w:vAlign w:val="bottom"/>
            <w:gridSpan w:val="2"/>
          </w:tcPr>
          <w:p>
            <w:pPr>
              <w:jc w:val="center"/>
              <w:ind w:left="481"/>
              <w:spacing w:after="0"/>
              <w:rPr>
                <w:sz w:val="20"/>
                <w:szCs w:val="20"/>
                <w:color w:val="auto"/>
              </w:rPr>
            </w:pPr>
            <w:r>
              <w:rPr>
                <w:rFonts w:ascii="Arial" w:cs="Arial" w:eastAsia="Arial" w:hAnsi="Arial"/>
                <w:sz w:val="14"/>
                <w:szCs w:val="14"/>
                <w:color w:val="auto"/>
              </w:rPr>
              <w:t>Name of each exchange on which registered</w:t>
            </w:r>
          </w:p>
        </w:tc>
        <w:tc>
          <w:tcPr>
            <w:tcW w:w="580" w:type="dxa"/>
            <w:vAlign w:val="bottom"/>
          </w:tcPr>
          <w:p>
            <w:pPr>
              <w:spacing w:after="0"/>
              <w:rPr>
                <w:sz w:val="18"/>
                <w:szCs w:val="18"/>
                <w:color w:val="auto"/>
              </w:rPr>
            </w:pPr>
          </w:p>
        </w:tc>
      </w:tr>
      <w:tr>
        <w:trPr>
          <w:trHeight w:val="242"/>
        </w:trPr>
        <w:tc>
          <w:tcPr>
            <w:tcW w:w="40" w:type="dxa"/>
            <w:vAlign w:val="bottom"/>
          </w:tcPr>
          <w:p>
            <w:pPr>
              <w:spacing w:after="0"/>
              <w:rPr>
                <w:sz w:val="21"/>
                <w:szCs w:val="21"/>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Common Stock, $0.0001 par value</w:t>
            </w:r>
          </w:p>
        </w:tc>
        <w:tc>
          <w:tcPr>
            <w:tcW w:w="160" w:type="dxa"/>
            <w:vAlign w:val="bottom"/>
          </w:tcPr>
          <w:p>
            <w:pPr>
              <w:spacing w:after="0"/>
              <w:rPr>
                <w:sz w:val="21"/>
                <w:szCs w:val="21"/>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40" w:type="dxa"/>
            <w:vAlign w:val="bottom"/>
          </w:tcPr>
          <w:p>
            <w:pPr>
              <w:spacing w:after="0"/>
              <w:rPr>
                <w:sz w:val="21"/>
                <w:szCs w:val="21"/>
                <w:color w:val="auto"/>
              </w:rPr>
            </w:pPr>
          </w:p>
        </w:tc>
        <w:tc>
          <w:tcPr>
            <w:tcW w:w="3480" w:type="dxa"/>
            <w:vAlign w:val="bottom"/>
            <w:tcBorders>
              <w:top w:val="single" w:sz="8" w:color="auto"/>
            </w:tcBorders>
            <w:gridSpan w:val="2"/>
          </w:tcPr>
          <w:p>
            <w:pPr>
              <w:jc w:val="center"/>
              <w:ind w:left="501"/>
              <w:spacing w:after="0"/>
              <w:rPr>
                <w:sz w:val="20"/>
                <w:szCs w:val="20"/>
                <w:color w:val="auto"/>
              </w:rPr>
            </w:pPr>
            <w:r>
              <w:rPr>
                <w:rFonts w:ascii="Arial" w:cs="Arial" w:eastAsia="Arial" w:hAnsi="Arial"/>
                <w:sz w:val="18"/>
                <w:szCs w:val="18"/>
                <w:b w:val="1"/>
                <w:bCs w:val="1"/>
                <w:color w:val="auto"/>
                <w:w w:val="98"/>
              </w:rPr>
              <w:t>The Nasdaq Stock Market LLC</w:t>
            </w:r>
          </w:p>
        </w:tc>
        <w:tc>
          <w:tcPr>
            <w:tcW w:w="580" w:type="dxa"/>
            <w:vAlign w:val="bottom"/>
            <w:tcBorders>
              <w:top w:val="single" w:sz="8" w:color="auto"/>
            </w:tcBorders>
          </w:tcPr>
          <w:p>
            <w:pPr>
              <w:spacing w:after="0"/>
              <w:rPr>
                <w:sz w:val="21"/>
                <w:szCs w:val="21"/>
                <w:color w:val="auto"/>
              </w:rPr>
            </w:pPr>
          </w:p>
        </w:tc>
      </w:tr>
      <w:tr>
        <w:trPr>
          <w:trHeight w:val="392"/>
        </w:trPr>
        <w:tc>
          <w:tcPr>
            <w:tcW w:w="40" w:type="dxa"/>
            <w:vAlign w:val="bottom"/>
          </w:tcPr>
          <w:p>
            <w:pPr>
              <w:spacing w:after="0"/>
              <w:rPr>
                <w:sz w:val="24"/>
                <w:szCs w:val="24"/>
                <w:color w:val="auto"/>
              </w:rPr>
            </w:pPr>
          </w:p>
        </w:tc>
        <w:tc>
          <w:tcPr>
            <w:tcW w:w="9240" w:type="dxa"/>
            <w:vAlign w:val="bottom"/>
            <w:gridSpan w:val="5"/>
          </w:tcPr>
          <w:p>
            <w:pPr>
              <w:ind w:left="27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8"/>
        </w:trPr>
        <w:tc>
          <w:tcPr>
            <w:tcW w:w="9280" w:type="dxa"/>
            <w:vAlign w:val="bottom"/>
            <w:gridSpan w:val="6"/>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7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98"/>
        </w:trPr>
        <w:tc>
          <w:tcPr>
            <w:tcW w:w="9280" w:type="dxa"/>
            <w:vAlign w:val="bottom"/>
            <w:gridSpan w:val="6"/>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7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28" w:lineRule="exact"/>
        <w:rPr>
          <w:sz w:val="24"/>
          <w:szCs w:val="24"/>
          <w:color w:val="auto"/>
        </w:rPr>
      </w:pPr>
    </w:p>
    <w:p>
      <w:pPr>
        <w:ind w:firstLine="318"/>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40" w:firstLine="318"/>
        <w:spacing w:after="0" w:line="25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w:t>
      </w:r>
    </w:p>
    <w:p>
      <w:pPr>
        <w:spacing w:after="0" w:line="1" w:lineRule="exact"/>
        <w:rPr>
          <w:sz w:val="24"/>
          <w:szCs w:val="24"/>
          <w:color w:val="auto"/>
        </w:rPr>
      </w:pPr>
    </w:p>
    <w:p>
      <w:pPr>
        <w:spacing w:after="0" w:line="207" w:lineRule="exact"/>
        <w:tabs>
          <w:tab w:leader="none" w:pos="2740" w:val="left"/>
          <w:tab w:leader="none" w:pos="3500" w:val="left"/>
        </w:tabs>
        <w:rPr>
          <w:sz w:val="20"/>
          <w:szCs w:val="20"/>
          <w:color w:val="auto"/>
        </w:rPr>
      </w:pPr>
      <w:r>
        <w:rPr>
          <w:rFonts w:ascii="Arial" w:cs="Arial" w:eastAsia="Arial" w:hAnsi="Arial"/>
          <w:sz w:val="18"/>
          <w:szCs w:val="18"/>
          <w:color w:val="auto"/>
        </w:rPr>
        <w:t>required to submit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2" w:lineRule="exact"/>
        <w:rPr>
          <w:sz w:val="24"/>
          <w:szCs w:val="24"/>
          <w:color w:val="auto"/>
        </w:rPr>
      </w:pPr>
    </w:p>
    <w:p>
      <w:pPr>
        <w:ind w:right="100" w:firstLine="318"/>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1440" w:right="439" w:bottom="148" w:gutter="0" w:footer="0" w:header="0"/>
        </w:sectPr>
      </w:pPr>
    </w:p>
    <w:bookmarkStart w:id="1" w:name="page2"/>
    <w:bookmarkEnd w:id="1"/>
    <w:tbl>
      <w:tblPr>
        <w:tblLayout w:type="fixed"/>
        <w:tblInd w:w="340" w:type="dxa"/>
        <w:tblCellMar>
          <w:top w:w="0" w:type="dxa"/>
          <w:left w:w="0" w:type="dxa"/>
          <w:bottom w:w="0" w:type="dxa"/>
          <w:right w:w="0" w:type="dxa"/>
        </w:tblCellMar>
      </w:tblPr>
      <w:tr>
        <w:trPr>
          <w:trHeight w:val="29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56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ind w:firstLine="318"/>
        <w:spacing w:after="0" w:line="23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ind w:right="60" w:firstLine="318"/>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200" w:firstLine="318"/>
        <w:spacing w:after="0" w:line="234"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520" w:firstLine="318"/>
        <w:spacing w:after="0" w:line="234"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75" w:lineRule="exact"/>
        <w:rPr>
          <w:sz w:val="20"/>
          <w:szCs w:val="20"/>
          <w:color w:val="auto"/>
        </w:rPr>
      </w:pPr>
    </w:p>
    <w:p>
      <w:pPr>
        <w:ind w:left="320"/>
        <w:spacing w:after="0" w:line="207" w:lineRule="exact"/>
        <w:tabs>
          <w:tab w:leader="none" w:pos="9320" w:val="left"/>
          <w:tab w:leader="none" w:pos="100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ind w:firstLine="318"/>
        <w:spacing w:after="0" w:line="304" w:lineRule="auto"/>
        <w:rPr>
          <w:sz w:val="20"/>
          <w:szCs w:val="20"/>
          <w:color w:val="auto"/>
        </w:rPr>
      </w:pPr>
      <w:r>
        <w:rPr>
          <w:rFonts w:ascii="Arial" w:cs="Arial" w:eastAsia="Arial" w:hAnsi="Arial"/>
          <w:sz w:val="17"/>
          <w:szCs w:val="17"/>
          <w:color w:val="auto"/>
        </w:rPr>
        <w:t>As of June 30, 2023, the aggregate market value of the voting and non-voting common equity held by non-affiliates of the registrant, based on the closing sales price of the registrant’s common stock as reported on the Nasdaq Global Select Market on such date, was $0.8 billion.</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February 28, 2024, the registrant had 64,677,261 shares of common stock, $0.0001 par value per share, outstanding.</w:t>
      </w:r>
    </w:p>
    <w:p>
      <w:pPr>
        <w:spacing w:after="0" w:line="1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Portions of the registrant’s definitive proxy statement relating to its 2024 Annual Meeting of Stockholders to be filed with the Securities and Exchange Commission within 120 days after the end of the fiscal year ended December 31, 2023 are incorporated herein by reference in Part III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563880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139065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36"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1014730</wp:posOffset>
            </wp:positionV>
            <wp:extent cx="6739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9255"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40" w:type="dxa"/>
            <w:vAlign w:val="bottom"/>
            <w:gridSpan w:val="10"/>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5"/>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680" w:type="dxa"/>
            <w:vAlign w:val="bottom"/>
            <w:tcBorders>
              <w:top w:val="single" w:sz="8" w:color="CCEEFF"/>
            </w:tcBorders>
            <w:gridSpan w:val="24"/>
            <w:shd w:val="clear" w:color="auto" w:fill="CCEEFF"/>
          </w:tcPr>
          <w:p>
            <w:pPr>
              <w:spacing w:after="0" w:line="186" w:lineRule="exact"/>
              <w:rPr>
                <w:sz w:val="20"/>
                <w:szCs w:val="20"/>
                <w:color w:val="auto"/>
              </w:rPr>
            </w:pPr>
            <w:r>
              <w:rPr>
                <w:rFonts w:ascii="Arial" w:cs="Arial" w:eastAsia="Arial" w:hAnsi="Arial"/>
                <w:sz w:val="18"/>
                <w:szCs w:val="18"/>
                <w:color w:val="0000FF"/>
              </w:rPr>
              <w:t>Note Regarding Forward-Looking Statements</w:t>
            </w: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u w:val="single" w:color="auto"/>
                <w:color w:val="0000FF"/>
              </w:rPr>
              <w:t>i</w:t>
            </w:r>
          </w:p>
        </w:tc>
        <w:tc>
          <w:tcPr>
            <w:tcW w:w="3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060" w:type="dxa"/>
            <w:vAlign w:val="bottom"/>
            <w:tcBorders>
              <w:top w:val="single" w:sz="8" w:color="CCEEFF"/>
            </w:tcBorders>
            <w:gridSpan w:val="9"/>
          </w:tcPr>
          <w:p>
            <w:pPr>
              <w:jc w:val="center"/>
              <w:ind w:right="4640"/>
              <w:spacing w:after="0" w:line="199" w:lineRule="exact"/>
              <w:rPr>
                <w:sz w:val="20"/>
                <w:szCs w:val="20"/>
                <w:color w:val="auto"/>
              </w:rPr>
            </w:pPr>
            <w:r>
              <w:rPr>
                <w:rFonts w:ascii="Arial" w:cs="Arial" w:eastAsia="Arial" w:hAnsi="Arial"/>
                <w:sz w:val="18"/>
                <w:szCs w:val="18"/>
                <w:color w:val="0000FF"/>
                <w:w w:val="97"/>
              </w:rPr>
              <w:t>Part I</w:t>
            </w: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9680" w:type="dxa"/>
            <w:vAlign w:val="bottom"/>
            <w:gridSpan w:val="24"/>
            <w:shd w:val="clear" w:color="auto" w:fill="CCEEFF"/>
          </w:tcPr>
          <w:p>
            <w:pPr>
              <w:spacing w:after="0" w:line="186" w:lineRule="exact"/>
              <w:rPr>
                <w:sz w:val="20"/>
                <w:szCs w:val="20"/>
                <w:color w:val="auto"/>
              </w:rPr>
            </w:pPr>
            <w:r>
              <w:rPr>
                <w:rFonts w:ascii="Arial" w:cs="Arial" w:eastAsia="Arial" w:hAnsi="Arial"/>
                <w:sz w:val="18"/>
                <w:szCs w:val="18"/>
                <w:color w:val="0000FF"/>
              </w:rPr>
              <w:t>Item 1. Business</w:t>
            </w:r>
          </w:p>
        </w:tc>
        <w:tc>
          <w:tcPr>
            <w:tcW w:w="900" w:type="dxa"/>
            <w:vAlign w:val="bottom"/>
            <w:gridSpan w:val="4"/>
            <w:shd w:val="clear" w:color="auto" w:fill="CCEEFF"/>
          </w:tcPr>
          <w:p>
            <w:pPr>
              <w:jc w:val="right"/>
              <w:spacing w:after="0" w:line="186" w:lineRule="exact"/>
              <w:rPr>
                <w:sz w:val="20"/>
                <w:szCs w:val="20"/>
                <w:color w:val="auto"/>
              </w:rPr>
            </w:pPr>
            <w:r>
              <w:rPr>
                <w:rFonts w:ascii="Arial" w:cs="Arial" w:eastAsia="Arial" w:hAnsi="Arial"/>
                <w:sz w:val="18"/>
                <w:szCs w:val="18"/>
                <w:color w:val="0000FF"/>
              </w:rPr>
              <w:t>1</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680" w:type="dxa"/>
            <w:vAlign w:val="bottom"/>
            <w:gridSpan w:val="24"/>
          </w:tcPr>
          <w:p>
            <w:pPr>
              <w:spacing w:after="0" w:line="186" w:lineRule="exact"/>
              <w:rPr>
                <w:sz w:val="20"/>
                <w:szCs w:val="20"/>
                <w:color w:val="auto"/>
              </w:rPr>
            </w:pPr>
            <w:r>
              <w:rPr>
                <w:rFonts w:ascii="Arial" w:cs="Arial" w:eastAsia="Arial" w:hAnsi="Arial"/>
                <w:sz w:val="18"/>
                <w:szCs w:val="18"/>
                <w:color w:val="0000FF"/>
              </w:rPr>
              <w:t>Item 1A. Risk Factors</w:t>
            </w: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680" w:type="dxa"/>
            <w:vAlign w:val="bottom"/>
            <w:gridSpan w:val="24"/>
            <w:shd w:val="clear" w:color="auto" w:fill="CCEEFF"/>
          </w:tcPr>
          <w:p>
            <w:pPr>
              <w:spacing w:after="0" w:line="195" w:lineRule="exact"/>
              <w:rPr>
                <w:sz w:val="20"/>
                <w:szCs w:val="20"/>
                <w:color w:val="auto"/>
              </w:rPr>
            </w:pPr>
            <w:r>
              <w:rPr>
                <w:rFonts w:ascii="Arial" w:cs="Arial" w:eastAsia="Arial" w:hAnsi="Arial"/>
                <w:sz w:val="18"/>
                <w:szCs w:val="18"/>
                <w:color w:val="0000FF"/>
              </w:rPr>
              <w:t>Item 1B. Unresolved Staff Comments</w:t>
            </w: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55</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1800" w:type="dxa"/>
            <w:vAlign w:val="bottom"/>
            <w:gridSpan w:val="5"/>
          </w:tcPr>
          <w:p>
            <w:pPr>
              <w:spacing w:after="0" w:line="186" w:lineRule="exact"/>
              <w:rPr>
                <w:sz w:val="20"/>
                <w:szCs w:val="20"/>
                <w:color w:val="auto"/>
              </w:rPr>
            </w:pPr>
            <w:r>
              <w:rPr>
                <w:rFonts w:ascii="Arial" w:cs="Arial" w:eastAsia="Arial" w:hAnsi="Arial"/>
                <w:sz w:val="18"/>
                <w:szCs w:val="18"/>
                <w:color w:val="0000FF"/>
                <w:w w:val="97"/>
              </w:rPr>
              <w:t>Item 1C. Cybersecurity</w:t>
            </w:r>
          </w:p>
        </w:tc>
        <w:tc>
          <w:tcPr>
            <w:tcW w:w="1100" w:type="dxa"/>
            <w:vAlign w:val="bottom"/>
            <w:gridSpan w:val="5"/>
          </w:tcPr>
          <w:p>
            <w:pPr>
              <w:spacing w:after="0"/>
              <w:rPr>
                <w:sz w:val="16"/>
                <w:szCs w:val="16"/>
                <w:color w:val="auto"/>
              </w:rPr>
            </w:pPr>
          </w:p>
        </w:tc>
        <w:tc>
          <w:tcPr>
            <w:tcW w:w="6780" w:type="dxa"/>
            <w:vAlign w:val="bottom"/>
            <w:gridSpan w:val="14"/>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55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18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rPr>
              <w:t>Item 2. Properties</w:t>
            </w:r>
          </w:p>
        </w:tc>
        <w:tc>
          <w:tcPr>
            <w:tcW w:w="7880" w:type="dxa"/>
            <w:vAlign w:val="bottom"/>
            <w:gridSpan w:val="19"/>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57</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9680" w:type="dxa"/>
            <w:vAlign w:val="bottom"/>
            <w:gridSpan w:val="24"/>
          </w:tcPr>
          <w:p>
            <w:pPr>
              <w:spacing w:after="0" w:line="186" w:lineRule="exact"/>
              <w:rPr>
                <w:sz w:val="20"/>
                <w:szCs w:val="20"/>
                <w:color w:val="auto"/>
              </w:rPr>
            </w:pPr>
            <w:r>
              <w:rPr>
                <w:rFonts w:ascii="Arial" w:cs="Arial" w:eastAsia="Arial" w:hAnsi="Arial"/>
                <w:sz w:val="18"/>
                <w:szCs w:val="18"/>
                <w:color w:val="0000FF"/>
              </w:rPr>
              <w:t>Item 3. Legal Proceedings</w:t>
            </w: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57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680" w:type="dxa"/>
            <w:vAlign w:val="bottom"/>
            <w:gridSpan w:val="24"/>
            <w:shd w:val="clear" w:color="auto" w:fill="CCEEFF"/>
          </w:tcPr>
          <w:p>
            <w:pPr>
              <w:spacing w:after="0" w:line="195" w:lineRule="exact"/>
              <w:rPr>
                <w:sz w:val="20"/>
                <w:szCs w:val="20"/>
                <w:color w:val="auto"/>
              </w:rPr>
            </w:pPr>
            <w:r>
              <w:rPr>
                <w:rFonts w:ascii="Arial" w:cs="Arial" w:eastAsia="Arial" w:hAnsi="Arial"/>
                <w:sz w:val="18"/>
                <w:szCs w:val="18"/>
                <w:color w:val="0000FF"/>
              </w:rPr>
              <w:t>Item 4. Mine Safety Disclosures</w:t>
            </w: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58</w:t>
            </w:r>
          </w:p>
        </w:tc>
        <w:tc>
          <w:tcPr>
            <w:tcW w:w="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5060" w:type="dxa"/>
            <w:vAlign w:val="bottom"/>
            <w:tcBorders>
              <w:top w:val="single" w:sz="8" w:color="CCEEFF"/>
            </w:tcBorders>
            <w:gridSpan w:val="9"/>
          </w:tcPr>
          <w:p>
            <w:pPr>
              <w:jc w:val="center"/>
              <w:ind w:right="4620"/>
              <w:spacing w:after="0" w:line="186" w:lineRule="exact"/>
              <w:rPr>
                <w:sz w:val="20"/>
                <w:szCs w:val="20"/>
                <w:color w:val="auto"/>
              </w:rPr>
            </w:pPr>
            <w:r>
              <w:rPr>
                <w:rFonts w:ascii="Arial" w:cs="Arial" w:eastAsia="Arial" w:hAnsi="Arial"/>
                <w:sz w:val="18"/>
                <w:szCs w:val="18"/>
                <w:color w:val="0000FF"/>
                <w:w w:val="91"/>
              </w:rPr>
              <w:t>Part II</w:t>
            </w:r>
          </w:p>
        </w:tc>
        <w:tc>
          <w:tcPr>
            <w:tcW w:w="6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40" w:type="dxa"/>
            <w:vAlign w:val="bottom"/>
            <w:tcBorders>
              <w:right w:val="single" w:sz="8" w:color="CCEEFF"/>
            </w:tcBorders>
          </w:tcPr>
          <w:p>
            <w:pPr>
              <w:spacing w:after="0"/>
              <w:rPr>
                <w:sz w:val="19"/>
                <w:szCs w:val="19"/>
                <w:color w:val="auto"/>
              </w:rPr>
            </w:pPr>
          </w:p>
        </w:tc>
        <w:tc>
          <w:tcPr>
            <w:tcW w:w="9300" w:type="dxa"/>
            <w:vAlign w:val="bottom"/>
            <w:tcBorders>
              <w:bottom w:val="single" w:sz="8" w:color="0000FF"/>
            </w:tcBorders>
            <w:gridSpan w:val="23"/>
            <w:shd w:val="clear" w:color="auto" w:fill="CCEEFF"/>
          </w:tcPr>
          <w:p>
            <w:pPr>
              <w:spacing w:after="0" w:line="189" w:lineRule="exact"/>
              <w:rPr>
                <w:sz w:val="20"/>
                <w:szCs w:val="20"/>
                <w:color w:val="auto"/>
              </w:rPr>
            </w:pPr>
            <w:r>
              <w:rPr>
                <w:rFonts w:ascii="Arial" w:cs="Arial" w:eastAsia="Arial" w:hAnsi="Arial"/>
                <w:sz w:val="18"/>
                <w:szCs w:val="18"/>
                <w:color w:val="0000FF"/>
                <w:w w:val="97"/>
              </w:rPr>
              <w:t>Item 5. Market for Registrant’s Common Equity, Related Stockholder Matters and Issuer Purchases of Equity Securities</w:t>
            </w: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0000FF"/>
              </w:rPr>
              <w:t>58</w:t>
            </w:r>
          </w:p>
        </w:tc>
        <w:tc>
          <w:tcPr>
            <w:tcW w:w="3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0" w:type="dxa"/>
            <w:vAlign w:val="bottom"/>
            <w:tcBorders>
              <w:right w:val="single" w:sz="8" w:color="CCEEFF"/>
            </w:tcBorders>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right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left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40" w:type="dxa"/>
            <w:vAlign w:val="bottom"/>
          </w:tcPr>
          <w:p>
            <w:pPr>
              <w:spacing w:after="0"/>
              <w:rPr>
                <w:sz w:val="17"/>
                <w:szCs w:val="17"/>
                <w:color w:val="auto"/>
              </w:rPr>
            </w:pPr>
          </w:p>
        </w:tc>
        <w:tc>
          <w:tcPr>
            <w:tcW w:w="9680" w:type="dxa"/>
            <w:vAlign w:val="bottom"/>
            <w:gridSpan w:val="24"/>
          </w:tcPr>
          <w:p>
            <w:pPr>
              <w:spacing w:after="0" w:line="199" w:lineRule="exact"/>
              <w:rPr>
                <w:sz w:val="20"/>
                <w:szCs w:val="20"/>
                <w:color w:val="auto"/>
              </w:rPr>
            </w:pPr>
            <w:r>
              <w:rPr>
                <w:rFonts w:ascii="Arial" w:cs="Arial" w:eastAsia="Arial" w:hAnsi="Arial"/>
                <w:sz w:val="18"/>
                <w:szCs w:val="18"/>
                <w:color w:val="0000FF"/>
              </w:rPr>
              <w:t>Item 6. [Reserved]</w:t>
            </w:r>
          </w:p>
        </w:tc>
        <w:tc>
          <w:tcPr>
            <w:tcW w:w="900" w:type="dxa"/>
            <w:vAlign w:val="bottom"/>
            <w:gridSpan w:val="4"/>
            <w:vMerge w:val="restart"/>
          </w:tcPr>
          <w:p>
            <w:pPr>
              <w:jc w:val="right"/>
              <w:spacing w:after="0"/>
              <w:rPr>
                <w:sz w:val="20"/>
                <w:szCs w:val="20"/>
                <w:color w:val="auto"/>
              </w:rPr>
            </w:pPr>
            <w:r>
              <w:rPr>
                <w:rFonts w:ascii="Arial" w:cs="Arial" w:eastAsia="Arial" w:hAnsi="Arial"/>
                <w:sz w:val="18"/>
                <w:szCs w:val="18"/>
                <w:color w:val="0000FF"/>
              </w:rPr>
              <w:t>59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754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w w:val="97"/>
              </w:rPr>
              <w:t>Item 7. Management’s Discussion and Analysis of Financial Condition and Results of Operations</w:t>
            </w:r>
          </w:p>
        </w:tc>
        <w:tc>
          <w:tcPr>
            <w:tcW w:w="2140" w:type="dxa"/>
            <w:vAlign w:val="bottom"/>
            <w:gridSpan w:val="4"/>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60</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7540" w:type="dxa"/>
            <w:vAlign w:val="bottom"/>
            <w:gridSpan w:val="20"/>
          </w:tcPr>
          <w:p>
            <w:pPr>
              <w:spacing w:after="0" w:line="186" w:lineRule="exact"/>
              <w:rPr>
                <w:sz w:val="20"/>
                <w:szCs w:val="20"/>
                <w:color w:val="auto"/>
              </w:rPr>
            </w:pPr>
            <w:r>
              <w:rPr>
                <w:rFonts w:ascii="Arial" w:cs="Arial" w:eastAsia="Arial" w:hAnsi="Arial"/>
                <w:sz w:val="18"/>
                <w:szCs w:val="18"/>
                <w:color w:val="0000FF"/>
              </w:rPr>
              <w:t>Item 7A. Quantitative and Qualitative Disclosures About Market Risk</w:t>
            </w:r>
          </w:p>
        </w:tc>
        <w:tc>
          <w:tcPr>
            <w:tcW w:w="2140" w:type="dxa"/>
            <w:vAlign w:val="bottom"/>
            <w:gridSpan w:val="4"/>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83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4240" w:type="dxa"/>
            <w:vAlign w:val="bottom"/>
            <w:gridSpan w:val="14"/>
            <w:shd w:val="clear" w:color="auto" w:fill="CCEEFF"/>
          </w:tcPr>
          <w:p>
            <w:pPr>
              <w:spacing w:after="0" w:line="195" w:lineRule="exact"/>
              <w:rPr>
                <w:sz w:val="20"/>
                <w:szCs w:val="20"/>
                <w:color w:val="auto"/>
              </w:rPr>
            </w:pPr>
            <w:r>
              <w:rPr>
                <w:rFonts w:ascii="Arial" w:cs="Arial" w:eastAsia="Arial" w:hAnsi="Arial"/>
                <w:sz w:val="18"/>
                <w:szCs w:val="18"/>
                <w:color w:val="0000FF"/>
                <w:w w:val="97"/>
              </w:rPr>
              <w:t>Item 8. Financial Statements and Supplementary Data</w:t>
            </w:r>
          </w:p>
        </w:tc>
        <w:tc>
          <w:tcPr>
            <w:tcW w:w="1080" w:type="dxa"/>
            <w:vAlign w:val="bottom"/>
            <w:gridSpan w:val="3"/>
            <w:shd w:val="clear" w:color="auto" w:fill="CCEEFF"/>
          </w:tcPr>
          <w:p>
            <w:pPr>
              <w:spacing w:after="0"/>
              <w:rPr>
                <w:sz w:val="16"/>
                <w:szCs w:val="16"/>
                <w:color w:val="auto"/>
              </w:rPr>
            </w:pPr>
          </w:p>
        </w:tc>
        <w:tc>
          <w:tcPr>
            <w:tcW w:w="4360" w:type="dxa"/>
            <w:vAlign w:val="bottom"/>
            <w:gridSpan w:val="7"/>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85</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9680" w:type="dxa"/>
            <w:vAlign w:val="bottom"/>
            <w:gridSpan w:val="24"/>
          </w:tcPr>
          <w:p>
            <w:pPr>
              <w:spacing w:after="0" w:line="186"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129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262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0000FF"/>
                <w:w w:val="95"/>
              </w:rPr>
              <w:t>Item 9A. Controls and Procedures</w:t>
            </w:r>
          </w:p>
        </w:tc>
        <w:tc>
          <w:tcPr>
            <w:tcW w:w="5000" w:type="dxa"/>
            <w:vAlign w:val="bottom"/>
            <w:tcBorders>
              <w:left w:val="single" w:sz="8" w:color="CCEEFF"/>
            </w:tcBorders>
            <w:gridSpan w:val="12"/>
            <w:shd w:val="clear" w:color="auto" w:fill="CCEEFF"/>
          </w:tcPr>
          <w:p>
            <w:pPr>
              <w:spacing w:after="0"/>
              <w:rPr>
                <w:sz w:val="16"/>
                <w:szCs w:val="16"/>
                <w:color w:val="auto"/>
              </w:rPr>
            </w:pPr>
          </w:p>
        </w:tc>
        <w:tc>
          <w:tcPr>
            <w:tcW w:w="2060" w:type="dxa"/>
            <w:vAlign w:val="bottom"/>
            <w:gridSpan w:val="3"/>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130</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2040" w:type="dxa"/>
            <w:vAlign w:val="bottom"/>
            <w:gridSpan w:val="6"/>
          </w:tcPr>
          <w:p>
            <w:pPr>
              <w:spacing w:after="0" w:line="186" w:lineRule="exact"/>
              <w:rPr>
                <w:sz w:val="20"/>
                <w:szCs w:val="20"/>
                <w:color w:val="auto"/>
              </w:rPr>
            </w:pPr>
            <w:r>
              <w:rPr>
                <w:rFonts w:ascii="Arial" w:cs="Arial" w:eastAsia="Arial" w:hAnsi="Arial"/>
                <w:sz w:val="18"/>
                <w:szCs w:val="18"/>
                <w:color w:val="0000FF"/>
                <w:w w:val="94"/>
              </w:rPr>
              <w:t>Item 9B. Other Information</w:t>
            </w:r>
          </w:p>
        </w:tc>
        <w:tc>
          <w:tcPr>
            <w:tcW w:w="580" w:type="dxa"/>
            <w:vAlign w:val="bottom"/>
            <w:gridSpan w:val="3"/>
          </w:tcPr>
          <w:p>
            <w:pPr>
              <w:spacing w:after="0"/>
              <w:rPr>
                <w:sz w:val="16"/>
                <w:szCs w:val="16"/>
                <w:color w:val="auto"/>
              </w:rPr>
            </w:pPr>
          </w:p>
        </w:tc>
        <w:tc>
          <w:tcPr>
            <w:tcW w:w="7060" w:type="dxa"/>
            <w:vAlign w:val="bottom"/>
            <w:gridSpan w:val="15"/>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132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right w:val="single" w:sz="8" w:color="CCEEFF"/>
            </w:tcBorders>
          </w:tcPr>
          <w:p>
            <w:pPr>
              <w:spacing w:after="0"/>
              <w:rPr>
                <w:sz w:val="18"/>
                <w:szCs w:val="18"/>
                <w:color w:val="auto"/>
              </w:rPr>
            </w:pPr>
          </w:p>
        </w:tc>
        <w:tc>
          <w:tcPr>
            <w:tcW w:w="9680" w:type="dxa"/>
            <w:vAlign w:val="bottom"/>
            <w:gridSpan w:val="24"/>
            <w:shd w:val="clear" w:color="auto" w:fill="CCEEFF"/>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0000FF"/>
              </w:rPr>
              <w:t>132</w:t>
            </w:r>
          </w:p>
        </w:tc>
        <w:tc>
          <w:tcPr>
            <w:tcW w:w="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840" w:type="dxa"/>
            <w:vAlign w:val="bottom"/>
            <w:tcBorders>
              <w:top w:val="single" w:sz="8" w:color="0000FF"/>
            </w:tcBorders>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lef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left w:val="single" w:sz="8" w:color="CCEEFF"/>
            </w:tcBorders>
            <w:shd w:val="clear" w:color="auto" w:fill="CCEEFF"/>
          </w:tcPr>
          <w:p>
            <w:pPr>
              <w:spacing w:after="0"/>
              <w:rPr>
                <w:sz w:val="16"/>
                <w:szCs w:val="16"/>
                <w:color w:val="auto"/>
              </w:rPr>
            </w:pPr>
          </w:p>
        </w:tc>
        <w:tc>
          <w:tcPr>
            <w:tcW w:w="64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right w:val="single" w:sz="8" w:color="CCEEFF"/>
            </w:tcBorders>
            <w:shd w:val="clear" w:color="auto" w:fill="CCEEFF"/>
          </w:tcPr>
          <w:p>
            <w:pPr>
              <w:spacing w:after="0"/>
              <w:rPr>
                <w:sz w:val="16"/>
                <w:szCs w:val="16"/>
                <w:color w:val="auto"/>
              </w:rPr>
            </w:pPr>
          </w:p>
        </w:tc>
        <w:tc>
          <w:tcPr>
            <w:tcW w:w="440" w:type="dxa"/>
            <w:vAlign w:val="bottom"/>
            <w:tcBorders>
              <w:top w:val="single" w:sz="8" w:color="0000FF"/>
              <w:right w:val="single" w:sz="8" w:color="CCEEFF"/>
            </w:tcBorders>
            <w:shd w:val="clear" w:color="auto" w:fill="CCEEFF"/>
          </w:tcPr>
          <w:p>
            <w:pPr>
              <w:spacing w:after="0"/>
              <w:rPr>
                <w:sz w:val="16"/>
                <w:szCs w:val="16"/>
                <w:color w:val="auto"/>
              </w:rPr>
            </w:pPr>
          </w:p>
        </w:tc>
        <w:tc>
          <w:tcPr>
            <w:tcW w:w="260" w:type="dxa"/>
            <w:vAlign w:val="bottom"/>
            <w:tcBorders>
              <w:top w:val="single" w:sz="8" w:color="0000FF"/>
              <w:left w:val="single" w:sz="8" w:color="CCEEFF"/>
            </w:tcBorders>
            <w:shd w:val="clear" w:color="auto" w:fill="CCEEFF"/>
          </w:tcPr>
          <w:p>
            <w:pPr>
              <w:spacing w:after="0"/>
              <w:rPr>
                <w:sz w:val="16"/>
                <w:szCs w:val="16"/>
                <w:color w:val="auto"/>
              </w:rPr>
            </w:pPr>
          </w:p>
        </w:tc>
        <w:tc>
          <w:tcPr>
            <w:tcW w:w="70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4"/>
            <w:vMerge w:val="continue"/>
            <w:shd w:val="clear" w:color="auto" w:fill="CCEEFF"/>
          </w:tcPr>
          <w:p>
            <w:pPr>
              <w:spacing w:after="0"/>
              <w:rPr>
                <w:sz w:val="16"/>
                <w:szCs w:val="16"/>
                <w:color w:val="auto"/>
              </w:rPr>
            </w:pP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5060" w:type="dxa"/>
            <w:vAlign w:val="bottom"/>
            <w:tcBorders>
              <w:top w:val="single" w:sz="8" w:color="CCEEFF"/>
            </w:tcBorders>
            <w:gridSpan w:val="9"/>
          </w:tcPr>
          <w:p>
            <w:pPr>
              <w:jc w:val="center"/>
              <w:ind w:right="4600"/>
              <w:spacing w:after="0" w:line="186" w:lineRule="exact"/>
              <w:rPr>
                <w:sz w:val="20"/>
                <w:szCs w:val="20"/>
                <w:color w:val="auto"/>
              </w:rPr>
            </w:pPr>
            <w:r>
              <w:rPr>
                <w:rFonts w:ascii="Arial" w:cs="Arial" w:eastAsia="Arial" w:hAnsi="Arial"/>
                <w:sz w:val="18"/>
                <w:szCs w:val="18"/>
                <w:color w:val="0000FF"/>
                <w:w w:val="86"/>
              </w:rPr>
              <w:t>Part III</w:t>
            </w:r>
          </w:p>
        </w:tc>
        <w:tc>
          <w:tcPr>
            <w:tcW w:w="60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5060" w:type="dxa"/>
            <w:vAlign w:val="bottom"/>
            <w:tcBorders>
              <w:right w:val="single" w:sz="8" w:color="CCEEFF"/>
            </w:tcBorders>
            <w:gridSpan w:val="16"/>
            <w:shd w:val="clear" w:color="auto" w:fill="CCEEFF"/>
          </w:tcPr>
          <w:p>
            <w:pPr>
              <w:spacing w:after="0" w:line="195" w:lineRule="exact"/>
              <w:rPr>
                <w:sz w:val="20"/>
                <w:szCs w:val="20"/>
                <w:color w:val="auto"/>
              </w:rPr>
            </w:pPr>
            <w:r>
              <w:rPr>
                <w:rFonts w:ascii="Arial" w:cs="Arial" w:eastAsia="Arial" w:hAnsi="Arial"/>
                <w:sz w:val="18"/>
                <w:szCs w:val="18"/>
                <w:color w:val="0000FF"/>
                <w:w w:val="96"/>
              </w:rPr>
              <w:t>Item 10. Directors, Executive Officers and Corporate Governance</w:t>
            </w:r>
          </w:p>
        </w:tc>
        <w:tc>
          <w:tcPr>
            <w:tcW w:w="4620" w:type="dxa"/>
            <w:vAlign w:val="bottom"/>
            <w:tcBorders>
              <w:left w:val="single" w:sz="8" w:color="CCEEFF"/>
            </w:tcBorders>
            <w:gridSpan w:val="8"/>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133</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5060" w:type="dxa"/>
            <w:vAlign w:val="bottom"/>
            <w:gridSpan w:val="16"/>
          </w:tcPr>
          <w:p>
            <w:pPr>
              <w:spacing w:after="0" w:line="186" w:lineRule="exact"/>
              <w:rPr>
                <w:sz w:val="20"/>
                <w:szCs w:val="20"/>
                <w:color w:val="auto"/>
              </w:rPr>
            </w:pPr>
            <w:r>
              <w:rPr>
                <w:rFonts w:ascii="Arial" w:cs="Arial" w:eastAsia="Arial" w:hAnsi="Arial"/>
                <w:sz w:val="18"/>
                <w:szCs w:val="18"/>
                <w:color w:val="0000FF"/>
              </w:rPr>
              <w:t>Item 11. Executive Compensation</w:t>
            </w:r>
          </w:p>
        </w:tc>
        <w:tc>
          <w:tcPr>
            <w:tcW w:w="4620" w:type="dxa"/>
            <w:vAlign w:val="bottom"/>
            <w:gridSpan w:val="8"/>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133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680" w:type="dxa"/>
            <w:vAlign w:val="bottom"/>
            <w:gridSpan w:val="24"/>
            <w:shd w:val="clear" w:color="auto" w:fill="CCEEFF"/>
          </w:tcPr>
          <w:p>
            <w:pPr>
              <w:spacing w:after="0" w:line="195" w:lineRule="exact"/>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133</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tcPr>
          <w:p>
            <w:pPr>
              <w:spacing w:after="0"/>
              <w:rPr>
                <w:sz w:val="16"/>
                <w:szCs w:val="16"/>
                <w:color w:val="auto"/>
              </w:rPr>
            </w:pPr>
          </w:p>
        </w:tc>
        <w:tc>
          <w:tcPr>
            <w:tcW w:w="8540" w:type="dxa"/>
            <w:vAlign w:val="bottom"/>
            <w:gridSpan w:val="22"/>
          </w:tcPr>
          <w:p>
            <w:pPr>
              <w:spacing w:after="0" w:line="186"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140" w:type="dxa"/>
            <w:vAlign w:val="bottom"/>
            <w:gridSpan w:val="2"/>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133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664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Item 14. Principal Accountant Fees and Services</w:t>
            </w:r>
          </w:p>
        </w:tc>
        <w:tc>
          <w:tcPr>
            <w:tcW w:w="3040" w:type="dxa"/>
            <w:vAlign w:val="bottom"/>
            <w:gridSpan w:val="5"/>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133</w:t>
            </w:r>
          </w:p>
        </w:tc>
        <w:tc>
          <w:tcPr>
            <w:tcW w:w="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40" w:type="dxa"/>
            <w:vAlign w:val="bottom"/>
            <w:tcBorders>
              <w:top w:val="single" w:sz="8" w:color="CCEEFF"/>
              <w:bottom w:val="single" w:sz="8" w:color="0000FF"/>
            </w:tcBorders>
          </w:tcPr>
          <w:p>
            <w:pPr>
              <w:jc w:val="center"/>
              <w:spacing w:after="0" w:line="186" w:lineRule="exact"/>
              <w:rPr>
                <w:sz w:val="20"/>
                <w:szCs w:val="20"/>
                <w:color w:val="auto"/>
              </w:rPr>
            </w:pPr>
            <w:r>
              <w:rPr>
                <w:rFonts w:ascii="Arial" w:cs="Arial" w:eastAsia="Arial" w:hAnsi="Arial"/>
                <w:sz w:val="18"/>
                <w:szCs w:val="18"/>
                <w:color w:val="0000FF"/>
                <w:w w:val="87"/>
              </w:rPr>
              <w:t>Part IV</w:t>
            </w:r>
          </w:p>
        </w:tc>
        <w:tc>
          <w:tcPr>
            <w:tcW w:w="4620" w:type="dxa"/>
            <w:vAlign w:val="bottom"/>
            <w:tcBorders>
              <w:top w:val="single" w:sz="8" w:color="CCEEFF"/>
            </w:tcBorders>
            <w:gridSpan w:val="8"/>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4040" w:type="dxa"/>
            <w:vAlign w:val="bottom"/>
            <w:gridSpan w:val="13"/>
            <w:shd w:val="clear" w:color="auto" w:fill="CCEEFF"/>
          </w:tcPr>
          <w:p>
            <w:pPr>
              <w:spacing w:after="0" w:line="195" w:lineRule="exact"/>
              <w:rPr>
                <w:sz w:val="20"/>
                <w:szCs w:val="20"/>
                <w:color w:val="auto"/>
              </w:rPr>
            </w:pPr>
            <w:r>
              <w:rPr>
                <w:rFonts w:ascii="Arial" w:cs="Arial" w:eastAsia="Arial" w:hAnsi="Arial"/>
                <w:sz w:val="18"/>
                <w:szCs w:val="18"/>
                <w:color w:val="0000FF"/>
                <w:w w:val="97"/>
              </w:rPr>
              <w:t>Item 15. Exhibit and Financial Statement Schedules</w:t>
            </w:r>
          </w:p>
        </w:tc>
        <w:tc>
          <w:tcPr>
            <w:tcW w:w="5640" w:type="dxa"/>
            <w:vAlign w:val="bottom"/>
            <w:gridSpan w:val="11"/>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134</w:t>
            </w:r>
          </w:p>
        </w:tc>
        <w:tc>
          <w:tcPr>
            <w:tcW w:w="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40" w:type="dxa"/>
            <w:vAlign w:val="bottom"/>
          </w:tcPr>
          <w:p>
            <w:pPr>
              <w:spacing w:after="0"/>
              <w:rPr>
                <w:sz w:val="16"/>
                <w:szCs w:val="16"/>
                <w:color w:val="auto"/>
              </w:rPr>
            </w:pPr>
          </w:p>
        </w:tc>
        <w:tc>
          <w:tcPr>
            <w:tcW w:w="4040" w:type="dxa"/>
            <w:vAlign w:val="bottom"/>
            <w:gridSpan w:val="13"/>
          </w:tcPr>
          <w:p>
            <w:pPr>
              <w:spacing w:after="0" w:line="186" w:lineRule="exact"/>
              <w:rPr>
                <w:sz w:val="20"/>
                <w:szCs w:val="20"/>
                <w:color w:val="auto"/>
              </w:rPr>
            </w:pPr>
            <w:r>
              <w:rPr>
                <w:rFonts w:ascii="Arial" w:cs="Arial" w:eastAsia="Arial" w:hAnsi="Arial"/>
                <w:sz w:val="18"/>
                <w:szCs w:val="18"/>
                <w:color w:val="0000FF"/>
              </w:rPr>
              <w:t>Item 16. Form 10-K Summary</w:t>
            </w:r>
          </w:p>
        </w:tc>
        <w:tc>
          <w:tcPr>
            <w:tcW w:w="5640" w:type="dxa"/>
            <w:vAlign w:val="bottom"/>
            <w:gridSpan w:val="11"/>
          </w:tcPr>
          <w:p>
            <w:pPr>
              <w:spacing w:after="0"/>
              <w:rPr>
                <w:sz w:val="16"/>
                <w:szCs w:val="16"/>
                <w:color w:val="auto"/>
              </w:rPr>
            </w:pPr>
          </w:p>
        </w:tc>
        <w:tc>
          <w:tcPr>
            <w:tcW w:w="900" w:type="dxa"/>
            <w:vAlign w:val="bottom"/>
            <w:gridSpan w:val="4"/>
          </w:tcPr>
          <w:p>
            <w:pPr>
              <w:jc w:val="right"/>
              <w:spacing w:after="0" w:line="186" w:lineRule="exact"/>
              <w:rPr>
                <w:sz w:val="20"/>
                <w:szCs w:val="20"/>
                <w:color w:val="auto"/>
              </w:rPr>
            </w:pPr>
            <w:r>
              <w:rPr>
                <w:rFonts w:ascii="Arial" w:cs="Arial" w:eastAsia="Arial" w:hAnsi="Arial"/>
                <w:sz w:val="18"/>
                <w:szCs w:val="18"/>
                <w:color w:val="0000FF"/>
              </w:rPr>
              <w:t>139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2320" w:type="dxa"/>
            <w:vAlign w:val="bottom"/>
            <w:gridSpan w:val="7"/>
            <w:shd w:val="clear" w:color="auto" w:fill="CCEEFF"/>
          </w:tcPr>
          <w:p>
            <w:pPr>
              <w:spacing w:after="0" w:line="195" w:lineRule="exact"/>
              <w:rPr>
                <w:sz w:val="20"/>
                <w:szCs w:val="20"/>
                <w:color w:val="auto"/>
              </w:rPr>
            </w:pPr>
            <w:r>
              <w:rPr>
                <w:rFonts w:ascii="Arial" w:cs="Arial" w:eastAsia="Arial" w:hAnsi="Arial"/>
                <w:sz w:val="18"/>
                <w:szCs w:val="18"/>
                <w:color w:val="0000FF"/>
              </w:rPr>
              <w:t>Signatures</w:t>
            </w:r>
          </w:p>
        </w:tc>
        <w:tc>
          <w:tcPr>
            <w:tcW w:w="7360" w:type="dxa"/>
            <w:vAlign w:val="bottom"/>
            <w:gridSpan w:val="17"/>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140</w:t>
            </w:r>
          </w:p>
        </w:tc>
        <w:tc>
          <w:tcPr>
            <w:tcW w:w="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840" w:type="dxa"/>
            <w:vAlign w:val="bottom"/>
            <w:tcBorders>
              <w:top w:val="single" w:sz="8" w:color="0000FF"/>
              <w:bottom w:val="single" w:sz="8" w:color="auto"/>
            </w:tcBorders>
          </w:tcPr>
          <w:p>
            <w:pPr>
              <w:spacing w:after="0"/>
              <w:rPr>
                <w:sz w:val="23"/>
                <w:szCs w:val="23"/>
                <w:color w:val="auto"/>
              </w:rPr>
            </w:pPr>
          </w:p>
        </w:tc>
        <w:tc>
          <w:tcPr>
            <w:tcW w:w="460" w:type="dxa"/>
            <w:vAlign w:val="bottom"/>
            <w:tcBorders>
              <w:top w:val="single" w:sz="8" w:color="CCEEFF"/>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24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240" w:type="dxa"/>
            <w:vAlign w:val="bottom"/>
            <w:tcBorders>
              <w:top w:val="single" w:sz="8" w:color="CCEEFF"/>
              <w:bottom w:val="single" w:sz="8" w:color="auto"/>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640" w:type="dxa"/>
            <w:vAlign w:val="bottom"/>
            <w:tcBorders>
              <w:top w:val="single" w:sz="8" w:color="CCEEFF"/>
              <w:bottom w:val="single" w:sz="8" w:color="auto"/>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240" w:type="dxa"/>
            <w:vAlign w:val="bottom"/>
            <w:tcBorders>
              <w:top w:val="single" w:sz="8" w:color="CCEEFF"/>
              <w:bottom w:val="single" w:sz="8" w:color="auto"/>
            </w:tcBorders>
          </w:tcPr>
          <w:p>
            <w:pPr>
              <w:spacing w:after="0"/>
              <w:rPr>
                <w:sz w:val="23"/>
                <w:szCs w:val="23"/>
                <w:color w:val="auto"/>
              </w:rPr>
            </w:pPr>
          </w:p>
        </w:tc>
        <w:tc>
          <w:tcPr>
            <w:tcW w:w="200" w:type="dxa"/>
            <w:vAlign w:val="bottom"/>
            <w:tcBorders>
              <w:top w:val="single" w:sz="8" w:color="CCEEFF"/>
              <w:bottom w:val="single" w:sz="8" w:color="auto"/>
            </w:tcBorders>
          </w:tcPr>
          <w:p>
            <w:pPr>
              <w:spacing w:after="0"/>
              <w:rPr>
                <w:sz w:val="23"/>
                <w:szCs w:val="23"/>
                <w:color w:val="auto"/>
              </w:rPr>
            </w:pPr>
          </w:p>
        </w:tc>
        <w:tc>
          <w:tcPr>
            <w:tcW w:w="380" w:type="dxa"/>
            <w:vAlign w:val="bottom"/>
            <w:tcBorders>
              <w:top w:val="single" w:sz="8" w:color="CCEEFF"/>
              <w:bottom w:val="single" w:sz="8" w:color="auto"/>
            </w:tcBorders>
          </w:tcPr>
          <w:p>
            <w:pPr>
              <w:spacing w:after="0"/>
              <w:rPr>
                <w:sz w:val="23"/>
                <w:szCs w:val="23"/>
                <w:color w:val="auto"/>
              </w:rPr>
            </w:pPr>
          </w:p>
        </w:tc>
        <w:tc>
          <w:tcPr>
            <w:tcW w:w="440" w:type="dxa"/>
            <w:vAlign w:val="bottom"/>
            <w:tcBorders>
              <w:top w:val="single" w:sz="8" w:color="CCEEFF"/>
              <w:bottom w:val="single" w:sz="8" w:color="auto"/>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700" w:type="dxa"/>
            <w:vAlign w:val="bottom"/>
            <w:tcBorders>
              <w:top w:val="single" w:sz="8" w:color="CCEEFF"/>
              <w:bottom w:val="single" w:sz="8" w:color="auto"/>
            </w:tcBorders>
          </w:tcPr>
          <w:p>
            <w:pPr>
              <w:spacing w:after="0"/>
              <w:rPr>
                <w:sz w:val="23"/>
                <w:szCs w:val="23"/>
                <w:color w:val="auto"/>
              </w:rPr>
            </w:pPr>
          </w:p>
        </w:tc>
        <w:tc>
          <w:tcPr>
            <w:tcW w:w="620" w:type="dxa"/>
            <w:vAlign w:val="bottom"/>
            <w:tcBorders>
              <w:top w:val="single" w:sz="8" w:color="CCEEFF"/>
              <w:bottom w:val="single" w:sz="8" w:color="auto"/>
            </w:tcBorders>
          </w:tcPr>
          <w:p>
            <w:pPr>
              <w:spacing w:after="0"/>
              <w:rPr>
                <w:sz w:val="23"/>
                <w:szCs w:val="23"/>
                <w:color w:val="auto"/>
              </w:rPr>
            </w:pPr>
          </w:p>
        </w:tc>
        <w:tc>
          <w:tcPr>
            <w:tcW w:w="900" w:type="dxa"/>
            <w:vAlign w:val="bottom"/>
            <w:tcBorders>
              <w:top w:val="single" w:sz="8" w:color="CCEEFF"/>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9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380" w:type="dxa"/>
            <w:vAlign w:val="bottom"/>
            <w:tcBorders>
              <w:top w:val="single" w:sz="8" w:color="CCEEFF"/>
              <w:bottom w:val="single" w:sz="8" w:color="auto"/>
            </w:tcBorders>
          </w:tcPr>
          <w:p>
            <w:pPr>
              <w:spacing w:after="0"/>
              <w:rPr>
                <w:sz w:val="23"/>
                <w:szCs w:val="23"/>
                <w:color w:val="auto"/>
              </w:rPr>
            </w:pPr>
          </w:p>
        </w:tc>
        <w:tc>
          <w:tcPr>
            <w:tcW w:w="60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8"/>
        </w:trPr>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66"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23" w:lineRule="exact"/>
        <w:rPr>
          <w:sz w:val="20"/>
          <w:szCs w:val="20"/>
          <w:color w:val="auto"/>
        </w:rPr>
      </w:pPr>
    </w:p>
    <w:p>
      <w:pPr>
        <w:ind w:left="320" w:right="240" w:hanging="314"/>
        <w:spacing w:after="0" w:line="290"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and higher interest rates across the economy, including higher food, grocery, raw materials, transportation, energy, labor and fuel costs;</w:t>
      </w:r>
    </w:p>
    <w:p>
      <w:pPr>
        <w:spacing w:after="0" w:line="96" w:lineRule="exact"/>
        <w:rPr>
          <w:rFonts w:ascii="Arial" w:cs="Arial" w:eastAsia="Arial" w:hAnsi="Arial"/>
          <w:sz w:val="18"/>
          <w:szCs w:val="18"/>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continued decrease in demand, and the underlying factors negatively impacting demand, in the plant-based meat category;</w:t>
      </w:r>
    </w:p>
    <w:p>
      <w:pPr>
        <w:spacing w:after="0" w:line="177" w:lineRule="exact"/>
        <w:rPr>
          <w:rFonts w:ascii="Arial" w:cs="Arial" w:eastAsia="Arial" w:hAnsi="Arial"/>
          <w:sz w:val="18"/>
          <w:szCs w:val="18"/>
          <w:color w:val="auto"/>
        </w:rPr>
      </w:pPr>
    </w:p>
    <w:p>
      <w:pPr>
        <w:jc w:val="both"/>
        <w:ind w:left="320" w:right="580" w:hanging="314"/>
        <w:spacing w:after="0" w:line="267"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certain cost-reduction initiatives, cost structure improvements, workforce reductions and executive leadership changes, and the timing and success of reducing operating expenses and achieving certain financial goals and cash flow positive objectives;</w:t>
      </w:r>
    </w:p>
    <w:p>
      <w:pPr>
        <w:spacing w:after="0" w:line="130" w:lineRule="exact"/>
        <w:rPr>
          <w:rFonts w:ascii="Arial" w:cs="Arial" w:eastAsia="Arial" w:hAnsi="Arial"/>
          <w:sz w:val="18"/>
          <w:szCs w:val="18"/>
          <w:color w:val="auto"/>
        </w:rPr>
      </w:pPr>
    </w:p>
    <w:p>
      <w:pPr>
        <w:ind w:left="320" w:right="20" w:hanging="314"/>
        <w:spacing w:after="0" w:line="267"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narrowing our commercial focus to certain growth opportunities; accelerating activities that prioritize gross margin expansion and cash generation, including as part of our Global Operations Review (as defined below); changes to our pricing architecture within certain channels; and accelerated, cash-accretive inventory reduction initiatives;</w:t>
      </w:r>
    </w:p>
    <w:p>
      <w:pPr>
        <w:spacing w:after="0" w:line="130" w:lineRule="exact"/>
        <w:rPr>
          <w:rFonts w:ascii="Arial" w:cs="Arial" w:eastAsia="Arial" w:hAnsi="Arial"/>
          <w:sz w:val="18"/>
          <w:szCs w:val="18"/>
          <w:color w:val="auto"/>
        </w:rPr>
      </w:pPr>
    </w:p>
    <w:p>
      <w:pPr>
        <w:ind w:left="320" w:right="460" w:hanging="314"/>
        <w:spacing w:after="0" w:line="265"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Global Operations Review, including the exit or discontinuation of select product lines such as Beyond Meat Jerky; the impact of non-cash charges such as provision for excess and obsolete inventory, accelerated depreciation on planned write-offs and disposals of fixed assets, and losses on sale and write-down of fixed assets; further optimization of our manufacturing capacity and real estate footprint; and the continued review of our operations in China;</w:t>
      </w:r>
    </w:p>
    <w:p>
      <w:pPr>
        <w:spacing w:after="0" w:line="119" w:lineRule="exact"/>
        <w:rPr>
          <w:rFonts w:ascii="Arial" w:cs="Arial" w:eastAsia="Arial" w:hAnsi="Arial"/>
          <w:sz w:val="18"/>
          <w:szCs w:val="18"/>
          <w:color w:val="auto"/>
        </w:rPr>
      </w:pPr>
    </w:p>
    <w:p>
      <w:pPr>
        <w:ind w:left="320" w:right="180" w:hanging="314"/>
        <w:spacing w:after="0" w:line="290"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economic and political conditions in the U.S. and international markets, including concerns about the likelihood of an economic recession, downturn or periods of rising or high inflation;</w:t>
      </w:r>
    </w:p>
    <w:p>
      <w:pPr>
        <w:spacing w:after="0" w:line="109" w:lineRule="exact"/>
        <w:rPr>
          <w:rFonts w:ascii="Arial" w:cs="Arial" w:eastAsia="Arial" w:hAnsi="Arial"/>
          <w:sz w:val="18"/>
          <w:szCs w:val="18"/>
          <w:color w:val="auto"/>
        </w:rPr>
      </w:pPr>
    </w:p>
    <w:p>
      <w:pPr>
        <w:ind w:left="320" w:right="80" w:hanging="314"/>
        <w:spacing w:after="0" w:line="267"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consumer confidence and changes in consumer spending, including spending to purchase our products, and negative trends in consumer purchasing patterns due to levels of consumers’ disposable income, credit availability and debt levels, and economic conditions, including due to recessionary and inflationary pressures;</w:t>
      </w:r>
    </w:p>
    <w:p>
      <w:pPr>
        <w:spacing w:after="0" w:line="130" w:lineRule="exact"/>
        <w:rPr>
          <w:rFonts w:ascii="Arial" w:cs="Arial" w:eastAsia="Arial" w:hAnsi="Arial"/>
          <w:sz w:val="18"/>
          <w:szCs w:val="18"/>
          <w:color w:val="auto"/>
        </w:rPr>
      </w:pPr>
    </w:p>
    <w:p>
      <w:pPr>
        <w:ind w:left="320" w:right="360" w:hanging="314"/>
        <w:spacing w:after="0" w:line="274"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properly manage and ultimately sell our inventory in a timely manner, which could require us to sell our products through liquidation channels at lower prices, write-down or write-off obsolete inventory, or increase inventory provision;</w:t>
      </w:r>
    </w:p>
    <w:p>
      <w:pPr>
        <w:spacing w:after="0" w:line="123" w:lineRule="exact"/>
        <w:rPr>
          <w:rFonts w:ascii="Arial" w:cs="Arial" w:eastAsia="Arial" w:hAnsi="Arial"/>
          <w:sz w:val="18"/>
          <w:szCs w:val="18"/>
          <w:color w:val="auto"/>
        </w:rPr>
      </w:pPr>
    </w:p>
    <w:p>
      <w:pPr>
        <w:ind w:left="320" w:right="160" w:hanging="314"/>
        <w:spacing w:after="0" w:line="321"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future impairment charges, including due to any future changes in estimates, judgments or assumptions, failure to achieve forecasted operating results, weakness in the economic environment, changes in market conditions and/or declines in our market capitalization;</w:t>
      </w:r>
    </w:p>
    <w:p>
      <w:pPr>
        <w:spacing w:after="0" w:line="73" w:lineRule="exact"/>
        <w:rPr>
          <w:rFonts w:ascii="Arial" w:cs="Arial" w:eastAsia="Arial" w:hAnsi="Arial"/>
          <w:sz w:val="17"/>
          <w:szCs w:val="17"/>
          <w:color w:val="auto"/>
        </w:rPr>
      </w:pPr>
    </w:p>
    <w:p>
      <w:pPr>
        <w:ind w:left="320" w:right="180" w:hanging="314"/>
        <w:spacing w:after="0" w:line="290"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including estimates of our expenses, future revenues, capital expenditures, capital requirements and our needs for and ability to obtain additional financing, if at all;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14" w:lineRule="exact"/>
        <w:rPr>
          <w:sz w:val="20"/>
          <w:szCs w:val="20"/>
          <w:color w:val="auto"/>
        </w:rPr>
      </w:pPr>
    </w:p>
    <w:p>
      <w:pPr>
        <w:ind w:left="314" w:right="240" w:hanging="314"/>
        <w:spacing w:after="0" w:line="321" w:lineRule="auto"/>
        <w:tabs>
          <w:tab w:leader="none" w:pos="31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accurately predict consumer taste preferences, trends and demand and successfully innovate, introduce and commercialize new products and improve existing products such as our new Beyond IV platform, including in new geographic markets;</w:t>
      </w:r>
    </w:p>
    <w:p>
      <w:pPr>
        <w:spacing w:after="0" w:line="73" w:lineRule="exact"/>
        <w:rPr>
          <w:rFonts w:ascii="Arial" w:cs="Arial" w:eastAsia="Arial" w:hAnsi="Arial"/>
          <w:sz w:val="17"/>
          <w:szCs w:val="17"/>
          <w:color w:val="auto"/>
        </w:rPr>
      </w:pPr>
    </w:p>
    <w:p>
      <w:pPr>
        <w:ind w:left="314" w:hanging="314"/>
        <w:spacing w:after="0"/>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competitive activity from our market competitors and new market entrants;</w:t>
      </w:r>
    </w:p>
    <w:p>
      <w:pPr>
        <w:spacing w:after="0" w:line="177" w:lineRule="exact"/>
        <w:rPr>
          <w:rFonts w:ascii="Arial" w:cs="Arial" w:eastAsia="Arial" w:hAnsi="Arial"/>
          <w:sz w:val="18"/>
          <w:szCs w:val="18"/>
          <w:color w:val="auto"/>
        </w:rPr>
      </w:pPr>
    </w:p>
    <w:p>
      <w:pPr>
        <w:ind w:left="314" w:right="620" w:hanging="314"/>
        <w:spacing w:after="0" w:line="290"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to, and the impact of uncertainty in, our domestic and international supply chain, including labor shortages and disruption, shipping delays and disruption, and the impact of cyber incidents at suppliers and vendors;</w:t>
      </w:r>
    </w:p>
    <w:p>
      <w:pPr>
        <w:spacing w:after="0" w:line="96" w:lineRule="exact"/>
        <w:rPr>
          <w:rFonts w:ascii="Arial" w:cs="Arial" w:eastAsia="Arial" w:hAnsi="Arial"/>
          <w:sz w:val="18"/>
          <w:szCs w:val="18"/>
          <w:color w:val="auto"/>
        </w:rPr>
      </w:pPr>
    </w:p>
    <w:p>
      <w:pPr>
        <w:ind w:left="314" w:right="520" w:hanging="314"/>
        <w:spacing w:after="0" w:line="275"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streamline operations and improve cost efficiencies, which could result in the contraction of our business and the implementation of significant cost cutting measures such as further downsizing and exiting certain operations, including product lines, domestically and/or abroad;</w:t>
      </w:r>
    </w:p>
    <w:p>
      <w:pPr>
        <w:spacing w:after="0" w:line="109" w:lineRule="exact"/>
        <w:rPr>
          <w:rFonts w:ascii="Arial" w:cs="Arial" w:eastAsia="Arial" w:hAnsi="Arial"/>
          <w:sz w:val="18"/>
          <w:szCs w:val="18"/>
          <w:color w:val="auto"/>
        </w:rPr>
      </w:pPr>
    </w:p>
    <w:p>
      <w:pPr>
        <w:ind w:left="314" w:right="120" w:hanging="314"/>
        <w:spacing w:after="0" w:line="290"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uncertainty as a result of doing business in China and Europe, including as a result of our continued review of our operations in China;</w:t>
      </w:r>
    </w:p>
    <w:p>
      <w:pPr>
        <w:spacing w:after="0" w:line="109" w:lineRule="exact"/>
        <w:rPr>
          <w:rFonts w:ascii="Arial" w:cs="Arial" w:eastAsia="Arial" w:hAnsi="Arial"/>
          <w:sz w:val="18"/>
          <w:szCs w:val="18"/>
          <w:color w:val="auto"/>
        </w:rPr>
      </w:pPr>
    </w:p>
    <w:p>
      <w:pPr>
        <w:jc w:val="both"/>
        <w:ind w:left="314" w:right="200" w:hanging="314"/>
        <w:spacing w:after="0" w:line="267"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or inability to access the capital markets, including due to macroeconomic factors, our loss of well-known seasoned issuer (“WKSI”) status, geopolitical tensions or the outbreak of hostilities or war—for example, the war in Ukraine and the conflict in Israel, Gaza and surrounding areas;</w:t>
      </w:r>
    </w:p>
    <w:p>
      <w:pPr>
        <w:spacing w:after="0" w:line="130" w:lineRule="exact"/>
        <w:rPr>
          <w:rFonts w:ascii="Arial" w:cs="Arial" w:eastAsia="Arial" w:hAnsi="Arial"/>
          <w:sz w:val="18"/>
          <w:szCs w:val="18"/>
          <w:color w:val="auto"/>
        </w:rPr>
      </w:pPr>
    </w:p>
    <w:p>
      <w:pPr>
        <w:ind w:left="314" w:right="80" w:hanging="314"/>
        <w:spacing w:after="0" w:line="265"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the Beyond IV launch;</w:t>
      </w:r>
    </w:p>
    <w:p>
      <w:pPr>
        <w:spacing w:after="0" w:line="119" w:lineRule="exact"/>
        <w:rPr>
          <w:rFonts w:ascii="Arial" w:cs="Arial" w:eastAsia="Arial" w:hAnsi="Arial"/>
          <w:sz w:val="18"/>
          <w:szCs w:val="18"/>
          <w:color w:val="auto"/>
        </w:rPr>
      </w:pPr>
    </w:p>
    <w:p>
      <w:pPr>
        <w:ind w:left="314" w:right="20" w:hanging="314"/>
        <w:spacing w:after="0" w:line="267"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spacing w:after="0" w:line="130" w:lineRule="exact"/>
        <w:rPr>
          <w:rFonts w:ascii="Arial" w:cs="Arial" w:eastAsia="Arial" w:hAnsi="Arial"/>
          <w:sz w:val="18"/>
          <w:szCs w:val="18"/>
          <w:color w:val="auto"/>
        </w:rPr>
      </w:pPr>
    </w:p>
    <w:p>
      <w:pPr>
        <w:ind w:left="314" w:right="140" w:hanging="314"/>
        <w:spacing w:after="0" w:line="290"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distribution expansion and new product introductions, including the timing and success of the Beyond IV launch, in increasing revenues and market share;</w:t>
      </w:r>
    </w:p>
    <w:p>
      <w:pPr>
        <w:spacing w:after="0" w:line="96" w:lineRule="exact"/>
        <w:rPr>
          <w:rFonts w:ascii="Arial" w:cs="Arial" w:eastAsia="Arial" w:hAnsi="Arial"/>
          <w:sz w:val="18"/>
          <w:szCs w:val="18"/>
          <w:color w:val="auto"/>
        </w:rPr>
      </w:pPr>
    </w:p>
    <w:p>
      <w:pPr>
        <w:ind w:left="314" w:right="880" w:hanging="314"/>
        <w:spacing w:after="0" w:line="290"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strategic Quick Service Restaurant (“QSR”) partnership launches and limited time offerings resulting in permanent menu items;</w:t>
      </w:r>
    </w:p>
    <w:p>
      <w:pPr>
        <w:spacing w:after="0" w:line="109" w:lineRule="exact"/>
        <w:rPr>
          <w:rFonts w:ascii="Arial" w:cs="Arial" w:eastAsia="Arial" w:hAnsi="Arial"/>
          <w:sz w:val="18"/>
          <w:szCs w:val="18"/>
          <w:color w:val="auto"/>
        </w:rPr>
      </w:pPr>
    </w:p>
    <w:p>
      <w:pPr>
        <w:ind w:left="314" w:hanging="314"/>
        <w:spacing w:after="0"/>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64" w:lineRule="exact"/>
        <w:rPr>
          <w:rFonts w:ascii="Arial" w:cs="Arial" w:eastAsia="Arial" w:hAnsi="Arial"/>
          <w:sz w:val="18"/>
          <w:szCs w:val="18"/>
          <w:color w:val="auto"/>
        </w:rPr>
      </w:pPr>
    </w:p>
    <w:p>
      <w:pPr>
        <w:ind w:left="314" w:hanging="314"/>
        <w:spacing w:after="0"/>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and execute cost-down initiatives intended to improve our profitability;</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business systems and processes;</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 and ability to accurately forecast market growth;</w:t>
      </w:r>
    </w:p>
    <w:p>
      <w:pPr>
        <w:spacing w:after="0" w:line="164" w:lineRule="exact"/>
        <w:rPr>
          <w:rFonts w:ascii="Arial" w:cs="Arial" w:eastAsia="Arial" w:hAnsi="Arial"/>
          <w:sz w:val="18"/>
          <w:szCs w:val="18"/>
          <w:color w:val="auto"/>
        </w:rPr>
      </w:pPr>
    </w:p>
    <w:p>
      <w:pPr>
        <w:ind w:left="314" w:right="40" w:hanging="314"/>
        <w:spacing w:after="0" w:line="275"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optimize our manufacturing and production capacity, and real estate footprint, including consolidating manufacturing facilities and production lines, exiting co-manufacturing arrangements and effectively managing capacity for specific products with shifts in demand;</w:t>
      </w:r>
    </w:p>
    <w:p>
      <w:pPr>
        <w:spacing w:after="0" w:line="109" w:lineRule="exact"/>
        <w:rPr>
          <w:rFonts w:ascii="Arial" w:cs="Arial" w:eastAsia="Arial" w:hAnsi="Arial"/>
          <w:sz w:val="18"/>
          <w:szCs w:val="18"/>
          <w:color w:val="auto"/>
        </w:rPr>
      </w:pPr>
    </w:p>
    <w:p>
      <w:pPr>
        <w:ind w:left="314" w:hanging="314"/>
        <w:spacing w:after="0" w:line="275"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underutilization of capacity which could give rise to increased costs per unit, underutilization fees, termination fees and other costs to exit certain supply chain arrangements and product lines, and/or the write-down or write-off of certain equipment and other fixed assets;</w:t>
      </w:r>
    </w:p>
    <w:p>
      <w:pPr>
        <w:spacing w:after="0" w:line="109" w:lineRule="exact"/>
        <w:rPr>
          <w:rFonts w:ascii="Arial" w:cs="Arial" w:eastAsia="Arial" w:hAnsi="Arial"/>
          <w:sz w:val="18"/>
          <w:szCs w:val="18"/>
          <w:color w:val="auto"/>
        </w:rPr>
      </w:pPr>
    </w:p>
    <w:p>
      <w:pPr>
        <w:ind w:left="314" w:hanging="314"/>
        <w:spacing w:after="0" w:line="290"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our future results of operations and financial goals or targets, including as a result of fluctuations in demand for our products and in the plant-based meat category generally and increased competition;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3"/>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sectPr>
      </w:pPr>
    </w:p>
    <w:bookmarkStart w:id="5" w:name="page6"/>
    <w:bookmarkEnd w:id="5"/>
    <w:p>
      <w:pPr>
        <w:spacing w:after="0" w:line="114" w:lineRule="exact"/>
        <w:rPr>
          <w:sz w:val="20"/>
          <w:szCs w:val="20"/>
          <w:color w:val="auto"/>
        </w:rPr>
      </w:pPr>
    </w:p>
    <w:p>
      <w:pPr>
        <w:ind w:left="314" w:right="240" w:hanging="314"/>
        <w:spacing w:after="0" w:line="267"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 including the impact of customer orders ahead of holidays and shelf reset activities, customer and distributor changes and buying patterns, such as reductions in targeted inventory levels, and supply chain and labor disruptions, including due to the impact of cyber incidents at suppliers and vendors;</w:t>
      </w:r>
    </w:p>
    <w:p>
      <w:pPr>
        <w:spacing w:after="0" w:line="130"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77" w:lineRule="exact"/>
        <w:rPr>
          <w:rFonts w:ascii="Arial" w:cs="Arial" w:eastAsia="Arial" w:hAnsi="Arial"/>
          <w:sz w:val="18"/>
          <w:szCs w:val="18"/>
          <w:color w:val="auto"/>
        </w:rPr>
      </w:pPr>
    </w:p>
    <w:p>
      <w:pPr>
        <w:ind w:left="314" w:right="80" w:hanging="314"/>
        <w:spacing w:after="0" w:line="274"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product selling prices and costs, the timing and success of changes to our pricing architecture within certain channels, and the mix of products sold;</w:t>
      </w:r>
    </w:p>
    <w:p>
      <w:pPr>
        <w:spacing w:after="0" w:line="123" w:lineRule="exact"/>
        <w:rPr>
          <w:rFonts w:ascii="Arial" w:cs="Arial" w:eastAsia="Arial" w:hAnsi="Arial"/>
          <w:sz w:val="18"/>
          <w:szCs w:val="18"/>
          <w:color w:val="auto"/>
        </w:rPr>
      </w:pPr>
    </w:p>
    <w:p>
      <w:pPr>
        <w:ind w:left="314" w:right="140" w:hanging="314"/>
        <w:spacing w:after="0" w:line="290" w:lineRule="auto"/>
        <w:tabs>
          <w:tab w:leader="none" w:pos="31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enter new geographic markets, manage our international business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112" w:lineRule="exact"/>
        <w:rPr>
          <w:rFonts w:ascii="Arial" w:cs="Arial" w:eastAsia="Arial" w:hAnsi="Arial"/>
          <w:sz w:val="17"/>
          <w:szCs w:val="17"/>
          <w:color w:val="auto"/>
        </w:rPr>
      </w:pPr>
    </w:p>
    <w:p>
      <w:pPr>
        <w:ind w:left="314" w:right="240" w:hanging="314"/>
        <w:spacing w:after="0" w:line="265"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w:t>
      </w:r>
    </w:p>
    <w:p>
      <w:pPr>
        <w:spacing w:after="0" w:line="132" w:lineRule="exact"/>
        <w:rPr>
          <w:rFonts w:ascii="Arial" w:cs="Arial" w:eastAsia="Arial" w:hAnsi="Arial"/>
          <w:sz w:val="18"/>
          <w:szCs w:val="18"/>
          <w:color w:val="auto"/>
        </w:rPr>
      </w:pPr>
    </w:p>
    <w:p>
      <w:pPr>
        <w:ind w:left="314" w:right="380" w:hanging="314"/>
        <w:spacing w:after="0" w:line="274"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global outbreaks of pandemics (such as the COVID-19 pandemic), epidemics or other public health crises, or fear of such crises;</w:t>
      </w:r>
    </w:p>
    <w:p>
      <w:pPr>
        <w:spacing w:after="0" w:line="123" w:lineRule="exact"/>
        <w:rPr>
          <w:rFonts w:ascii="Arial" w:cs="Arial" w:eastAsia="Arial" w:hAnsi="Arial"/>
          <w:sz w:val="18"/>
          <w:szCs w:val="18"/>
          <w:color w:val="auto"/>
        </w:rPr>
      </w:pPr>
    </w:p>
    <w:p>
      <w:pPr>
        <w:ind w:left="314" w:hanging="314"/>
        <w:spacing w:after="0" w:line="267"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maintain and grow our brand awareness, maintain, protect and enhance our brand, attract and retain new customers and maintain and grow our market share, particularly while we are seeking to reduce our operating expenses;</w:t>
      </w:r>
    </w:p>
    <w:p>
      <w:pPr>
        <w:spacing w:after="0" w:line="130"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164"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at competitive prices to manufacture our products;</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pea and other proteins and avocado oil that meet our standards;</w:t>
      </w:r>
    </w:p>
    <w:p>
      <w:pPr>
        <w:spacing w:after="0" w:line="164"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diversify the protein sources used for our products;</w:t>
      </w:r>
    </w:p>
    <w:p>
      <w:pPr>
        <w:spacing w:after="0" w:line="164" w:lineRule="exact"/>
        <w:rPr>
          <w:rFonts w:ascii="Arial" w:cs="Arial" w:eastAsia="Arial" w:hAnsi="Arial"/>
          <w:sz w:val="18"/>
          <w:szCs w:val="18"/>
          <w:color w:val="auto"/>
        </w:rPr>
      </w:pPr>
    </w:p>
    <w:p>
      <w:pPr>
        <w:ind w:left="314" w:right="380" w:hanging="314"/>
        <w:spacing w:after="0" w:line="259"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differentiate and continuously create innovative products, respond to competitive innovation and achieve speed-to-market, including the timing and success of the Beyond IV launch;</w:t>
      </w:r>
    </w:p>
    <w:p>
      <w:pPr>
        <w:spacing w:after="0" w:line="123"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transportation and other input costs;</w:t>
      </w:r>
    </w:p>
    <w:p>
      <w:pPr>
        <w:spacing w:after="0" w:line="164"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keep pace with technological changes impacting the development of our products and implementation of our business needs;</w:t>
      </w:r>
    </w:p>
    <w:p>
      <w:pPr>
        <w:spacing w:after="0" w:line="188" w:lineRule="exact"/>
        <w:rPr>
          <w:rFonts w:ascii="Arial" w:cs="Arial" w:eastAsia="Arial" w:hAnsi="Arial"/>
          <w:sz w:val="17"/>
          <w:szCs w:val="17"/>
          <w:color w:val="auto"/>
        </w:rPr>
      </w:pPr>
    </w:p>
    <w:p>
      <w:pPr>
        <w:ind w:left="314" w:right="40" w:hanging="314"/>
        <w:spacing w:after="0" w:line="267"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or our suppliers’ or vendors’ information technology systems, and resultant interruptions in service and any related impact on our reputation, including data privacy, and any potential impact on our supply chain, including on customer demand, order fulfillment and lost sales, and the resulting timing and/or amount of net revenues recognized;</w:t>
      </w:r>
    </w:p>
    <w:p>
      <w:pPr>
        <w:spacing w:after="0" w:line="130" w:lineRule="exact"/>
        <w:rPr>
          <w:rFonts w:ascii="Arial" w:cs="Arial" w:eastAsia="Arial" w:hAnsi="Arial"/>
          <w:sz w:val="18"/>
          <w:szCs w:val="18"/>
          <w:color w:val="auto"/>
        </w:rPr>
      </w:pPr>
    </w:p>
    <w:p>
      <w:pPr>
        <w:ind w:left="314" w:hanging="314"/>
        <w:spacing w:after="0"/>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transportation providers to ship and deliver our products in a timely and cost effective manner;</w:t>
      </w:r>
    </w:p>
    <w:p>
      <w:pPr>
        <w:spacing w:after="0" w:line="177" w:lineRule="exact"/>
        <w:rPr>
          <w:rFonts w:ascii="Arial" w:cs="Arial" w:eastAsia="Arial" w:hAnsi="Arial"/>
          <w:sz w:val="18"/>
          <w:szCs w:val="18"/>
          <w:color w:val="auto"/>
        </w:rPr>
      </w:pPr>
    </w:p>
    <w:p>
      <w:pPr>
        <w:ind w:left="314" w:right="260" w:hanging="314"/>
        <w:spacing w:after="0" w:line="274"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management and key personnel changes, the attraction, training and retention of qualified employees and key personnel, and our ability to maintain our company culture;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3"/>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sectPr>
      </w:pPr>
    </w:p>
    <w:bookmarkStart w:id="6" w:name="page7"/>
    <w:bookmarkEnd w:id="6"/>
    <w:p>
      <w:pPr>
        <w:spacing w:after="0" w:line="114" w:lineRule="exact"/>
        <w:rPr>
          <w:sz w:val="20"/>
          <w:szCs w:val="20"/>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organizational changes including reductions-in-force and realignment of reporting structures;</w:t>
      </w:r>
    </w:p>
    <w:p>
      <w:pPr>
        <w:spacing w:after="0" w:line="177" w:lineRule="exact"/>
        <w:rPr>
          <w:rFonts w:ascii="Arial" w:cs="Arial" w:eastAsia="Arial" w:hAnsi="Arial"/>
          <w:sz w:val="18"/>
          <w:szCs w:val="18"/>
          <w:color w:val="auto"/>
        </w:rPr>
      </w:pPr>
    </w:p>
    <w:p>
      <w:pPr>
        <w:ind w:left="314" w:right="100" w:hanging="314"/>
        <w:spacing w:after="0" w:line="274"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operations conducted by joint ventures where we share ownership and management of a company with one or more parties who may not have the same goals, strategies or priorities as we do and where we do not receive all of the financial benefit;</w:t>
      </w:r>
    </w:p>
    <w:p>
      <w:pPr>
        <w:spacing w:after="0" w:line="123"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discontinuation of the Beyond Meat Jerky product line;</w:t>
      </w:r>
    </w:p>
    <w:p>
      <w:pPr>
        <w:spacing w:after="0" w:line="177" w:lineRule="exact"/>
        <w:rPr>
          <w:rFonts w:ascii="Arial" w:cs="Arial" w:eastAsia="Arial" w:hAnsi="Arial"/>
          <w:sz w:val="18"/>
          <w:szCs w:val="18"/>
          <w:color w:val="auto"/>
        </w:rPr>
      </w:pPr>
    </w:p>
    <w:p>
      <w:pPr>
        <w:ind w:left="314" w:right="220" w:hanging="314"/>
        <w:spacing w:after="0" w:line="267"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130"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potential workplace hazards;</w:t>
      </w:r>
    </w:p>
    <w:p>
      <w:pPr>
        <w:spacing w:after="0" w:line="164" w:lineRule="exact"/>
        <w:rPr>
          <w:rFonts w:ascii="Arial" w:cs="Arial" w:eastAsia="Arial" w:hAnsi="Arial"/>
          <w:sz w:val="18"/>
          <w:szCs w:val="18"/>
          <w:color w:val="auto"/>
        </w:rPr>
      </w:pPr>
    </w:p>
    <w:p>
      <w:pPr>
        <w:ind w:left="314" w:right="160" w:hanging="314"/>
        <w:spacing w:after="0" w:line="321" w:lineRule="auto"/>
        <w:tabs>
          <w:tab w:leader="none" w:pos="31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spacing w:after="0" w:line="86" w:lineRule="exact"/>
        <w:rPr>
          <w:rFonts w:ascii="Arial" w:cs="Arial" w:eastAsia="Arial" w:hAnsi="Arial"/>
          <w:sz w:val="17"/>
          <w:szCs w:val="17"/>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64"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estimates based on judgment and assumptions that may differ from actual results;</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requirements of being a public company and effects of increased administrative costs related to compliance and reporting obligations;</w:t>
      </w:r>
    </w:p>
    <w:p>
      <w:pPr>
        <w:spacing w:after="0" w:line="177" w:lineRule="exact"/>
        <w:rPr>
          <w:rFonts w:ascii="Arial" w:cs="Arial" w:eastAsia="Arial" w:hAnsi="Arial"/>
          <w:sz w:val="18"/>
          <w:szCs w:val="18"/>
          <w:color w:val="auto"/>
        </w:rPr>
      </w:pPr>
    </w:p>
    <w:p>
      <w:pPr>
        <w:ind w:left="314" w:right="60" w:hanging="314"/>
        <w:spacing w:after="0" w:line="260"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debt, including our ability to repay our indebtedness,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w:t>
      </w:r>
    </w:p>
    <w:p>
      <w:pPr>
        <w:spacing w:after="0" w:line="137" w:lineRule="exact"/>
        <w:rPr>
          <w:rFonts w:ascii="Arial" w:cs="Arial" w:eastAsia="Arial" w:hAnsi="Arial"/>
          <w:sz w:val="18"/>
          <w:szCs w:val="18"/>
          <w:color w:val="auto"/>
        </w:rPr>
      </w:pPr>
    </w:p>
    <w:p>
      <w:pPr>
        <w:ind w:left="314" w:hanging="314"/>
        <w:spacing w:after="0" w:line="265"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obligations under our El Segundo Campus and Innovation Center ("Campus Headquarters") lease (“Campus Lease”), the timing of occupancy and completion of the build-out of our space, cost overruns, delays, the impact of workforce reductions or other cost-reduction initiatives on our space demands, and the timing and success of subleasing, assigning or otherwise transferring excess space at our Campus Headquarters;</w:t>
      </w:r>
    </w:p>
    <w:p>
      <w:pPr>
        <w:spacing w:after="0" w:line="119" w:lineRule="exact"/>
        <w:rPr>
          <w:rFonts w:ascii="Arial" w:cs="Arial" w:eastAsia="Arial" w:hAnsi="Arial"/>
          <w:sz w:val="18"/>
          <w:szCs w:val="18"/>
          <w:color w:val="auto"/>
        </w:rPr>
      </w:pPr>
    </w:p>
    <w:p>
      <w:pPr>
        <w:ind w:left="314" w:right="60" w:hanging="314"/>
        <w:spacing w:after="0" w:line="290"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obligations under leases for our corporate offices, manufacturing facilities and warehouses, or risks related to excess space capacity under our leases due to workforce reductions or other cost-reduction initiatives;</w:t>
      </w:r>
    </w:p>
    <w:p>
      <w:pPr>
        <w:spacing w:after="0" w:line="109" w:lineRule="exact"/>
        <w:rPr>
          <w:rFonts w:ascii="Arial" w:cs="Arial" w:eastAsia="Arial" w:hAnsi="Arial"/>
          <w:sz w:val="18"/>
          <w:szCs w:val="18"/>
          <w:color w:val="auto"/>
        </w:rPr>
      </w:pPr>
    </w:p>
    <w:p>
      <w:pPr>
        <w:ind w:left="314" w:right="200" w:hanging="314"/>
        <w:spacing w:after="0" w:line="274"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spacing w:after="0" w:line="123" w:lineRule="exact"/>
        <w:rPr>
          <w:rFonts w:ascii="Arial" w:cs="Arial" w:eastAsia="Arial" w:hAnsi="Arial"/>
          <w:sz w:val="18"/>
          <w:szCs w:val="18"/>
          <w:color w:val="auto"/>
        </w:rPr>
      </w:pPr>
    </w:p>
    <w:p>
      <w:pPr>
        <w:ind w:left="314" w:right="100" w:hanging="314"/>
        <w:spacing w:after="0" w:line="290"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96"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investment in real estate;</w:t>
      </w:r>
    </w:p>
    <w:p>
      <w:pPr>
        <w:spacing w:after="0" w:line="177" w:lineRule="exact"/>
        <w:rPr>
          <w:rFonts w:ascii="Arial" w:cs="Arial" w:eastAsia="Arial" w:hAnsi="Arial"/>
          <w:sz w:val="18"/>
          <w:szCs w:val="18"/>
          <w:color w:val="auto"/>
        </w:rPr>
      </w:pPr>
    </w:p>
    <w:p>
      <w:pPr>
        <w:ind w:left="314" w:hanging="314"/>
        <w:spacing w:after="0"/>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3"/>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7" w:name="page8"/>
    <w:bookmarkEnd w:id="7"/>
    <w:p>
      <w:pPr>
        <w:spacing w:after="0" w:line="200" w:lineRule="exact"/>
        <w:rPr>
          <w:sz w:val="20"/>
          <w:szCs w:val="20"/>
          <w:color w:val="auto"/>
        </w:rPr>
      </w:pPr>
    </w:p>
    <w:p>
      <w:pPr>
        <w:spacing w:after="0" w:line="312" w:lineRule="exact"/>
        <w:rPr>
          <w:sz w:val="20"/>
          <w:szCs w:val="20"/>
          <w:color w:val="auto"/>
        </w:rPr>
      </w:pPr>
    </w:p>
    <w:p>
      <w:pPr>
        <w:ind w:left="320" w:right="100" w:hanging="314"/>
        <w:spacing w:after="0" w:line="290"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96" w:lineRule="exact"/>
        <w:rPr>
          <w:rFonts w:ascii="Arial" w:cs="Arial" w:eastAsia="Arial" w:hAnsi="Arial"/>
          <w:sz w:val="18"/>
          <w:szCs w:val="18"/>
          <w:color w:val="auto"/>
        </w:rPr>
      </w:pPr>
    </w:p>
    <w:p>
      <w:pPr>
        <w:ind w:left="320" w:right="200" w:hanging="314"/>
        <w:spacing w:after="0" w:line="290"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and the ability of our suppliers and co-manufacturers to comply with food safety, environmental or other laws or regulations and the impact of any non-compliance on our operations, brand reputation and ability to fulfill customer orders in full and on time;</w:t>
      </w:r>
    </w:p>
    <w:p>
      <w:pPr>
        <w:spacing w:after="0" w:line="109" w:lineRule="exact"/>
        <w:rPr>
          <w:rFonts w:ascii="Arial" w:cs="Arial" w:eastAsia="Arial" w:hAnsi="Arial"/>
          <w:sz w:val="18"/>
          <w:szCs w:val="18"/>
          <w:color w:val="auto"/>
        </w:rPr>
      </w:pPr>
    </w:p>
    <w:p>
      <w:pPr>
        <w:ind w:left="320" w:right="320" w:hanging="314"/>
        <w:spacing w:after="0" w:line="274"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including increased levels of grilling activity and higher levels of purchasing by customers ahead of holidays, customer shelf reset activity and the timing of product restocking by our retail customers;</w:t>
      </w:r>
    </w:p>
    <w:p>
      <w:pPr>
        <w:spacing w:after="0" w:line="123" w:lineRule="exact"/>
        <w:rPr>
          <w:rFonts w:ascii="Arial" w:cs="Arial" w:eastAsia="Arial" w:hAnsi="Arial"/>
          <w:sz w:val="18"/>
          <w:szCs w:val="18"/>
          <w:color w:val="auto"/>
        </w:rPr>
      </w:pPr>
    </w:p>
    <w:p>
      <w:pPr>
        <w:ind w:left="320" w:hanging="314"/>
        <w:spacing w:after="0" w:line="290"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increased scrutiny from a variety of stakeholders, institutional investors and governmental bodies on environmental, social and governance (“ESG”) practices, including expanding mandatory and voluntary reporting, diligence and disclosure on ESG matters;</w:t>
      </w:r>
    </w:p>
    <w:p>
      <w:pPr>
        <w:spacing w:after="0" w:line="96"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outcomes of legal or administrative proceedings, or new legal or administrative proceedings filed against us;</w:t>
      </w:r>
    </w:p>
    <w:p>
      <w:pPr>
        <w:spacing w:after="0" w:line="177"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our suppliers’ and our co-manufacturers’ ability to protect our proprietary technology, intellectual property and trade secrets adequately;</w:t>
      </w:r>
    </w:p>
    <w:p>
      <w:pPr>
        <w:spacing w:after="0" w:line="188" w:lineRule="exact"/>
        <w:rPr>
          <w:rFonts w:ascii="Arial" w:cs="Arial" w:eastAsia="Arial" w:hAnsi="Arial"/>
          <w:sz w:val="17"/>
          <w:szCs w:val="17"/>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tariffs and trade wars;</w:t>
      </w:r>
    </w:p>
    <w:p>
      <w:pPr>
        <w:spacing w:after="0" w:line="164"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changes in tax laws; and</w:t>
      </w:r>
    </w:p>
    <w:p>
      <w:pPr>
        <w:spacing w:after="0" w:line="177" w:lineRule="exact"/>
        <w:rPr>
          <w:rFonts w:ascii="Arial" w:cs="Arial" w:eastAsia="Arial" w:hAnsi="Arial"/>
          <w:sz w:val="18"/>
          <w:szCs w:val="18"/>
          <w:color w:val="auto"/>
        </w:rPr>
      </w:pPr>
    </w:p>
    <w:p>
      <w:pPr>
        <w:ind w:left="320" w:right="120" w:hanging="314"/>
        <w:spacing w:after="0" w:line="290"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risks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report, and those discussed in other documents we file from time to time with the Securities and Exchange Commission (“SEC”).</w:t>
      </w:r>
    </w:p>
    <w:p>
      <w:pPr>
        <w:spacing w:after="0" w:line="96"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38" w:lineRule="exact"/>
        <w:rPr>
          <w:sz w:val="20"/>
          <w:szCs w:val="20"/>
          <w:color w:val="auto"/>
        </w:rPr>
      </w:pPr>
    </w:p>
    <w:p>
      <w:pPr>
        <w:ind w:right="80" w:firstLine="318"/>
        <w:spacing w:after="0" w:line="258"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The number of retail and foodservice outlets where Beyond Meat branded products are available was derived from rolling 52- week data as of December 2023 and excludes outlets unique to Beyond Meat Jerky. As of December 2023, total U.S. retail outlets unique to Beyond Meat Jerky were approximately 44,000 on a rolling 52-week basis, or approximately 2,300 on a rolling 12-week basis. This data involves a number of assumptions and limitations, and you are cautioned not to give undue weight to such estimates and data. In 2023, we continued the process of renegotiating certain contracts and changing operating activities related to Beyond Meat Jerky and assumed distribution responsibilities for Beyond Meat Jerky in the fourth quarter of 2023. In 2023, as part of our Global Operations Review, we made the decision to discontinue the Beyond Meat Jerky product line.</w:t>
      </w:r>
    </w:p>
    <w:p>
      <w:pPr>
        <w:spacing w:after="0" w:line="141" w:lineRule="exact"/>
        <w:rPr>
          <w:sz w:val="20"/>
          <w:szCs w:val="20"/>
          <w:color w:val="auto"/>
        </w:rPr>
      </w:pPr>
    </w:p>
    <w:p>
      <w:pPr>
        <w:ind w:right="300" w:firstLine="318"/>
        <w:spacing w:after="0" w:line="267" w:lineRule="auto"/>
        <w:rPr>
          <w:sz w:val="20"/>
          <w:szCs w:val="20"/>
          <w:color w:val="auto"/>
        </w:rPr>
      </w:pPr>
      <w:r>
        <w:rPr>
          <w:rFonts w:ascii="Arial" w:cs="Arial" w:eastAsia="Arial" w:hAnsi="Arial"/>
          <w:sz w:val="18"/>
          <w:szCs w:val="18"/>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1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31"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“Beyond Meat,” “Beyond Burger,” “Beyond Beef,” “Beyond Sausage,” “Beyond Breakfast Sausage,” “Beyond Meatballs,” “Beyond Chicken,” “Beyond Fried Chicken,” “Beyond Popcorn Chicken,” “Beyond Steak,” the Caped Steer Logo, “Go Beyond,” “Cookout Classic,” “The Future of Protein,” “The Future of Protein Beyond Meat” and design,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w:t>
      </w:r>
    </w:p>
    <w:p>
      <w:pPr>
        <w:spacing w:after="0" w:line="4" w:lineRule="exact"/>
        <w:rPr>
          <w:sz w:val="20"/>
          <w:szCs w:val="20"/>
          <w:color w:val="auto"/>
        </w:rPr>
      </w:pPr>
    </w:p>
    <w:p>
      <w:pPr>
        <w:ind w:right="60" w:firstLine="6"/>
        <w:spacing w:after="0" w:line="271" w:lineRule="auto"/>
        <w:tabs>
          <w:tab w:leader="none" w:pos="226" w:val="left"/>
        </w:tabs>
        <w:numPr>
          <w:ilvl w:val="0"/>
          <w:numId w:val="8"/>
        </w:numPr>
        <w:rPr>
          <w:rFonts w:ascii="Arial" w:cs="Arial" w:eastAsia="Arial" w:hAnsi="Arial"/>
          <w:sz w:val="18"/>
          <w:szCs w:val="18"/>
          <w:color w:val="auto"/>
        </w:rPr>
      </w:pPr>
      <w:r>
        <w:rPr>
          <w:rFonts w:ascii="Arial" w:cs="Arial" w:eastAsia="Arial" w:hAnsi="Arial"/>
          <w:sz w:val="18"/>
          <w:szCs w:val="18"/>
          <w:color w:val="auto"/>
        </w:rPr>
        <w:t>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3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carbohydrates,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carbohydrates, trace minerals and water. We are focused on continuously improving our products so that eventually they are, to the human sensory system, indistinguishable from their animal-based counterparts.</w:t>
      </w:r>
    </w:p>
    <w:p>
      <w:pPr>
        <w:spacing w:after="0" w:line="139"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flagship product is the Beyond Burger, designed to look, cook and taste like a traditional beef burger. We also sell a range of other plant-based meat products, including Beyond Sausage, Beyond Beef, Beyond Meatballs, Beyond Breakfast Sausage Patties, Beyond Breakfast Sausage Links, Beyond Beef Crumbles, Beyond Italian Sausage Crumbles, Beyond Chicken Tenders, Beyond Steak, Beyond Popcorn Chicken, Beyond Chicken Nuggets and the recently announced Beyond IV generation of products scheduled for launch in the spring of 2024 in the U.S. retail channel. All of our products are made from simple ingredients without GMOs, no added hormones or antibiotics, and 0 mg of cholesterol per serving. As of December 2023, all of our U.S. retail products are certified Kosher and Halal. We are focused on making our products nutritionally dense, with minimal negative attributes relative to their animal protein alternatives.</w:t>
      </w:r>
    </w:p>
    <w:p>
      <w:pPr>
        <w:spacing w:after="0" w:line="126" w:lineRule="exact"/>
        <w:rPr>
          <w:sz w:val="20"/>
          <w:szCs w:val="20"/>
          <w:color w:val="auto"/>
        </w:rPr>
      </w:pPr>
    </w:p>
    <w:p>
      <w:pPr>
        <w:ind w:right="40" w:firstLine="318"/>
        <w:spacing w:after="0" w:line="278" w:lineRule="auto"/>
        <w:rPr>
          <w:sz w:val="20"/>
          <w:szCs w:val="20"/>
          <w:color w:val="auto"/>
        </w:rPr>
      </w:pPr>
      <w:r>
        <w:rPr>
          <w:rFonts w:ascii="Arial" w:cs="Arial" w:eastAsia="Arial" w:hAnsi="Arial"/>
          <w:sz w:val="17"/>
          <w:szCs w:val="17"/>
          <w:color w:val="auto"/>
        </w:rPr>
        <w:t>As of December 2023, Beyond Meat branded products were available at approximately 133,000 retail and foodservice outlets in more than 65 countries worldwide, across mainstream grocery, mass merchandiser, club store and natural retailer channels, and various food-away-from-home channels, including restaurants, foodservice outlets and schools. The number of retail and foodservice outlets where Beyond Meat branded products are available was derived from rolling 52-week data as of December 2023 and excludes approximately 44,000 U.S. retail outlets unique to Beyond Meat Jerky or 2,300 outlets on a rolling 12-week basis. In 2023, we continued the process of renegotiating certain contracts and changing operating activities related to Beyond Meat Jerky and assumed distribution responsibilities for Beyond Meat Jerky in the fourth quarter of 2023. As part of our Global Operations Review, we made the decision to discontinue the Beyond Meat Jerky product line.</w:t>
      </w:r>
    </w:p>
    <w:p>
      <w:pPr>
        <w:spacing w:after="0" w:line="12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Beyond Meat Rapid and Relentless Innovation Program, our team of scientists and engineers focuses on making continuous improvements to our existing product formulations and developing new products across our plant-based beef, pork and poultry platforms. Our state-of-the-art Innovation Center within our Campus Headquarters brings together leading scientists from chemistry, biology, material science, food science and biophysics disciplines who work together with process engineers and culinary specialists to pursue our vision of perfectly building plant-based meat.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Mission</w:t>
      </w:r>
    </w:p>
    <w:p>
      <w:pPr>
        <w:spacing w:after="0" w:line="179" w:lineRule="exact"/>
        <w:rPr>
          <w:sz w:val="20"/>
          <w:szCs w:val="20"/>
          <w:color w:val="auto"/>
        </w:rPr>
      </w:pPr>
    </w:p>
    <w:p>
      <w:pPr>
        <w:ind w:right="80" w:firstLine="318"/>
        <w:spacing w:after="0" w:line="279" w:lineRule="auto"/>
        <w:rPr>
          <w:sz w:val="20"/>
          <w:szCs w:val="20"/>
          <w:color w:val="auto"/>
        </w:rPr>
      </w:pPr>
      <w:r>
        <w:rPr>
          <w:rFonts w:ascii="Arial" w:cs="Arial" w:eastAsia="Arial" w:hAnsi="Arial"/>
          <w:sz w:val="17"/>
          <w:szCs w:val="17"/>
          <w:color w:val="auto"/>
        </w:rPr>
        <w:t>We are a mission-driven business with long-standing core values. We strive to operate in a transparent, socially responsible and environmentally sustainable manner and are committed to help solve the major health and global environmental issues which we believe are caused in part by an animal-based protein diet and existing industrial livestock production. We believe our authentic and long-standing commitment to these causes better positions us to build loyalty and trust with current consumers and helps to attract new ones. Our corporate culture embodies these values and, as a result, we enjoy a highly motivated and skilled workforce committed to our mission and our enterprise.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Cost Down Strategy</w:t>
      </w:r>
    </w:p>
    <w:p>
      <w:pPr>
        <w:spacing w:after="0" w:line="166"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A key component of achieving our long-term business strategy is to drive the cost of our products down over time, with the aspiration to eventually price at parity with animal-based protein. In response to the current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strategic key long-term partners and opportunities. For clarity, lean value streams represent organizing our teams and operational approach in such a way that increases cross-functional collaboration, transparency and ownership of key business processes and initiatives, with an overarching objective of eliminating waste throughout our organization. We believe, if implemented effectively, the use of a lean value stream approach could drive faster speed-to-market of new product launches, which in turn could accelerate our sales growth, boost our cost of goods sold reduction and gross margin expansion efforts and enable further operating expense reductions, among others.</w:t>
      </w:r>
    </w:p>
    <w:p>
      <w:pPr>
        <w:spacing w:after="0" w:line="12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Based on cost reduction initiatives intended to reduce operating expenses, in August 2022 and October 2022, we implemented reductions in force affecting approximately 4% and 19%, respectively, of our global workforce. To further reduce operating expenses, in November 2023, we announced that we were initiating a review of our global operations (the “Global Operations Review”), narrowing our commercial focus to certain growth opportunities, and accelerating activities that prioritize gross margin expansion and cash generation. These efforts may include the discontinuation of select product lines such as Beyond Meat Jerky; changes to our pricing architecture within certain channels, including our current plan to increase the prices of certain of our products; accelerated, cash-accretive inventory reduction initiatives; further optimization of our manufacturing capacity and real estate footprint and the continued review of our operations in China. As part of this review, in November 2023, we implemented a reduction in force affecting approximately 8% of our global workforce.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the long-term, we intend to continue to do the following:</w:t>
      </w:r>
    </w:p>
    <w:p>
      <w:pPr>
        <w:spacing w:after="0" w:line="177"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Pursue Top-line Growth Across our Distribution Channels</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We continue to believe that there is a significant opportunity over time to expand our retail and foodservice footprint through distribution expansion, continued innovation and commercialization of new products, increased penetration across channels and into other areas of the retail footprint. We believe increased distribution with a global focus will lead to growing consumer awareness and demand for nutritious, convenient and high protein plant-based foods around the world, leading to an increase in the overall size of the plant-based meat category as more consumers shift their diets away from animal-based proteins.</w:t>
      </w:r>
    </w:p>
    <w:p>
      <w:pPr>
        <w:spacing w:after="0" w:line="120"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 in Infrastructure and Capabilities</w:t>
      </w:r>
    </w:p>
    <w:p>
      <w:pPr>
        <w:spacing w:after="0" w:line="177" w:lineRule="exact"/>
        <w:rPr>
          <w:sz w:val="20"/>
          <w:szCs w:val="20"/>
          <w:color w:val="auto"/>
        </w:rPr>
      </w:pPr>
    </w:p>
    <w:p>
      <w:pPr>
        <w:ind w:right="100" w:firstLine="318"/>
        <w:spacing w:after="0" w:line="290" w:lineRule="auto"/>
        <w:rPr>
          <w:sz w:val="20"/>
          <w:szCs w:val="20"/>
          <w:color w:val="auto"/>
        </w:rPr>
      </w:pPr>
      <w:r>
        <w:rPr>
          <w:rFonts w:ascii="Arial" w:cs="Arial" w:eastAsia="Arial" w:hAnsi="Arial"/>
          <w:sz w:val="18"/>
          <w:szCs w:val="18"/>
          <w:color w:val="auto"/>
        </w:rPr>
        <w:t>We are continually reviewing opportunities to optimize our manufacturing capacity across our network, including identifying opportunities to increase overall equipment effectiveness, leverage our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4"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manufacturing and co-manufacturer network, and invest in new processes and business management systems to increase automation, improve operating efficiency and enable greater scalability.</w:t>
      </w:r>
    </w:p>
    <w:p>
      <w:pPr>
        <w:spacing w:after="0" w:line="96"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Our Product Offerings</w:t>
      </w:r>
    </w:p>
    <w:p>
      <w:pPr>
        <w:spacing w:after="0" w:line="164"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success of our products over the past several years supports our belief that, despite a softness in the plant-based meat category over the last two years, there will continue to be significant demand for additional plant-based meat products in the long-term. We intend to strengthen our product offerings by improving the formulations for our existing portfolio of products, including the new Beyond IV platform, and by creating new products that expand the portfolio. We are continually refining our products to improve their taste, texture, aroma, appearance and nutrition profile. In addition, we are committed to investing in research and development to continue to innovate within our core plant-based platforms of beef, pork and poultry to create exciting new product lines and improve the formulations for our existing portfolio of products from a taste and nutrition standpoint.</w:t>
      </w:r>
    </w:p>
    <w:p>
      <w:pPr>
        <w:spacing w:after="0" w:line="140" w:lineRule="exact"/>
        <w:rPr>
          <w:sz w:val="20"/>
          <w:szCs w:val="20"/>
          <w:color w:val="auto"/>
        </w:rPr>
      </w:pPr>
    </w:p>
    <w:p>
      <w:pPr>
        <w:ind w:right="100" w:firstLine="318"/>
        <w:spacing w:after="0" w:line="265" w:lineRule="auto"/>
        <w:rPr>
          <w:sz w:val="20"/>
          <w:szCs w:val="20"/>
          <w:color w:val="auto"/>
        </w:rPr>
      </w:pPr>
      <w:r>
        <w:rPr>
          <w:rFonts w:ascii="Arial" w:cs="Arial" w:eastAsia="Arial" w:hAnsi="Arial"/>
          <w:sz w:val="18"/>
          <w:szCs w:val="18"/>
          <w:color w:val="auto"/>
        </w:rPr>
        <w:t>In the spring of 2024, we intend to launch the Beyond IV generation of products in the U.S. retail channel. The Beyond Burger and Beef IV generation of products will feature a new protein blend including pea, rice, faba, and lentil proteins as well as a new oil system featuring avocado oil. This revolutionary product is expected to feature 60% less saturated fat and 20% less sodium than the current Beyond Burger 3.0. These products are Clean Label Project certified, the first plant-based meat product to receive this certification.</w:t>
      </w:r>
    </w:p>
    <w:p>
      <w:pPr>
        <w:spacing w:after="0" w:line="133"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Grow Our Brand</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intend to continue to develop and preserve our brand and increase awareness of Beyond Meat including an increased focus on improving the health perception of Beyond Meat products with our core consumer groups. We intend to accomplish this with an intentional focus on improving our products, working with trusted leaders within nutrition and medicine, and partnering with organizations like the American Heart Association, American Cancer Society, and the American Diabetes Association. We also plan to continue to further drive awareness and relevance of Beyond Meat products with a large scale audience and create relevant content with our network of celebrities, influencers and brand ambassadors, who have successfully built significant brand awareness for us by supporting our mission and products and incorporating Beyond Meat into their daily lifestyle.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Products</w:t>
      </w:r>
    </w:p>
    <w:p>
      <w:pPr>
        <w:spacing w:after="0" w:line="166" w:lineRule="exact"/>
        <w:rPr>
          <w:sz w:val="20"/>
          <w:szCs w:val="20"/>
          <w:color w:val="auto"/>
        </w:rPr>
      </w:pPr>
    </w:p>
    <w:p>
      <w:pPr>
        <w:ind w:right="440" w:firstLine="318"/>
        <w:spacing w:after="0" w:line="267" w:lineRule="auto"/>
        <w:rPr>
          <w:sz w:val="20"/>
          <w:szCs w:val="20"/>
          <w:color w:val="auto"/>
        </w:rPr>
      </w:pPr>
      <w:r>
        <w:rPr>
          <w:rFonts w:ascii="Arial" w:cs="Arial" w:eastAsia="Arial" w:hAnsi="Arial"/>
          <w:sz w:val="18"/>
          <w:szCs w:val="18"/>
          <w:color w:val="auto"/>
        </w:rPr>
        <w:t>We sell a range of plant-based meat products across our three core platforms of beef, pork and poultry. Depending on the product and channel, they are offered in ready-to-cook, ready-to-heat or shelf-stable formats. Our products cover an entire day’s menu planning, from breakfast to dinner and snacking in between.</w:t>
      </w:r>
    </w:p>
    <w:p>
      <w:pPr>
        <w:spacing w:after="0" w:line="131"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beef platform products contain protein primarily derived from one or a combination of pea protein, rice protein, faba bean protein, wheat gluten and mung bean protein. Our latest introductions—Beyond Burger IV and Beyond Beef IV—scheduled to be introduced nationwide in spring 2024, are made with avocado oil and are expected to have 21g of protein per serving, a simplified ingredient list, 60% less saturated fat and 20% less sodium compared to the current Beyond 3.0 and continue with the tradition of no cholesterol, no added antibiotics or hormones, and no GMOS.</w:t>
      </w:r>
    </w:p>
    <w:p>
      <w:pPr>
        <w:spacing w:after="0" w:line="138"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Our pork platform consists of our line of products that are intended to mimic animal-based pork in its various merchandised forms, including dinner sausage links, breakfast sausage patties and links, and ground pork, among others. Our primary products under our pork platform include Beyond Sausage, Beyond Breakfast Sausage Patties, Beyond Breakfast Sausage Links, and Beyond Sausage Crumbles. The protein content of our pork platform products is primarily derived from one or a combination of pea protein, rice protein and soy protein.</w:t>
      </w:r>
    </w:p>
    <w:p>
      <w:pPr>
        <w:spacing w:after="0" w:line="133" w:lineRule="exact"/>
        <w:rPr>
          <w:sz w:val="20"/>
          <w:szCs w:val="20"/>
          <w:color w:val="auto"/>
        </w:rPr>
      </w:pPr>
    </w:p>
    <w:p>
      <w:pPr>
        <w:jc w:val="both"/>
        <w:ind w:right="360" w:firstLine="318"/>
        <w:spacing w:after="0" w:line="267" w:lineRule="auto"/>
        <w:rPr>
          <w:sz w:val="20"/>
          <w:szCs w:val="20"/>
          <w:color w:val="auto"/>
        </w:rPr>
      </w:pPr>
      <w:r>
        <w:rPr>
          <w:rFonts w:ascii="Arial" w:cs="Arial" w:eastAsia="Arial" w:hAnsi="Arial"/>
          <w:sz w:val="18"/>
          <w:szCs w:val="18"/>
          <w:color w:val="auto"/>
        </w:rPr>
        <w:t>Our poultry platform consists of our line of products that are intended to mimic animal-based chicken in its various merchandised forms, including chicken tenders, chicken nuggets and popcorn chicken. Our primary products under our poultry platform include Beyond Chicken Tenders, Beyond Chicken Nuggets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Popcorn Chicken. The protein content for our poultry platform products is primarily derived from faba bean protein and wheat gluten.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166"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United States and abroad. As of December 2023, Beyond Meat branded products were available in approximately 32,000 retail outlets in the United States, excluding outlets unique to Beyond Meat Jerky, and 36,000 retail outlets internationally.</w:t>
      </w:r>
    </w:p>
    <w:p>
      <w:pPr>
        <w:spacing w:after="0" w:line="110"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We remain focused on expanding our partnerships with foodservice customers over time, including large full-service restaurant (“FSR”) and QSR customers in the United States and abroad. As of December 2023, Beyond Meat branded products were available in approximately 43,000 foodservice outlets in the United States and 34,000 foodservice outlets internationally.</w:t>
      </w:r>
    </w:p>
    <w:p>
      <w:pPr>
        <w:spacing w:after="0" w:line="110" w:lineRule="exact"/>
        <w:rPr>
          <w:sz w:val="20"/>
          <w:szCs w:val="20"/>
          <w:color w:val="auto"/>
        </w:rPr>
      </w:pPr>
    </w:p>
    <w:p>
      <w:pPr>
        <w:jc w:val="both"/>
        <w:ind w:right="160" w:firstLine="318"/>
        <w:spacing w:after="0" w:line="298" w:lineRule="auto"/>
        <w:rPr>
          <w:sz w:val="20"/>
          <w:szCs w:val="20"/>
          <w:color w:val="auto"/>
        </w:rPr>
      </w:pPr>
      <w:r>
        <w:rPr>
          <w:rFonts w:ascii="Arial" w:cs="Arial" w:eastAsia="Arial" w:hAnsi="Arial"/>
          <w:sz w:val="17"/>
          <w:szCs w:val="17"/>
          <w:color w:val="auto"/>
        </w:rPr>
        <w:t>We sell to a variety of customers in the retail and foodservice channels throughout the United States and internationally primarily through distributors who purchase, store, sell and deliver our products. Because such distributors function in an intermediary role, we do not consider them to be direct customers. In addition, we sell directly to customers in the retail and foodservice channels who handle their own distribution.</w:t>
      </w:r>
    </w:p>
    <w:p>
      <w:pPr>
        <w:spacing w:after="0" w:line="93" w:lineRule="exact"/>
        <w:rPr>
          <w:sz w:val="20"/>
          <w:szCs w:val="20"/>
          <w:color w:val="auto"/>
        </w:rPr>
      </w:pPr>
    </w:p>
    <w:p>
      <w:pPr>
        <w:ind w:right="140" w:firstLine="318"/>
        <w:spacing w:after="0" w:line="275" w:lineRule="auto"/>
        <w:rPr>
          <w:sz w:val="20"/>
          <w:szCs w:val="20"/>
          <w:color w:val="auto"/>
        </w:rPr>
      </w:pPr>
      <w:r>
        <w:rPr>
          <w:rFonts w:ascii="Arial" w:cs="Arial" w:eastAsia="Arial" w:hAnsi="Arial"/>
          <w:sz w:val="18"/>
          <w:szCs w:val="18"/>
          <w:color w:val="auto"/>
        </w:rPr>
        <w:t>In each of 2023 and 2022, DOT Foods, Inc. (“DOT”) accounted for approximately 12% of our gross revenues. In 2021, DOT and Zandbergen WFM accounted for approximately 12% and 11% of our gross revenues, respectively. No other distributor or customer accounted for more than 10% of our gross revenues in 2023, 2022 or 2021.</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Supply Chain</w:t>
      </w:r>
    </w:p>
    <w:p>
      <w:pPr>
        <w:spacing w:after="0" w:line="166"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Sourcing and Suppliers</w:t>
      </w:r>
    </w:p>
    <w:p>
      <w:pPr>
        <w:spacing w:after="0" w:line="164" w:lineRule="exact"/>
        <w:rPr>
          <w:sz w:val="20"/>
          <w:szCs w:val="20"/>
          <w:color w:val="auto"/>
        </w:rPr>
      </w:pPr>
    </w:p>
    <w:p>
      <w:pPr>
        <w:ind w:right="200" w:firstLine="318"/>
        <w:spacing w:after="0" w:line="275" w:lineRule="auto"/>
        <w:rPr>
          <w:sz w:val="20"/>
          <w:szCs w:val="20"/>
          <w:color w:val="auto"/>
        </w:rPr>
      </w:pPr>
      <w:r>
        <w:rPr>
          <w:rFonts w:ascii="Arial" w:cs="Arial" w:eastAsia="Arial" w:hAnsi="Arial"/>
          <w:sz w:val="18"/>
          <w:szCs w:val="18"/>
          <w:color w:val="auto"/>
        </w:rPr>
        <w:t>The principal ingredient used to manufacture our products is pea protein. We procure the raw materials for our woven protein from a number of different suppliers. Although most of the raw materials we require are typically readily available from multiple sources, we currently have a limited number of suppliers for the pea protein used in our products.</w:t>
      </w:r>
    </w:p>
    <w:p>
      <w:pPr>
        <w:spacing w:after="0" w:line="110"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Supply Agreements</w:t>
      </w:r>
    </w:p>
    <w:p>
      <w:pPr>
        <w:spacing w:after="0" w:line="164" w:lineRule="exact"/>
        <w:rPr>
          <w:sz w:val="20"/>
          <w:szCs w:val="20"/>
          <w:color w:val="auto"/>
        </w:rPr>
      </w:pPr>
    </w:p>
    <w:p>
      <w:pPr>
        <w:ind w:right="60" w:firstLine="318"/>
        <w:spacing w:after="0" w:line="267" w:lineRule="auto"/>
        <w:rPr>
          <w:sz w:val="20"/>
          <w:szCs w:val="20"/>
          <w:color w:val="auto"/>
        </w:rPr>
      </w:pPr>
      <w:r>
        <w:rPr>
          <w:rFonts w:ascii="Arial" w:cs="Arial" w:eastAsia="Arial" w:hAnsi="Arial"/>
          <w:sz w:val="18"/>
          <w:szCs w:val="18"/>
          <w:color w:val="auto"/>
        </w:rPr>
        <w:t>We have a multi-year sales agreement with Roquette Frères (“Roquette”) for the supply of pea protein which expires on December 31, 2025. We are obligated to purchase certain minimum annual amounts as specified in the agreement. We continually seek additional sources of pea protein and other plant-based protein for our products that meet our criteria.</w:t>
      </w:r>
    </w:p>
    <w:p>
      <w:pPr>
        <w:spacing w:after="0" w:line="13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or in collaboration with our foodservice partners.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aroma and appearance are not negatively impacted.</w:t>
      </w:r>
    </w:p>
    <w:p>
      <w:pPr>
        <w:spacing w:after="0" w:line="120"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Manufacturing</w:t>
      </w:r>
    </w:p>
    <w:p>
      <w:pPr>
        <w:spacing w:after="0" w:line="166"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As the first step in our manufacturing process a dry blend containing our plant protein is combined within our manufacturing facilities. The dry blend then enters our extruder, where both water and steam are added.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791845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then use a combination of heating, cooling and variations of pressure to weave together the proteins into an architecture that mimics the texture and muscle structure of animal meat. The formed woven protein is used as the basis of all our products. Next, internally or through our co-manufacturers, we further process the woven protein by combining flavorings and other ingredients, after which the final packaged product is then shipped to distributors or direct to customers. In order to sustain the quality of our products, we have implemented a “define, measure, analyze, improve and control,” or DMAIC, approach to improve, optimize and stabilize our processes and design.</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We depend on co-manufacturers for the manufacturing of some of our products. As of December 31, 2023, our co-manufacturers are currently in various locations throughout the United States, Germany, the Netherlands and China. We continue to explore further optimization of our production capabilities domestically and abroad to produce our woven proteins, blends of flavor systems and binding systems, and finished goods.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Quality Control</w:t>
      </w:r>
    </w:p>
    <w:p>
      <w:pPr>
        <w:spacing w:after="0" w:line="166"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dimensions and weight. We provide specific instructions to customers and consumers for storing and cooking our products. The majority of our products are transported and stored frozen. Frozen products such as Beyond Beef Crumbles, Beyond Breakfast Sausage Patties, Beyond Steak and Beyond Chicken products are intended to be prepared from their frozen state, with cooking instructions printed on all packaging.</w:t>
      </w:r>
    </w:p>
    <w:p>
      <w:pPr>
        <w:spacing w:after="0" w:line="133"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Retail products sold in the meat case, such as the Beyond Burger, Beyond Sausage, Beyond Beef, Beyond Meatballs and Beyond Sausage Links, are shipped to the customer frozen. The customer is provided instructions on ‘slacking,’ which is typically done by moving frozen food to a refrigerator to allow it to slowly and safely thaw before cooking. For this step, retailers must apply a “use by date” sticker to the packaging prior to sale.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w:t>
      </w:r>
    </w:p>
    <w:p>
      <w:pPr>
        <w:spacing w:after="0" w:line="166" w:lineRule="exact"/>
        <w:rPr>
          <w:sz w:val="20"/>
          <w:szCs w:val="20"/>
          <w:color w:val="auto"/>
        </w:rPr>
      </w:pPr>
    </w:p>
    <w:p>
      <w:pPr>
        <w:ind w:right="400" w:firstLine="318"/>
        <w:spacing w:after="0" w:line="275" w:lineRule="auto"/>
        <w:rPr>
          <w:sz w:val="20"/>
          <w:szCs w:val="20"/>
          <w:color w:val="auto"/>
        </w:rPr>
      </w:pPr>
      <w:r>
        <w:rPr>
          <w:rFonts w:ascii="Arial" w:cs="Arial" w:eastAsia="Arial" w:hAnsi="Arial"/>
          <w:sz w:val="18"/>
          <w:szCs w:val="18"/>
          <w:color w:val="auto"/>
        </w:rPr>
        <w:t>From our internal manufacturing or co-manufacturing facilities, products are transferred by third party logistics providers to cold storage facilities or are directly shipped to the customer. International shipments are also handled by third party logistics providers and in some instances are organized directly by the customer.</w:t>
      </w:r>
    </w:p>
    <w:p>
      <w:pPr>
        <w:spacing w:after="0" w:line="110" w:lineRule="exact"/>
        <w:rPr>
          <w:sz w:val="20"/>
          <w:szCs w:val="20"/>
          <w:color w:val="auto"/>
        </w:rPr>
      </w:pPr>
    </w:p>
    <w:p>
      <w:pPr>
        <w:ind w:right="600" w:firstLine="318"/>
        <w:spacing w:after="0" w:line="290" w:lineRule="auto"/>
        <w:rPr>
          <w:sz w:val="20"/>
          <w:szCs w:val="20"/>
          <w:color w:val="auto"/>
        </w:rPr>
      </w:pPr>
      <w:r>
        <w:rPr>
          <w:rFonts w:ascii="Arial" w:cs="Arial" w:eastAsia="Arial" w:hAnsi="Arial"/>
          <w:sz w:val="18"/>
          <w:szCs w:val="18"/>
          <w:color w:val="auto"/>
        </w:rPr>
        <w:t>At present, we manage shipments through Manhattan Active Transportation Management System (TMS) and FourKites for real-time shipment tracking and visibility to coordinate our supply chain through to final distribution.</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Order Fulfillment</w:t>
      </w:r>
    </w:p>
    <w:p>
      <w:pPr>
        <w:spacing w:after="0" w:line="179"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Our customer service and logistics functions are responsible for customer-facing activities, order management, customer logistics, 3PL leadership and intra-company distribution. We utilize Oracle NetSuite ERP, Palantir and integration with our 3PL Cloud interface platforms for these processes. Customer orders are principally transmitted via electronic data interface, or EDI, but may be processed manually if necessary. Orders are accepted in NetSuite, reviewed for accuracy and fulfillment plans are developed. When fulfillment plans are ready, orders are tendered to third party carriers via Manhattan TMS. Metrics for the Customer Service and Logistics team include order fill rates, on-time delivery, customer scorecards as needed and cost leadership. We have agreements with third party service providers for all of our shipping needs.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In-Store Activation</w:t>
      </w:r>
    </w:p>
    <w:p>
      <w:pPr>
        <w:spacing w:after="0" w:line="166"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w:t>
      </w:r>
    </w:p>
    <w:p>
      <w:pPr>
        <w:spacing w:after="0" w:line="164" w:lineRule="exact"/>
        <w:rPr>
          <w:sz w:val="20"/>
          <w:szCs w:val="20"/>
          <w:color w:val="auto"/>
        </w:rPr>
      </w:pPr>
    </w:p>
    <w:p>
      <w:pPr>
        <w:ind w:right="60" w:firstLine="318"/>
        <w:spacing w:after="0" w:line="298" w:lineRule="auto"/>
        <w:rPr>
          <w:sz w:val="20"/>
          <w:szCs w:val="20"/>
          <w:color w:val="auto"/>
        </w:rPr>
      </w:pPr>
      <w:r>
        <w:rPr>
          <w:rFonts w:ascii="Arial" w:cs="Arial" w:eastAsia="Arial" w:hAnsi="Arial"/>
          <w:sz w:val="17"/>
          <w:szCs w:val="17"/>
          <w:color w:val="auto"/>
        </w:rPr>
        <w:t>As of December 31, 2023, our sales team is organized into four divisions: retail, foodservice, international and strategic partnerships. Additionally, we have strong support functions with Category Management, Consumer Insights and Analytics, Customer Service and Marketing. The sales team has an extensive range of experience from leading CPG, natural food, meat and plant-based meat companies. It works in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4"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coordination with a network of global broker and distributor partners that gives us the expertise and access to accounts and markets across key global markets in an efficient and scalable fashion as we continue to seek to grow our footprint and sales globally.</w:t>
      </w:r>
    </w:p>
    <w:p>
      <w:pPr>
        <w:spacing w:after="0" w:line="96"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Brand Marketing</w:t>
      </w:r>
    </w:p>
    <w:p>
      <w:pPr>
        <w:spacing w:after="0" w:line="177"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The primary means by which we have driven consumer awareness of our products is via social and digital media, PR, retail and foodservice shopper marketing, ambassador and influencer activations, paid media and strategic partnerships. Our marketing strategy focuses on driving awareness all the way through to purchase and loyalty.</w:t>
      </w:r>
    </w:p>
    <w:p>
      <w:pPr>
        <w:spacing w:after="0" w:line="131"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We maintain active social media platforms such as Facebook, Instagram, LinkedIn, Threads, TikTok, X (formerly Twitter) and YouTube to build awareness, share news, reach new audiences and engage with our consumers. These platforms allow us to engage with our consumers and directly reach target demographics such as millennials and “Generation Z.” We also leverage our first party data to distribute brand information and news, foster loyalty through unique offers and share recipe content to drive everyday consumption.</w:t>
      </w:r>
    </w:p>
    <w:p>
      <w:pPr>
        <w:spacing w:after="0" w:line="133" w:lineRule="exact"/>
        <w:rPr>
          <w:sz w:val="20"/>
          <w:szCs w:val="20"/>
          <w:color w:val="auto"/>
        </w:rPr>
      </w:pPr>
    </w:p>
    <w:p>
      <w:pPr>
        <w:ind w:right="180" w:firstLine="318"/>
        <w:spacing w:after="0" w:line="267" w:lineRule="auto"/>
        <w:rPr>
          <w:sz w:val="20"/>
          <w:szCs w:val="20"/>
          <w:color w:val="auto"/>
        </w:rPr>
      </w:pPr>
      <w:r>
        <w:rPr>
          <w:rFonts w:ascii="Arial" w:cs="Arial" w:eastAsia="Arial" w:hAnsi="Arial"/>
          <w:sz w:val="18"/>
          <w:szCs w:val="18"/>
          <w:color w:val="auto"/>
        </w:rPr>
        <w:t>We also maintain a registered domain website at www.beyondmeat.com, which serves as the primary source of information regarding our products, as well as foreign domains in certain countries. Our website is used as a platform to promote our products, provide news, share recipes, highlight nutritional facts and provide general information on where to purchase our products.</w:t>
      </w:r>
    </w:p>
    <w:p>
      <w:pPr>
        <w:spacing w:after="0" w:line="131"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We are fortunate to have partnered with a network of brand ambassadors and developed a strong following by celebrities from the worlds of sports and entertainment who share our core values. Their organic involvement and interest are helpful to promote our overall mission and strategic partnerships.</w:t>
      </w:r>
    </w:p>
    <w:p>
      <w:pPr>
        <w:spacing w:after="0" w:line="131" w:lineRule="exact"/>
        <w:rPr>
          <w:sz w:val="20"/>
          <w:szCs w:val="20"/>
          <w:color w:val="auto"/>
        </w:rPr>
      </w:pPr>
    </w:p>
    <w:p>
      <w:pPr>
        <w:ind w:right="420" w:firstLine="318"/>
        <w:spacing w:after="0" w:line="274" w:lineRule="auto"/>
        <w:rPr>
          <w:sz w:val="20"/>
          <w:szCs w:val="20"/>
          <w:color w:val="auto"/>
        </w:rPr>
      </w:pPr>
      <w:r>
        <w:rPr>
          <w:rFonts w:ascii="Arial" w:cs="Arial" w:eastAsia="Arial" w:hAnsi="Arial"/>
          <w:sz w:val="18"/>
          <w:szCs w:val="18"/>
          <w:color w:val="auto"/>
        </w:rPr>
        <w:t>In 2023, we continued to deploy targeted brand campaigns to build awareness, reach new users and drive conversion. Our paid digital initiatives included social, programmatic, podcasts, out-of-home, online video, connected TV, and digital offers and rewards.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Perdue Foods and Tyson, and also plant-based meat brands, including brands affiliated with conventional animal-protein companies and other large food operators, such as Alpha Foods, Boca Foods (Kraft Heinz), Lightlife and Field Roast (Maple Leaf Foods), Gardein (Conagra), Hungry Planet, Inc., Impossible Foods, Incogmeato/Morningstar Farms (Kellanova), Moving Mountains, Omnipork (OmniFoods), Tofurky, Sweet Earth and Awesome Burger (Nestlé S.A.), Raised &amp; Rooted (Tyson), Happy Little Plants (Hormel), Sysco’s Simply Plant-Based Meatless Burger, The Not Company and Vegetarian Butcher (Unilever). Additionally, a number of U.S. and international companies are working on developing lab-grown or “clean meat,” an animal-protein product cultivated from cells taken from animals, which could have a similar appeal to consumers as plant-based products.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competitive factors in our industry are:</w:t>
      </w:r>
    </w:p>
    <w:p>
      <w:pPr>
        <w:spacing w:after="0" w:line="164" w:lineRule="exact"/>
        <w:rPr>
          <w:sz w:val="20"/>
          <w:szCs w:val="20"/>
          <w:color w:val="auto"/>
        </w:rPr>
      </w:pPr>
    </w:p>
    <w:p>
      <w:pPr>
        <w:ind w:left="440" w:hanging="1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taste;</w:t>
      </w:r>
    </w:p>
    <w:p>
      <w:pPr>
        <w:spacing w:after="0" w:line="177" w:lineRule="exact"/>
        <w:rPr>
          <w:rFonts w:ascii="Arial" w:cs="Arial" w:eastAsia="Arial" w:hAnsi="Arial"/>
          <w:sz w:val="18"/>
          <w:szCs w:val="18"/>
          <w:color w:val="auto"/>
        </w:rPr>
      </w:pPr>
    </w:p>
    <w:p>
      <w:pPr>
        <w:ind w:left="320" w:right="8620" w:firstLine="4"/>
        <w:spacing w:after="0" w:line="437" w:lineRule="auto"/>
        <w:tabs>
          <w:tab w:leader="none" w:pos="4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promotion tactics; ◦nutritional profile;</w:t>
      </w:r>
    </w:p>
    <w:p>
      <w:pPr>
        <w:spacing w:after="0" w:line="1" w:lineRule="exact"/>
        <w:rPr>
          <w:rFonts w:ascii="Arial" w:cs="Arial" w:eastAsia="Arial" w:hAnsi="Arial"/>
          <w:sz w:val="18"/>
          <w:szCs w:val="18"/>
          <w:color w:val="auto"/>
        </w:rPr>
      </w:pPr>
    </w:p>
    <w:p>
      <w:pPr>
        <w:ind w:left="440" w:hanging="1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texture;</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14" w:lineRule="exact"/>
        <w:rPr>
          <w:sz w:val="20"/>
          <w:szCs w:val="20"/>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cholesterol and GMOs;</w:t>
      </w:r>
    </w:p>
    <w:p>
      <w:pPr>
        <w:spacing w:after="0" w:line="164"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versatility;</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64"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64"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major foodservice outlets and integration into menus;</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innovation; and</w:t>
      </w:r>
    </w:p>
    <w:p>
      <w:pPr>
        <w:spacing w:after="0" w:line="177" w:lineRule="exact"/>
        <w:rPr>
          <w:rFonts w:ascii="Arial" w:cs="Arial" w:eastAsia="Arial" w:hAnsi="Arial"/>
          <w:sz w:val="18"/>
          <w:szCs w:val="18"/>
          <w:color w:val="auto"/>
        </w:rPr>
      </w:pPr>
    </w:p>
    <w:p>
      <w:pPr>
        <w:ind w:left="440" w:hanging="1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intellectual property protection.</w:t>
      </w:r>
    </w:p>
    <w:p>
      <w:pPr>
        <w:spacing w:after="0" w:line="164"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commercialization and distribution capabilities, and greater marketing resources than we have.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179"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At Beyond Meat, the Research and Development (R&amp;D) team is the driving force behind the development of our groundbreaking plant-based meat products. Operating from our Innovation Center located at our Campus Headquarters, our in-house R&amp;D team includes scientists, engineers, researchers, technicians and chefs. In every project they undertake, our R&amp;D team is deeply committed to pioneering the future of food, with a goal of producing plant-based meat alternatives indistinguishable from their animal-based counterparts in taste, texture, and nutrition.</w:t>
      </w:r>
    </w:p>
    <w:p>
      <w:pPr>
        <w:spacing w:after="0" w:line="13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8"/>
          <w:szCs w:val="18"/>
          <w:color w:val="auto"/>
        </w:rPr>
        <w:t>Our R&amp;D efforts have resulted in several industry-first innovations that have not only established new benchmarks in the plant-based meat sector but also significantly contributed to our brand's reputation as an industry leader. To ensure we maintain our competitive advantage, we implement rigorous measures to protect our intellectual property, which forms the cornerstone of our innovative edge.</w:t>
      </w:r>
    </w:p>
    <w:p>
      <w:pPr>
        <w:spacing w:after="0" w:line="131"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The Beyond Meat Rapid and Relentless Innovation Program defines our systematic and strategic approach to product development. It is a comprehensive framework that integrates the various stages of the innovation lifecycle – ideation, prototype development, testing, refinement and commercialization. Within this framework, each functional team is assigned specific responsibilities and held accountable for their contributions. This structured process ensures that there are clear deliverables at each stage, facilitating a seamless flow from conception to market launch.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R&amp;D endeavors are not limited to product innovation alone. We are equally focused on improving our manufacturing processes and</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quality control measures. We continuously explore new technologies and methodologies that can improve the efficiency and sustainability of our production lines, with a goal of reducing waste, cost and speed-to-market.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Innovation</w:t>
      </w:r>
    </w:p>
    <w:p>
      <w:pPr>
        <w:spacing w:after="0" w:line="179"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Innovation is a core competency of ours and an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of these products that replicate the taste, texture, aroma and appearance of their animal-based equivalents. We have been able to leverage the success of our existing products and resulting brand equity to launch improved versions of our existing products and create new products.</w:t>
      </w:r>
    </w:p>
    <w:p>
      <w:pPr>
        <w:spacing w:after="0" w:line="138"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success and brand equity of our existing product lineup serves as a strong foundation, enabling us to continuously introduce improved versions of our current offerings and launch new, groundbreaking products. In the spring of 2024, we intend to launch the Beyond IV generation of products in the U.S. retail channel. The Beyond Burger and Beef IV generation of products will feature a new protein blend including pea, rice, faba and lentil proteins as well as a new oil system featuring avocado oil. This revolutionary product is expected to feature 60% less saturated fat and 20% less sodium than the current Beyond Burger 3.0. These products are Clean Label Project certified, the first plant-based meat products to receive this certification. Whether new innovation or renovation, all of our product development efforts are driven by a pursuit of excellence, a deep understanding of evolving consumer preferences, and a strong commitment to health.</w:t>
      </w:r>
    </w:p>
    <w:p>
      <w:pPr>
        <w:spacing w:after="0" w:line="140"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On January 25, 2021, we entered into the Planet Partnership (“TPP”), a joint venture with PepsiCo, Inc., to develop, produce and market innovative snack and beverage products made from plant-based protein. In 2023, we continued the process of renegotiating certain contracts and changing operating activities related to Beyond Meat Jerky and assumed the distribution responsibilities for Beyond Meat Jerky in the fourth quarter of 2023. As part of our Global Operations Review, we made the decision to discontinue the Beyond Meat Jerky product line.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Seasonality</w:t>
      </w:r>
    </w:p>
    <w:p>
      <w:pPr>
        <w:spacing w:after="0" w:line="179"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Generally, we expect to experience greater demand for certain of our products during the U.S. summer grilling season. In 2023, 2022 and 2021, U.S. retail channel net revenues during the second quarter were 10%, 16% and 21% higher than the first quarter, respectively. While we expected to continue to see additional seasonality effects in 2023, as compared to 2022 and 2021, we saw more muted effects from seasonality in the third and fourth quarters of 2023 as compared to the prior-year period and the second quarter of 2023, primarily reflecting weak category demand and pricing actions.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recessionary and inflationary pressures, prolonged weakness in the plant-based meat category, competition and other factors impacting our business, we are unable to assess the ultimate impact on the demand for our products as a result of seasonality.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Environmental, Social and Governance</w:t>
      </w:r>
    </w:p>
    <w:p>
      <w:pPr>
        <w:spacing w:after="0" w:line="166" w:lineRule="exact"/>
        <w:rPr>
          <w:sz w:val="20"/>
          <w:szCs w:val="20"/>
          <w:color w:val="auto"/>
        </w:rPr>
      </w:pPr>
    </w:p>
    <w:p>
      <w:pPr>
        <w:ind w:right="100" w:firstLine="318"/>
        <w:spacing w:after="0" w:line="265" w:lineRule="auto"/>
        <w:rPr>
          <w:sz w:val="20"/>
          <w:szCs w:val="20"/>
          <w:color w:val="auto"/>
        </w:rPr>
      </w:pPr>
      <w:r>
        <w:rPr>
          <w:rFonts w:ascii="Arial" w:cs="Arial" w:eastAsia="Arial" w:hAnsi="Arial"/>
          <w:sz w:val="18"/>
          <w:szCs w:val="18"/>
          <w:color w:val="auto"/>
        </w:rPr>
        <w:t>As a disruptive leader in the food industry, we have established ourselves as a leading producer of plant-based meat products that we believe deliver a reduced environmental footprint and mitigate the social and welfare issues associated with the conventional production and consumption of animal protein. In order to continue that work and position us as a leader in the integration of environmental and social change, we have committed to developing a comprehensive ESG program.</w:t>
      </w:r>
    </w:p>
    <w:p>
      <w:pPr>
        <w:spacing w:after="0" w:line="133"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As part of the development of our ESG program, we have conducted a materiality analysis to determine which ESG issues are relevant to our business (the “ESG Materiality Analysis”). The term “materiality analysis” is common in the discussion of such assessments; however, the ESG Materiality Analysis was not designed to identify “material” issues for the purposes of financial reporting, or as defined by the securities laws of the United States. While the environmental impacts of our products, climate change management, the safety and quality of the products we produce and how we manage our supply chain were all identified as priority topics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798195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our ESG Materiality Analysis, our discussion of these and other ESG matters herein or elsewhere may include information that is not necessarily “material” for SEC reporting purposes, and is informed by various ESG standards and frameworks (including standards for the measurement of underlying data), and the interests of various stakeholders. Much of this information is subject to assumptions, estimates or third 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 We continue to work on leveraging the ESG Materiality Analysis to inform our strategy and actions under our commitment to promoting responsible and sustainable business practices within our organization.</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focus areas for impact include:</w:t>
      </w:r>
    </w:p>
    <w:p>
      <w:pPr>
        <w:spacing w:after="0" w:line="16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human health;</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resource conservation;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animal welfare</w:t>
      </w:r>
    </w:p>
    <w:p>
      <w:pPr>
        <w:spacing w:after="0" w:line="31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In 2023, we released Beyond Meat’s 2022 ESG Report (the “2022 ESG Report”) and, under a study we commissioned, an updated panel-reviewed life cycle assessment to estimate the environmental impact from cradle-to-distribution of our Beyond Burger 3.0 (the “LCA”). The 2022 ESG Report discusses our approach to ESG, our products, environment, supply chain responsibility, our people and governance. The LCA updates a previous life cycle assessment of the original Beyond Burger 1.0 and estimates that the Beyond Burger 3.0 generates 90% less greenhouse gases, requires 37% less non-renewable energy, requires 97% less land use and consumes 97% less water than a ¼ pound industry average beef patty produced in the United States. The information in the 2022 ESG Report or the LCA is not incorporated by reference into this report or any other report or document we file with the SEC.</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 Resources</w:t>
      </w:r>
    </w:p>
    <w:p>
      <w:pPr>
        <w:spacing w:after="0" w:line="166"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Employees</w:t>
      </w:r>
    </w:p>
    <w:p>
      <w:pPr>
        <w:spacing w:after="0" w:line="164" w:lineRule="exact"/>
        <w:rPr>
          <w:sz w:val="20"/>
          <w:szCs w:val="20"/>
          <w:color w:val="auto"/>
        </w:rPr>
      </w:pPr>
    </w:p>
    <w:p>
      <w:pPr>
        <w:ind w:right="480" w:firstLine="318"/>
        <w:spacing w:after="0" w:line="290" w:lineRule="auto"/>
        <w:rPr>
          <w:sz w:val="20"/>
          <w:szCs w:val="20"/>
          <w:color w:val="auto"/>
        </w:rPr>
      </w:pPr>
      <w:r>
        <w:rPr>
          <w:rFonts w:ascii="Arial" w:cs="Arial" w:eastAsia="Arial" w:hAnsi="Arial"/>
          <w:sz w:val="18"/>
          <w:szCs w:val="18"/>
          <w:color w:val="auto"/>
        </w:rPr>
        <w:t>As of December 31, 2023, we had 686 full-time employees and 63 contract workers. None of our employees is represented by a labor union. We have never experienced a labor-related work stoppage.</w:t>
      </w:r>
    </w:p>
    <w:p>
      <w:pPr>
        <w:spacing w:after="0" w:line="10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Diversity and Inclusion</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value the unique talent and merit that derive from diverse backgrounds and experience. We aspire to engender and affirm equity and inclusion through a purposeful investment in qualified individuals from an array of different communities. We believe our company culture thrives when different perspectives and ideas inform our strategic goals to innovate and deliver to customers of every socio-economic background. We recognize that representation and collaboration are vital components to address the challenges that face our planet. We have developed a framework of guiding principles that set the foundation for sustainable Diversity, Equity and Inclusion practices by reducing subjectivity and biases via data-driven decisions and promoting shared ownership for inclusive behaviors and actions across the organization. In addition, we are actively working on our diversity and inclusion roadmap, which focuses on four pillars: Workplace Inclusion, Employee Experience, Equitable Brand and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810895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4"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Mission, Culture and Engagement</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Everything we do is powered by our mission and core values and our corporate culture reflects that. As a result, we enjoy a highly motivated and skilled workforce committed to our mission and our company. We believe we have a unique culture which promotes employee engagement. Our employees are driven by our mission which promotes collaboration and innovation. We promote employee engagement by organizing various employee activities that are aligned with our mission, including our weekly “Coffee Talk,” a forum for employee engagement with leadership.</w:t>
      </w:r>
    </w:p>
    <w:p>
      <w:pPr>
        <w:spacing w:after="0" w:line="120"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Total Rewards and Pay Philosophy</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We strive to attract and retain diverse, high-caliber employees who raise the talent bar by offering competitive compensation and benefit packages, regardless of their gender identity, race, age, perspective or other personal characteristics. We regularly review and survey our compensation and benefit programs against the market to strive to provide fair and equitable pay. We provide employee salaries that we believe are competitive and consider factors such as an employee’s role and experience, the location of their job and their performance.</w:t>
      </w:r>
    </w:p>
    <w:p>
      <w:pPr>
        <w:spacing w:after="0" w:line="133" w:lineRule="exact"/>
        <w:rPr>
          <w:sz w:val="20"/>
          <w:szCs w:val="20"/>
          <w:color w:val="auto"/>
        </w:rPr>
      </w:pPr>
    </w:p>
    <w:p>
      <w:pPr>
        <w:ind w:right="280" w:firstLine="318"/>
        <w:spacing w:after="0" w:line="267" w:lineRule="auto"/>
        <w:rPr>
          <w:sz w:val="20"/>
          <w:szCs w:val="20"/>
          <w:color w:val="auto"/>
        </w:rPr>
      </w:pPr>
      <w:r>
        <w:rPr>
          <w:rFonts w:ascii="Arial" w:cs="Arial" w:eastAsia="Arial" w:hAnsi="Arial"/>
          <w:sz w:val="18"/>
          <w:szCs w:val="18"/>
          <w:color w:val="auto"/>
        </w:rPr>
        <w:t>We also review our compensation practices, both in terms of our overall workforce and individual employees, in furtherance of our commitment to provide fair and equitable pay. In addition to our competitive salaries, to enhance our employees’ sense of participation in the company and to further align their interests with those of our stockholders, we offer equity to all of our salaried employees.</w:t>
      </w:r>
    </w:p>
    <w:p>
      <w:pPr>
        <w:spacing w:after="0" w:line="131"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We offer a variety of comprehensive medical benefits to our employees. In addition to medical benefits, we offer our employees dental and vision coverage, health savings and flexible spending accounts, paid time off, paid company holidays, paid parental leave, bereavement leave, pet bereavement leave, employee assistance programs, a 401(k) retirement savings plan with company matching contributions, voluntary short-term and long-term disability insurance, and life insurance.</w:t>
      </w:r>
    </w:p>
    <w:p>
      <w:pPr>
        <w:spacing w:after="0" w:line="133"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Development and Retention</w:t>
      </w:r>
    </w:p>
    <w:p>
      <w:pPr>
        <w:spacing w:after="0" w:line="164"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We strive to hire, develop and retain outstanding talent that is passionate about changing the world and that continuously raises the performance bar. We encourage, support and compensate our employees based on our philosophy of recognizing and rewarding exceptional performance. We achieve this by focusing on development, goal setting, accomplishments and ongoing feedback that aligns with short- and long-term company strategy. We believe that development is foundational to future success and should be an ongoing process in which all employees should be active participants.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66"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trademarks are valuable assets that reinforce the distinctiveness of our brand to our consumers. We have applied for or have trademark registrations internationally as well. We believe the protection of our trademarks, copyrights, patents, domain names, trade dress and trade secrets are important to our success.</w:t>
      </w:r>
    </w:p>
    <w:p>
      <w:pPr>
        <w:spacing w:after="0" w:line="134" w:lineRule="exact"/>
        <w:rPr>
          <w:sz w:val="20"/>
          <w:szCs w:val="20"/>
          <w:color w:val="auto"/>
        </w:rPr>
      </w:pPr>
    </w:p>
    <w:p>
      <w:pPr>
        <w:jc w:val="both"/>
        <w:ind w:right="300" w:firstLine="318"/>
        <w:spacing w:after="0" w:line="267"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We maintain a registered domain website at www.beyondmeat.com, as well as foreign domains in certain countries.</w:t>
      </w:r>
    </w:p>
    <w:p>
      <w:pPr>
        <w:spacing w:after="0" w:line="131"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As of December 31, 2023, we had three issued patents in the United States, ten issued patents outside the United States (U.K., Indonesia, Canada, China, Chile, Israel (two), Brazil, Japan and Australia), one pending patent application in the United States, five pending international patent applications and two provisional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Segments</w:t>
      </w:r>
    </w:p>
    <w:p>
      <w:pPr>
        <w:spacing w:after="0" w:line="17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179" w:lineRule="exact"/>
        <w:rPr>
          <w:sz w:val="20"/>
          <w:szCs w:val="20"/>
          <w:color w:val="auto"/>
        </w:rPr>
      </w:pPr>
    </w:p>
    <w:p>
      <w:pPr>
        <w:ind w:right="40" w:firstLine="318"/>
        <w:spacing w:after="0" w:line="257" w:lineRule="auto"/>
        <w:rPr>
          <w:sz w:val="20"/>
          <w:szCs w:val="20"/>
          <w:color w:val="auto"/>
        </w:rPr>
      </w:pPr>
      <w:r>
        <w:rPr>
          <w:rFonts w:ascii="Arial" w:cs="Arial" w:eastAsia="Arial" w:hAnsi="Arial"/>
          <w:sz w:val="18"/>
          <w:szCs w:val="18"/>
          <w:color w:val="auto"/>
        </w:rPr>
        <w:t>Along with our co-manufacturers, brokers, distributors and suppliers, we are subject to extensive laws and regulations in the United States by federal, state and local government authorities and in Canada, the European Union, the United Kingdom, China and other jurisdictions by foreign authorities. In the United States, the primary federal agencies governing the manufacture, distribution, labeling and advertising of our products are the FDA and the FTC, and foreign regulatory authorities include Health Canada or the Canadian Food Inspection Agency (“CFIA”) and the authorities of the EU or the EU member states. Under various federal statutes and implementing regulations and foreign requirements, these agencies, among other things, prescribe the requirements and establish the standards for quality and safety and regulate our product composition, ingredients, manufacturing, labeling and other marketing and advertising to consumers. Among other things, the facilities in which our products and ingredients are manufactured must register with the FDA and any other relevant authorities based on location, comply with current good manufacturing practices, or cGMPs, and comply with a range of food safety requirements established by and implemented under the Food Safety Modernization Act of 2011 and applicable foreign food safety and manufacturing requirements. Federal, state, and foreign regulators have the authority to inspect our facilities to evaluate compliance with applicable requirements. Federal, state, and foreign regulatory authorities also require that certain nutrition and product information appear on our product labels and, more generally, that our labels and labeling be truthful and non-misleading and that our marketing and advertising be truthful, non-misleading and not deceptive to consumers. We are also restricted from making certain types of claims about our products, including for example, in the United States, nutrient content claims, health claims, and claims regarding the effects of our products on any structure or function of the body, whether express or implied, unless we satisfy certain regulatory requirements.</w:t>
      </w:r>
    </w:p>
    <w:p>
      <w:pPr>
        <w:spacing w:after="0" w:line="137" w:lineRule="exact"/>
        <w:rPr>
          <w:sz w:val="20"/>
          <w:szCs w:val="20"/>
          <w:color w:val="auto"/>
        </w:rPr>
      </w:pPr>
    </w:p>
    <w:p>
      <w:pPr>
        <w:ind w:right="420" w:firstLine="318"/>
        <w:spacing w:after="0" w:line="290" w:lineRule="auto"/>
        <w:rPr>
          <w:sz w:val="20"/>
          <w:szCs w:val="20"/>
          <w:color w:val="auto"/>
        </w:rPr>
      </w:pPr>
      <w:r>
        <w:rPr>
          <w:rFonts w:ascii="Arial" w:cs="Arial" w:eastAsia="Arial" w:hAnsi="Arial"/>
          <w:sz w:val="18"/>
          <w:szCs w:val="18"/>
          <w:color w:val="auto"/>
        </w:rPr>
        <w:t>In addition, the United States Congress recently considered (but did not pass) federal legislation, called the Real MEAT Act, that could require changes to our product labeling and marketing, including identifying products as “imitation” meat products.</w:t>
      </w:r>
    </w:p>
    <w:p>
      <w:pPr>
        <w:spacing w:after="0" w:line="109"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Additional states, including Arkansas, Georgia, Mississippi, Louisiana, Oklahoma, South Dakota and Wyoming, have subsequently passed similar laws, and legislation that would impose specific requirements on the naming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808355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1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of plant-based meat products is currently pending in a number of other states, including Arizona. We believe that our products are manufactured and labeled in material compliance with existing state requirements, including the 2018 Missouri law, and pay close attention to any developments at the state or federal level that could apply to our products and our labeling claims.</w:t>
      </w:r>
    </w:p>
    <w:p>
      <w:pPr>
        <w:spacing w:after="0" w:line="131" w:lineRule="exact"/>
        <w:rPr>
          <w:sz w:val="20"/>
          <w:szCs w:val="20"/>
          <w:color w:val="auto"/>
        </w:rPr>
      </w:pPr>
    </w:p>
    <w:p>
      <w:pPr>
        <w:ind w:firstLine="318"/>
        <w:spacing w:after="0" w:line="256" w:lineRule="auto"/>
        <w:rPr>
          <w:sz w:val="20"/>
          <w:szCs w:val="20"/>
          <w:color w:val="auto"/>
        </w:rPr>
      </w:pPr>
      <w:r>
        <w:rPr>
          <w:rFonts w:ascii="Arial" w:cs="Arial" w:eastAsia="Arial" w:hAnsi="Arial"/>
          <w:sz w:val="18"/>
          <w:szCs w:val="18"/>
          <w:color w:val="auto"/>
        </w:rPr>
        <w:t>We are also subject to the laws of Australia, Canada, Hong Kong, Israel, China, the European Union (and individual member countries) and the United Kingdom, among others, and requirements specific to those jurisdictions could impose additional manufacturing or labeling requirements or restrictions. For example, 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October 2021, France published a draft implementing decree (the “Decree”), to define, for example, the sanctions in case of non-compliance with the new law. The Decree was published on June 29, 2022, and entered into force on October 1, 2022. We do not believe that the Decree complied with the laws of the European Union, in particular the principle of free movement of goods. On July 27, 2022, at the request of a trade association, the French High Administrative Court partially suspended the execution of the Decree. This signals that there are indeed serious doubts as to the lawfulness of the Decree, though the suspension is only partial and temporary until the Court rules on the merits of the case. We also note that this prohibition had not been appropriately notified to the European Commission, and that as a result, the prohibition was, in principle, non-enforceable. On July 12, 2023, the French High Administrative Court issued an intermediate judgment in the proceedings against the French meaty names ban. The Court held that there are a number of difficulties interpreting EU law which will be decisive for the resolution of the case. For that reason, the French High Administrative Court referred the case to the CJEU, which is the highest court in the EU and can issue a legally binding interpretation of EU law valid in all 27 EU member states, including France. The French High Administrative Court is bound to follow judgments of the CJEU. The procedure before the CJEU started on August 22, 2023, and the Company filed its submission on October 31, 2023. On January 15, 2024, the Court closed the written procedure. The period to request an oral hearing closed on February 5, 2024, and the CJEU must now decide whether an oral hearing is necessary in these proceedings. However, the procedure has become without object following the adoption of a new decree (the “New Decree”) on February 26, 2024, which repealed the Decree. The judgment of the CJEU would have been determinative as to whether the Decree’s ban on meat names for plant-based foods was lawful, or not, under EU law. The judgment of the CJEU would have also set a precedent on the naming of plant-based foods for all other EU member states, which would have significantly disrupted or facilitated the operations of the Company and the entire plant-based protein industry in France and across the EU. The New Decree essentially maintains the prohibition of meaty names for plant-based protein products. Now that the Decree has been repealed, the Company or the plant-based protein trade associations may need to initiate new proceedings against the New Decree. Separately, 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 In December 2023, Italy adopted a law prohibiting names to indicate foodstuffs of animal origin to describe, market or promote foodstuffs containing vegetable proteins, following the French example. Also in December 2023, Poland published a draft decree banning the use of meaty names to designate plant-based products. Beyond Meat is actively monitoring these developments, but if adopted, they may require it to change its labeling and advertising.</w:t>
      </w:r>
    </w:p>
    <w:p>
      <w:pPr>
        <w:spacing w:after="0" w:line="156" w:lineRule="exact"/>
        <w:rPr>
          <w:sz w:val="20"/>
          <w:szCs w:val="20"/>
          <w:color w:val="auto"/>
        </w:rPr>
      </w:pPr>
    </w:p>
    <w:p>
      <w:pPr>
        <w:jc w:val="both"/>
        <w:ind w:right="200" w:firstLine="318"/>
        <w:spacing w:after="0" w:line="286" w:lineRule="auto"/>
        <w:rPr>
          <w:sz w:val="20"/>
          <w:szCs w:val="20"/>
          <w:color w:val="auto"/>
        </w:rPr>
      </w:pPr>
      <w:r>
        <w:rPr>
          <w:rFonts w:ascii="Arial" w:cs="Arial" w:eastAsia="Arial" w:hAnsi="Arial"/>
          <w:sz w:val="17"/>
          <w:szCs w:val="17"/>
          <w:color w:val="auto"/>
        </w:rPr>
        <w:t>We are subject to labor and employment laws, laws governing advertising, privacy laws, anti-corruption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794385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4"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applicable laws. These laws and regulations are constantly evolving, and it is challenging to predict accurately the effect they may have upon the capital expenditures, earnings and our competitive position in the future.</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79"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w:t>
      </w:r>
    </w:p>
    <w:p>
      <w:pPr>
        <w:spacing w:after="0" w:line="131" w:lineRule="exact"/>
        <w:rPr>
          <w:sz w:val="20"/>
          <w:szCs w:val="20"/>
          <w:color w:val="auto"/>
        </w:rPr>
      </w:pPr>
    </w:p>
    <w:p>
      <w:pPr>
        <w:ind w:left="320" w:right="3800"/>
        <w:spacing w:after="0" w:line="437" w:lineRule="auto"/>
        <w:rPr>
          <w:sz w:val="20"/>
          <w:szCs w:val="20"/>
          <w:color w:val="auto"/>
        </w:rPr>
      </w:pPr>
      <w:r>
        <w:rPr>
          <w:rFonts w:ascii="Arial" w:cs="Arial" w:eastAsia="Arial" w:hAnsi="Arial"/>
          <w:sz w:val="18"/>
          <w:szCs w:val="18"/>
          <w:color w:val="auto"/>
        </w:rPr>
        <w:t xml:space="preserve">Our common stock is listed on the Nasdaq Global Select Market under the symbol “BYND.” </w:t>
      </w:r>
      <w:r>
        <w:rPr>
          <w:rFonts w:ascii="Arial" w:cs="Arial" w:eastAsia="Arial" w:hAnsi="Arial"/>
          <w:sz w:val="18"/>
          <w:szCs w:val="18"/>
          <w:b w:val="1"/>
          <w:bCs w:val="1"/>
          <w:color w:val="auto"/>
        </w:rPr>
        <w:t>Our Website and Availability of SEC Reports and Other Information</w:t>
      </w:r>
    </w:p>
    <w:p>
      <w:pPr>
        <w:spacing w:after="0" w:line="1"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The Company maintains a website at the following address: www.beyondmeat.com. The information on the Company's website is not incorporated by reference in this report or in any other report or document we file with the SEC, and any references to our website are intended to be inactive textual references only.</w:t>
      </w:r>
    </w:p>
    <w:p>
      <w:pPr>
        <w:spacing w:after="0" w:line="110" w:lineRule="exact"/>
        <w:rPr>
          <w:sz w:val="20"/>
          <w:szCs w:val="20"/>
          <w:color w:val="auto"/>
        </w:rPr>
      </w:pPr>
    </w:p>
    <w:p>
      <w:pPr>
        <w:ind w:right="100" w:firstLine="318"/>
        <w:spacing w:after="0" w:line="263" w:lineRule="auto"/>
        <w:rPr>
          <w:sz w:val="20"/>
          <w:szCs w:val="20"/>
          <w:color w:val="auto"/>
        </w:rPr>
      </w:pPr>
      <w:r>
        <w:rPr>
          <w:rFonts w:ascii="Arial" w:cs="Arial" w:eastAsia="Arial" w:hAnsi="Arial"/>
          <w:sz w:val="18"/>
          <w:szCs w:val="18"/>
          <w:color w:val="auto"/>
        </w:rPr>
        <w:t>We make available on or through our website certain reports and amendments to those reports we file with or furnish to the SEC pursuant to Section 13(a) or 15(d) of the Securities Exchange Act of 1934, as amended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The SEC also maintains a web site that contains reports, proxy and information statements, and other information regarding issuers that file electronically with the SEC. The address of the site is http://www.sec.gov.</w:t>
      </w:r>
    </w:p>
    <w:p>
      <w:pPr>
        <w:spacing w:after="0" w:line="123"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#BeyondBurger and #GoBeyond on Facebook, Instagram, Threads and X (formerly, Twitter), and @BeyondMeatOfficial on TikTok). The information posted on social media channels is not incorporated by reference in this report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our webpage at https://investors.beyondmeat.com/investor-relations and to sign up for and regularly follow our social media accounts. Users may automatically receive email alerts and other information about the Company when enrolling an email address by visiting "Request Email Alerts" in the "Investors" section of Beyond Meat’s website at www.investors.beyondmeat.com/investor-relations.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46"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 xml:space="preserve">We are providing the following summary of the risk factors contained in this report to enhance the readability and accessibility of our risk factor disclosures. We encourage you to carefully review the full risk factors immediately following this summary as well as the other information in this report, including the section titled </w:t>
      </w:r>
      <w:r>
        <w:rPr>
          <w:rFonts w:ascii="Arial" w:cs="Arial" w:eastAsia="Arial" w:hAnsi="Arial"/>
          <w:sz w:val="18"/>
          <w:szCs w:val="18"/>
          <w:i w:val="1"/>
          <w:iCs w:val="1"/>
          <w:color w:val="auto"/>
        </w:rPr>
        <w:t>“Management’s Discussion and Analysis of Financial Condition and Results of Operations,” “Note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Forward-Looking Statements,” </w:t>
      </w:r>
      <w:r>
        <w:rPr>
          <w:rFonts w:ascii="Arial" w:cs="Arial" w:eastAsia="Arial" w:hAnsi="Arial"/>
          <w:sz w:val="18"/>
          <w:szCs w:val="18"/>
          <w:color w:val="auto"/>
        </w:rPr>
        <w:t>and our consolidated financial statements and related notes, before deciding whether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The risks and uncertainties described in this report may not be the only ones we face. If any of the risks actually occurs, our business, financial condition, operating results, cash flows and prospects could be materially and adversely affected. In this case, the trading price of our common stock would likely decline and you might lose part or all of your investment in our common stock. These risks and uncertainties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810895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2" w:lineRule="exact"/>
        <w:rPr>
          <w:sz w:val="20"/>
          <w:szCs w:val="20"/>
          <w:color w:val="auto"/>
        </w:rPr>
      </w:pPr>
    </w:p>
    <w:p>
      <w:pPr>
        <w:ind w:left="316" w:hanging="316"/>
        <w:spacing w:after="0" w:line="272" w:lineRule="auto"/>
        <w:tabs>
          <w:tab w:leader="none" w:pos="311"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Risks Related to Our Business</w:t>
      </w:r>
      <w:r>
        <w:rPr>
          <w:rFonts w:ascii="Arial" w:cs="Arial" w:eastAsia="Arial" w:hAnsi="Arial"/>
          <w:sz w:val="17"/>
          <w:szCs w:val="17"/>
          <w:color w:val="auto"/>
        </w:rPr>
        <w:t>, such as, adverse and uncertain economic and political conditions in the U.S. and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including concerns about the likelihood of an economic recession, downturn, periods of rising or high inflation or economic uncertainty; risks associated with inflationary price pressures including the effects of higher interest rates; reduced consumer confidence and changes in consumer spending and negative trends in consumer purchasing patterns; our history of losses and ability to achieve or sustain profitability; a continued decrease in demand, and the underlying factors negatively impacting demand in the plant-based meat category; our cost-reduction initiatives, cost structure improvements, workforce reductions and executive leadership changes, and the timing and success of reducing operating expenses and achieving certain financial goals and cash flow positive objectives; the timing and success of narrowing our commercial focus to certain growth opportunities; accelerating activities that prioritize gross margin expansion and cash generation, including as part of our Global Operations Review; changes to our pricing architecture within certain channels; and accelerated, cash-accretive inventory reduction initiatives; our ability to successfully execute our Global Operations Review, including the exit or discontinuation of select product lines such as Beyond Meat Jerky, further optimization of our manufacturing capacity and real estate footprint, and the continued review of our operations in China; the substantial non-cash impacts resulting from our Global Operations Review; our ability to accurately forecast demand for our products; our ability to utilize our capacity efficiently or accurately plan our capacity requirements; our ability to sell our inventory in a timely manner which may require us to sell our products through liquidation channels at lower prices, write-down or write-off obsolete inventory, or increase inventory provision; our ability to forecast future results of operations and financial goals or targets; our reliance on a limited number of third party suppliers and our ability to procure sufficient high quality raw materials; disruptions to our supply chain; limited availability of pea protein that meets our standards; our limited number of distributors; consolidation of customers, loss of a significant customer or our inability to acquire new customers; loss of one or more of our co-manufacturers; damage or disruption at our internal or co-manufacturing facilities; difficulties expanding into new markets; slow, declining or negative revenue growth rates; revenue and earnings fluctuations; seasonal fluctuations; delays in product delivery by third party transportation providers; failure to retain our senior management and attract and retain employees; use of professional employer organizations to employ certain of our international employees; failure of acquisitions or investments to be efficiently integrated; our ESG practices and reporting of such matters; accounting estimate risks; risks from changes in estimating judgments and assumptions used in the preparation of financial statements in accordance with GAAP or any future impairment charges; technological changes that might impact our products and/or business; and risks stemming from workplace accidents or safety incidents.</w:t>
      </w:r>
    </w:p>
    <w:p>
      <w:pPr>
        <w:spacing w:after="0" w:line="357" w:lineRule="exact"/>
        <w:rPr>
          <w:rFonts w:ascii="Arial" w:cs="Arial" w:eastAsia="Arial" w:hAnsi="Arial"/>
          <w:sz w:val="17"/>
          <w:szCs w:val="17"/>
          <w:color w:val="auto"/>
        </w:rPr>
      </w:pPr>
    </w:p>
    <w:p>
      <w:pPr>
        <w:ind w:left="316" w:right="340" w:hanging="316"/>
        <w:spacing w:after="0" w:line="266" w:lineRule="auto"/>
        <w:tabs>
          <w:tab w:leader="none" w:pos="31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Risks Related to Our Products</w:t>
      </w:r>
      <w:r>
        <w:rPr>
          <w:rFonts w:ascii="Arial" w:cs="Arial" w:eastAsia="Arial" w:hAnsi="Arial"/>
          <w:sz w:val="18"/>
          <w:szCs w:val="18"/>
          <w:color w:val="auto"/>
        </w:rPr>
        <w:t>, such as, incidents of food safety and food-borne illnesses or advertising or product misbranding;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in sales of the Beyond Burger; changing consumer preferences; failure to introduce new products or successfully improve existing products; our ability to accurately predict consumer taste preferences and respond quickly to new trends; risks related to planned price increases of our products and volatility of ingredient and packaging costs.</w:t>
      </w:r>
    </w:p>
    <w:p>
      <w:pPr>
        <w:spacing w:after="0" w:line="129" w:lineRule="exact"/>
        <w:rPr>
          <w:rFonts w:ascii="Arial" w:cs="Arial" w:eastAsia="Arial" w:hAnsi="Arial"/>
          <w:sz w:val="18"/>
          <w:szCs w:val="18"/>
          <w:color w:val="auto"/>
        </w:rPr>
      </w:pPr>
    </w:p>
    <w:p>
      <w:pPr>
        <w:ind w:left="316" w:right="20" w:hanging="316"/>
        <w:spacing w:after="0" w:line="269" w:lineRule="auto"/>
        <w:tabs>
          <w:tab w:leader="none" w:pos="31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Risks Related to Our Industry and Brand</w:t>
      </w:r>
      <w:r>
        <w:rPr>
          <w:rFonts w:ascii="Arial" w:cs="Arial" w:eastAsia="Arial" w:hAnsi="Arial"/>
          <w:sz w:val="18"/>
          <w:szCs w:val="18"/>
          <w:color w:val="auto"/>
        </w:rPr>
        <w:t>, such as, increased competition in our market and new market entrants; general softness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plant-based meat category; harm to our brand or reputation due to real or perceived quality or health issues with our products; and failure to develop and maintain our brand.</w:t>
      </w:r>
    </w:p>
    <w:p>
      <w:pPr>
        <w:spacing w:after="0" w:line="125" w:lineRule="exact"/>
        <w:rPr>
          <w:rFonts w:ascii="Arial" w:cs="Arial" w:eastAsia="Arial" w:hAnsi="Arial"/>
          <w:sz w:val="18"/>
          <w:szCs w:val="18"/>
          <w:color w:val="auto"/>
        </w:rPr>
      </w:pPr>
    </w:p>
    <w:p>
      <w:pPr>
        <w:ind w:left="316" w:right="740" w:hanging="316"/>
        <w:spacing w:after="0" w:line="269" w:lineRule="auto"/>
        <w:tabs>
          <w:tab w:leader="none" w:pos="31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International Operations, </w:t>
      </w:r>
      <w:r>
        <w:rPr>
          <w:rFonts w:ascii="Arial" w:cs="Arial" w:eastAsia="Arial" w:hAnsi="Arial"/>
          <w:sz w:val="18"/>
          <w:szCs w:val="18"/>
          <w:color w:val="auto"/>
        </w:rPr>
        <w:t>such as, business, regulatory, political, financial and economic risks of doing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China and Europe, including as a result of the continued review of our operations in China; foreign exchange rate fluctuations; and potential violations of the FCPA and other anti-corruption laws.</w:t>
      </w:r>
    </w:p>
    <w:p>
      <w:pPr>
        <w:spacing w:after="0" w:line="125" w:lineRule="exact"/>
        <w:rPr>
          <w:rFonts w:ascii="Arial" w:cs="Arial" w:eastAsia="Arial" w:hAnsi="Arial"/>
          <w:sz w:val="18"/>
          <w:szCs w:val="18"/>
          <w:color w:val="auto"/>
        </w:rPr>
      </w:pPr>
    </w:p>
    <w:p>
      <w:pPr>
        <w:ind w:left="316" w:right="180" w:hanging="316"/>
        <w:spacing w:after="0" w:line="307" w:lineRule="auto"/>
        <w:tabs>
          <w:tab w:leader="none" w:pos="311"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Risks Related to Our Investments</w:t>
      </w:r>
      <w:r>
        <w:rPr>
          <w:rFonts w:ascii="Arial" w:cs="Arial" w:eastAsia="Arial" w:hAnsi="Arial"/>
          <w:sz w:val="17"/>
          <w:szCs w:val="17"/>
          <w:color w:val="auto"/>
        </w:rPr>
        <w:t>, such as, our manufacturing operations in China and the Netherlands; our ownership of real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and the operations of and participation in joint ventures, including the discontinuation of the Beyond Meat Jerky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784225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16"/>
          </w:cols>
          <w:pgMar w:left="644" w:top="1440" w:right="339" w:bottom="1440" w:gutter="0" w:footer="0" w:header="0"/>
        </w:sectPr>
      </w:pPr>
    </w:p>
    <w:bookmarkStart w:id="23" w:name="page24"/>
    <w:bookmarkEnd w:id="23"/>
    <w:p>
      <w:pPr>
        <w:spacing w:after="0" w:line="112" w:lineRule="exact"/>
        <w:rPr>
          <w:sz w:val="20"/>
          <w:szCs w:val="20"/>
          <w:color w:val="auto"/>
        </w:rPr>
      </w:pPr>
    </w:p>
    <w:p>
      <w:pPr>
        <w:ind w:left="640" w:right="60" w:hanging="316"/>
        <w:spacing w:after="0" w:line="26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Risks Related to Our Intellectual Property, Information Technology, Cybersecurity and Privacy</w:t>
      </w:r>
      <w:r>
        <w:rPr>
          <w:rFonts w:ascii="Arial" w:cs="Arial" w:eastAsia="Arial" w:hAnsi="Arial"/>
          <w:sz w:val="18"/>
          <w:szCs w:val="18"/>
          <w:color w:val="auto"/>
        </w:rPr>
        <w:t>, such as, our ability to adequately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our proprietary technology and intellectual property; our reliance on information technology systems; the occurrence of a cybersecurity incident or other technology disruptions or failure to comply with the laws and regulations relating to privacy and the protection of individual data.</w:t>
      </w:r>
    </w:p>
    <w:p>
      <w:pPr>
        <w:spacing w:after="0" w:line="129" w:lineRule="exact"/>
        <w:rPr>
          <w:rFonts w:ascii="Arial" w:cs="Arial" w:eastAsia="Arial" w:hAnsi="Arial"/>
          <w:sz w:val="18"/>
          <w:szCs w:val="18"/>
          <w:color w:val="auto"/>
        </w:rPr>
      </w:pPr>
    </w:p>
    <w:p>
      <w:pPr>
        <w:ind w:left="640" w:hanging="316"/>
        <w:spacing w:after="0" w:line="261"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Risks Related to Our Lease Obligations</w:t>
      </w:r>
      <w:r>
        <w:rPr>
          <w:rFonts w:ascii="Arial" w:cs="Arial" w:eastAsia="Arial" w:hAnsi="Arial"/>
          <w:sz w:val="18"/>
          <w:szCs w:val="18"/>
          <w:color w:val="auto"/>
        </w:rPr>
        <w:t>, Indebtedness, Financial Position and Need for Additional Capital, such as, delays or cost</w:t>
      </w:r>
      <w:r>
        <w:rPr>
          <w:rFonts w:ascii="Arial" w:cs="Arial" w:eastAsia="Arial" w:hAnsi="Arial"/>
          <w:sz w:val="18"/>
          <w:szCs w:val="18"/>
          <w:b w:val="1"/>
          <w:bCs w:val="1"/>
          <w:color w:val="auto"/>
        </w:rPr>
        <w:t xml:space="preserve"> </w:t>
      </w:r>
      <w:r>
        <w:rPr>
          <w:rFonts w:ascii="Arial" w:cs="Arial" w:eastAsia="Arial" w:hAnsi="Arial"/>
          <w:sz w:val="18"/>
          <w:szCs w:val="18"/>
          <w:color w:val="auto"/>
        </w:rPr>
        <w:t>overruns associated with the build out of our new Campus Headquarters and the impact of workforce reductions or other cost-reduction initiatives on our space demands; our ability to sublease, assign or otherwise transfer excess space; failure to meet our significant lease obligations or risks related to excess space capacity under our leases due to workforce reductions or other cost-reduction initiatives; risks related to our convertible senior notes; inability to access restricted cash that collateralizes letters of credit; sufficiency of our cash and cash equivalents to meet our liquidity needs; and failure to obtain additional financing or access capital markets to achieve our goals.</w:t>
      </w:r>
    </w:p>
    <w:p>
      <w:pPr>
        <w:spacing w:after="0" w:line="120" w:lineRule="exact"/>
        <w:rPr>
          <w:rFonts w:ascii="Arial" w:cs="Arial" w:eastAsia="Arial" w:hAnsi="Arial"/>
          <w:sz w:val="18"/>
          <w:szCs w:val="18"/>
          <w:color w:val="auto"/>
        </w:rPr>
      </w:pPr>
    </w:p>
    <w:p>
      <w:pPr>
        <w:ind w:left="640" w:right="140" w:hanging="316"/>
        <w:spacing w:after="0" w:line="29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Risks Related to the Environment, Climate and Weather</w:t>
      </w:r>
      <w:r>
        <w:rPr>
          <w:rFonts w:ascii="Arial" w:cs="Arial" w:eastAsia="Arial" w:hAnsi="Arial"/>
          <w:sz w:val="18"/>
          <w:szCs w:val="18"/>
          <w:color w:val="auto"/>
        </w:rPr>
        <w:t>, such as, a major natural disaster or severe weather event in areas where</w:t>
      </w:r>
      <w:r>
        <w:rPr>
          <w:rFonts w:ascii="Arial" w:cs="Arial" w:eastAsia="Arial" w:hAnsi="Arial"/>
          <w:sz w:val="18"/>
          <w:szCs w:val="18"/>
          <w:b w:val="1"/>
          <w:bCs w:val="1"/>
          <w:color w:val="auto"/>
        </w:rPr>
        <w:t xml:space="preserve"> </w:t>
      </w:r>
      <w:r>
        <w:rPr>
          <w:rFonts w:ascii="Arial" w:cs="Arial" w:eastAsia="Arial" w:hAnsi="Arial"/>
          <w:sz w:val="18"/>
          <w:szCs w:val="18"/>
          <w:color w:val="auto"/>
        </w:rPr>
        <w:t>our internal or co-manufacturing facilities are located; and negative effects from climate changes.</w:t>
      </w:r>
    </w:p>
    <w:p>
      <w:pPr>
        <w:spacing w:after="0" w:line="105" w:lineRule="exact"/>
        <w:rPr>
          <w:rFonts w:ascii="Arial" w:cs="Arial" w:eastAsia="Arial" w:hAnsi="Arial"/>
          <w:sz w:val="18"/>
          <w:szCs w:val="18"/>
          <w:color w:val="auto"/>
        </w:rPr>
      </w:pPr>
    </w:p>
    <w:p>
      <w:pPr>
        <w:ind w:left="640" w:right="500" w:hanging="316"/>
        <w:spacing w:after="0" w:line="269"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Risks Related to Being a Public Company</w:t>
      </w:r>
      <w:r>
        <w:rPr>
          <w:rFonts w:ascii="Arial" w:cs="Arial" w:eastAsia="Arial" w:hAnsi="Arial"/>
          <w:sz w:val="18"/>
          <w:szCs w:val="18"/>
          <w:color w:val="auto"/>
        </w:rPr>
        <w:t>, such as, the effectiveness of our internal controls; limitations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system resulting in undetected errors or fraud; and increased costs associated with complying with the requirements applicable to public companies.</w:t>
      </w:r>
    </w:p>
    <w:p>
      <w:pPr>
        <w:spacing w:after="0" w:line="125" w:lineRule="exact"/>
        <w:rPr>
          <w:rFonts w:ascii="Arial" w:cs="Arial" w:eastAsia="Arial" w:hAnsi="Arial"/>
          <w:sz w:val="18"/>
          <w:szCs w:val="18"/>
          <w:color w:val="auto"/>
        </w:rPr>
      </w:pPr>
    </w:p>
    <w:p>
      <w:pPr>
        <w:ind w:left="640" w:right="120" w:hanging="316"/>
        <w:spacing w:after="0" w:line="261"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Risks Related to Regulatory and Legal Compliance Matters, Litigation and Legal Proceedings</w:t>
      </w:r>
      <w:r>
        <w:rPr>
          <w:rFonts w:ascii="Arial" w:cs="Arial" w:eastAsia="Arial" w:hAnsi="Arial"/>
          <w:sz w:val="18"/>
          <w:szCs w:val="18"/>
          <w:color w:val="auto"/>
        </w:rPr>
        <w:t>, such as, FDA compliance; legal</w:t>
      </w:r>
      <w:r>
        <w:rPr>
          <w:rFonts w:ascii="Arial" w:cs="Arial" w:eastAsia="Arial" w:hAnsi="Arial"/>
          <w:sz w:val="18"/>
          <w:szCs w:val="18"/>
          <w:b w:val="1"/>
          <w:bCs w:val="1"/>
          <w:color w:val="auto"/>
        </w:rPr>
        <w:t xml:space="preserve"> </w:t>
      </w:r>
      <w:r>
        <w:rPr>
          <w:rFonts w:ascii="Arial" w:cs="Arial" w:eastAsia="Arial" w:hAnsi="Arial"/>
          <w:sz w:val="18"/>
          <w:szCs w:val="18"/>
          <w:color w:val="auto"/>
        </w:rPr>
        <w:t>claims, government investigations and other regulatory enforcement actions; compliance with international regulations; changes in existing laws or regulations or the adoption of new laws or regulations; failure by our suppliers of raw materials or co-manufacturers to comply with food safety, environmental or other laws or with the specifications and requirements of our products; and ongoing litigation or legal proceedings.</w:t>
      </w:r>
    </w:p>
    <w:p>
      <w:pPr>
        <w:spacing w:after="0" w:line="133" w:lineRule="exact"/>
        <w:rPr>
          <w:rFonts w:ascii="Arial" w:cs="Arial" w:eastAsia="Arial" w:hAnsi="Arial"/>
          <w:sz w:val="18"/>
          <w:szCs w:val="18"/>
          <w:color w:val="auto"/>
        </w:rPr>
      </w:pPr>
    </w:p>
    <w:p>
      <w:pPr>
        <w:ind w:left="640" w:right="140" w:hanging="316"/>
        <w:spacing w:after="0" w:line="27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General Risk Factors</w:t>
      </w:r>
      <w:r>
        <w:rPr>
          <w:rFonts w:ascii="Arial" w:cs="Arial" w:eastAsia="Arial" w:hAnsi="Arial"/>
          <w:sz w:val="17"/>
          <w:szCs w:val="17"/>
          <w:color w:val="auto"/>
        </w:rPr>
        <w:t>, such as, high volatility in our share price; reduction in our share price due to a substantial number of sales;</w:t>
      </w:r>
      <w:r>
        <w:rPr>
          <w:rFonts w:ascii="Arial" w:cs="Arial" w:eastAsia="Arial" w:hAnsi="Arial"/>
          <w:sz w:val="17"/>
          <w:szCs w:val="17"/>
          <w:b w:val="1"/>
          <w:bCs w:val="1"/>
          <w:color w:val="auto"/>
        </w:rPr>
        <w:t xml:space="preserve"> </w:t>
      </w:r>
      <w:r>
        <w:rPr>
          <w:rFonts w:ascii="Arial" w:cs="Arial" w:eastAsia="Arial" w:hAnsi="Arial"/>
          <w:sz w:val="17"/>
          <w:szCs w:val="17"/>
          <w:color w:val="auto"/>
        </w:rPr>
        <w:t>decline in our share price and trading volume due to adverse or misleading opinions by securities or industry analysts regarding our business; no history of paying dividends or plans to pay dividends to our stockholders in the foreseeable future; provisions included in our charter documents to delay or prevent a change in control of our company; limitation of stockholders’ ability to obtain a favorable judicial forum for disputes due to the exclusive forum provision in our restated certificate of incorporation and forum selection provision in our amended and restated bylaws; and limitation of our ability to utilize our federal net operating loss and tax credit carryforwards.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6" w:lineRule="exact"/>
        <w:rPr>
          <w:sz w:val="20"/>
          <w:szCs w:val="20"/>
          <w:color w:val="auto"/>
        </w:rPr>
      </w:pPr>
    </w:p>
    <w:p>
      <w:pPr>
        <w:ind w:right="40"/>
        <w:spacing w:after="0" w:line="317" w:lineRule="auto"/>
        <w:rPr>
          <w:sz w:val="20"/>
          <w:szCs w:val="20"/>
          <w:color w:val="auto"/>
        </w:rPr>
      </w:pPr>
      <w:r>
        <w:rPr>
          <w:rFonts w:ascii="Arial" w:cs="Arial" w:eastAsia="Arial" w:hAnsi="Arial"/>
          <w:sz w:val="17"/>
          <w:szCs w:val="17"/>
          <w:b w:val="1"/>
          <w:bCs w:val="1"/>
          <w:i w:val="1"/>
          <w:iCs w:val="1"/>
          <w:color w:val="auto"/>
        </w:rPr>
        <w:t>Disruptions in the worldwide economy, including an economic recession, downturn, periods of rising or high inflation or economic uncertainty, have adversely affected and may continue to adversely affect our business, results of operations and financial condition.</w:t>
      </w:r>
    </w:p>
    <w:p>
      <w:pPr>
        <w:spacing w:after="0" w:line="67" w:lineRule="exact"/>
        <w:rPr>
          <w:sz w:val="20"/>
          <w:szCs w:val="20"/>
          <w:color w:val="auto"/>
        </w:rPr>
      </w:pPr>
    </w:p>
    <w:p>
      <w:pPr>
        <w:ind w:right="180" w:firstLine="318"/>
        <w:spacing w:after="0" w:line="263"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the COVID-19 pandemic, other pandemics, epidemics or other public health crises) in locations where our products are sold, man-made or natural disasters, severe weather, actual or threatened hostilities or war, terrorist activity, political unrest or uncertainties (including those resulting from a presidential election year), civil strife and other geopolitical uncertainty. Such adverse and uncertain economic conditions may impact distributor, retailer, foodservice and consumer demand for our products. For example, in connection with the war in Ukraine, governments in the U.S., U.K. and the EU have each imposed export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799465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controls on certain products and financial and economic sanctions on certain industry sectors and parties in Russia. In addition, the intensity, duration and economic effects of the conflict in Israel, Gaza and surrounding areas are difficult to predict. The uncertainty resulting from the military conflicts in Europe and the Middle East have given rise and may continue to give rise to increases in costs of goods and services, scarcity of certain ingredients, increased trade barriers or restrictions on global trade and may increase volatility in financial and capital markets, which may make it more difficult for us to raise additional capital.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the Middle East or the global oil and natural gas markets. In addition, our ability to manage normal commercial relationships with our suppliers, co-manufacturers, distributors, retailers, foodservice customers, consumers and creditors may suffer. The political environment, especially in an election year in the U.S. and globally, may create uncertainty with respect to, and could result in additional changes in, legislation, regulation, international relations and government policy, or could result in possible civil unrest or other disturbances.</w:t>
      </w:r>
    </w:p>
    <w:p>
      <w:pPr>
        <w:spacing w:after="0" w:line="111" w:lineRule="exact"/>
        <w:rPr>
          <w:sz w:val="20"/>
          <w:szCs w:val="20"/>
          <w:color w:val="auto"/>
        </w:rPr>
      </w:pPr>
    </w:p>
    <w:p>
      <w:pPr>
        <w:ind w:firstLine="318"/>
        <w:spacing w:after="0" w:line="274" w:lineRule="auto"/>
        <w:rPr>
          <w:sz w:val="20"/>
          <w:szCs w:val="20"/>
          <w:color w:val="auto"/>
        </w:rPr>
      </w:pPr>
      <w:r>
        <w:rPr>
          <w:rFonts w:ascii="Arial" w:cs="Arial" w:eastAsia="Arial" w:hAnsi="Arial"/>
          <w:sz w:val="17"/>
          <w:szCs w:val="17"/>
          <w:color w:val="auto"/>
        </w:rPr>
        <w:t>As global economic conditions continue to be volatile or uncertain and recessionary or inflationary pressures exist, trends in consumer discretionary spending also remain unpredictable and subject to changes. We have seen consumers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have reduced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have become more conservative in response to these conditions and have sought to reduce their inventories. Our results of operations depend upon, among other things, our ability to maintain and increase sales volume with our existing distributors, retailers and foodservice customers, our ability to attract new consumers, the financial condition of our consumers and our ability to provide products that appeal to consumers at the right price. Decreases in demand for our products without a corresponding decrease in costs has put downward pressure on gross margin and has negatively impacted, and may continue to negatively impact, our financial results. Prolonged unfavorable economic conditions or uncertainty would likely have an adverse effect on our sales and profitability.</w:t>
      </w:r>
    </w:p>
    <w:p>
      <w:pPr>
        <w:spacing w:after="0" w:line="13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Inflationary price pressures of raw materials, labor, transportation, fuel or other inputs used by us and our suppliers, including the effects of higher interest rates, has negatively impacted, and could continue to negatively impact, our business and results of operations.</w:t>
      </w:r>
    </w:p>
    <w:p>
      <w:pPr>
        <w:spacing w:after="0" w:line="107"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Our operating environment has been impacted by inflation and higher interest rates. Increases in the price of raw materials, labor, wages, energy or other inputs that we or our suppliers use in manufacturing and supplying products, along with logistics, transportation, shipping, fuel and other related costs, has led to higher production and shipping costs for our products. Increases in the cost of inputs to our production has led to higher costs for our products in our foodservice and retail channels and has negatively impacted and may continue to negatively impact our operating results and future profitability. General inflation, including rising energy prices, interest rates and wages, currency volatility and monetary, fiscal and policy interventions by national or regional governments in reaction to such events could continue to have negative impacts on our business by increasing our operating costs and our borrowing costs as well as decreasing the capital available for our customers to purchase our products. The United States Federal Reserve and other central banks, including the European Central Bank, have raised its benchmark interest rate multiple times. Increased borrowing costs faced by our customers could result in decreased demand for our products. The impact of inflation could also continue to reduce consumer confidence and decrease consumer discretionary spending, including spending to purchase our products, and negatively affect trends in consumer purchasing patterns due to changes in consumers’ disposable income, credit availability and debt levels. The impact of high inflation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4"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the plant-based meat sector’s premium pricing relative to animal protein have caused and could continue to cause consumers to trade down into cheaper forms of protein, including animal meat, beans and other non-animal meat protein 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64"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Although we achieved cash flow positive operations during the three months ended September 30, 2023, this outcome included the benefit of certain transitory factors that did not have a similar impact in the fourth quarter of 2023 and we may not be able to achieve or sustain cash flow positive operations in other future periods or be profitable in the future. We have experienced net losses in almost every period since our inception. In 2023, 2022 and 2021, we incurred net losses of $338.1 million, $366.1 million and $182.1 million, respectively. Although we decreased our operating expenses in 2023 compared to 2022, over time our operating expenses and capital expenditures may increase as we hire additional employees; support our strategic and other QSR customer relationships; innovate and commercialize products; build our brand, expand our marketing channels and drive consumer adoption of our products; optimize our production capacity through our own internal production facilities, domestically and abroad; continue building out our Campus Headquarters, including the timing and success of subleasing, assigning or otherwise transferring excess space; increase our customer base, supplier network and co-manufacturing partners; scale production across distribution channels; pursue geographic expansion; and enhance our technology and production capabilities. These efforts may prove more expensive than we anticipate, and we may not succeed in increasing our revenues and margins sufficiently to offset the anticipated higher expenses, particularly in light of some of the other challenges we face, for example prolonged, weakened demand within the plant-based meat category and broad macroeconomic headwinds. We incur significant expenses in developing our innovative products, building out our facilities, securing an adequate supply of raw materials, obtaining and storing ingredients and other products, and marketing the products we offer. In addition, many of our expenses, including some of the costs associated with our existing and any future manufacturing facilities, are fixed. Accordingly, we may not be able to successfully implement our growth strategy or achieve or sustain profitability, and we may incur significant losses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Weakness in the plant-based meat category, combined with our volume losses, has had a negative impact on our sales and profits.</w:t>
      </w:r>
    </w:p>
    <w:p>
      <w:pPr>
        <w:spacing w:after="0" w:line="164" w:lineRule="exact"/>
        <w:rPr>
          <w:sz w:val="20"/>
          <w:szCs w:val="20"/>
          <w:color w:val="auto"/>
        </w:rPr>
      </w:pPr>
    </w:p>
    <w:p>
      <w:pPr>
        <w:ind w:right="240" w:firstLine="318"/>
        <w:spacing w:after="0" w:line="263" w:lineRule="auto"/>
        <w:rPr>
          <w:sz w:val="20"/>
          <w:szCs w:val="20"/>
          <w:color w:val="auto"/>
        </w:rPr>
      </w:pPr>
      <w:r>
        <w:rPr>
          <w:rFonts w:ascii="Arial" w:cs="Arial" w:eastAsia="Arial" w:hAnsi="Arial"/>
          <w:sz w:val="18"/>
          <w:szCs w:val="18"/>
          <w:color w:val="auto"/>
        </w:rPr>
        <w:t>Our operating environment continues to be negatively affected by several challenges, including, but not limited to, prolonged, weakened demand in the plant-based meat category overall, particularly in the refrigerated subsegment, among others, adverse changes in consumer taste and perceptions about plant-based meat, broad macroeconomic headwinds including elevated levels of inflation, higher interest rates, waning consumer confidence and recessionary concerns, and competitive activity in the plant-based meat category. Consumer demand for plant-based meat products has continued to decline. For example, in 2023, all of our markets and channels other than international retail and foodservice were negatively impacted by weakness in demand in the category.</w:t>
      </w:r>
    </w:p>
    <w:p>
      <w:pPr>
        <w:spacing w:after="0" w:line="12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Partly as a result of this weak demand, we have experienced volume losses and declines from historical levels, which has negatively impacted our sales and profitability. In the year ended December 31, 2023, volume of products sold decreased by 8.1%, primarily reflecting weak category demand, especially in U.S. retail and U.S. foodservice channels. We expect that demand-related challenges will continue to have a negative impact on our sales and profitability and, as a result, our results of operations and financial condition, in the future, particularly if we are not able to reduce our costs quickly and significantly enough to offset the lost volume and attain and maintain a profitable customer and product sales mix. A continued decrease in consumer demand for plant-based meat, or a further prolonged decrease, would likely have a material adverse effect on our profits, business, financial condition and results of operations.</w:t>
      </w:r>
    </w:p>
    <w:p>
      <w:pPr>
        <w:spacing w:after="0" w:line="140"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b w:val="1"/>
          <w:bCs w:val="1"/>
          <w:i w:val="1"/>
          <w:iCs w:val="1"/>
          <w:color w:val="auto"/>
        </w:rPr>
        <w:t>Our strategic initiatives to improve our cost structure could have long-term adverse effects on our business, and we may not realize the operational or financial benefits from such actions, including achieving and/or sustaining cash flow positive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763905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4"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color w:val="auto"/>
        </w:rPr>
        <w:t>On November 2, 2023, we announced that we were initiating our Global Operations Review, which involves narrowing our commercial focus to certain growth opportunities, and accelerating activities that prioritize gross margin expansion and cash generation. Among other things, we have and will continue to evaluate the exit or discontinuation of select product lines such as Beyond Meat Jerky, changes to our pricing architecture (including our current plan to increase the prices of certain of our products), accelerated cash-accretive inventory reduction initiatives, further optimization of our manufacturing capacity and real estate footprint, and the continued review of our operations in China. In addition, on November 1, 2023, our board of directors approved a plan to reduce our workforce by approximately 65 employees, representing approximately 19% of our global non-production workforce (or approximately 8% of our total global workforce). This decision was based on cost-reduction initiatives intended to reduce operating expenses. In 2023, we incurred one-time cash charges of approximately $1.8 million in connection with the reduction-in-force, primarily consisting of notice period and severance payments, employee benefits and related costs. These charges were incurred in the fourth quarter of 2023, and the reduction-in-force was substantially complete by the end of 2023.</w:t>
      </w:r>
    </w:p>
    <w:p>
      <w:pPr>
        <w:spacing w:after="0" w:line="124" w:lineRule="exact"/>
        <w:rPr>
          <w:sz w:val="20"/>
          <w:szCs w:val="20"/>
          <w:color w:val="auto"/>
        </w:rPr>
      </w:pPr>
    </w:p>
    <w:p>
      <w:pPr>
        <w:ind w:right="40" w:firstLine="318"/>
        <w:spacing w:after="0" w:line="258" w:lineRule="auto"/>
        <w:rPr>
          <w:sz w:val="20"/>
          <w:szCs w:val="20"/>
          <w:color w:val="auto"/>
        </w:rPr>
      </w:pPr>
      <w:r>
        <w:rPr>
          <w:rFonts w:ascii="Arial" w:cs="Arial" w:eastAsia="Arial" w:hAnsi="Arial"/>
          <w:sz w:val="18"/>
          <w:szCs w:val="18"/>
          <w:color w:val="auto"/>
        </w:rPr>
        <w:t>Our Global Operations Review, cost structure improvement measures, cost-reduction initiatives, workforce reductions, and the timing and success of our goal of achieving and/or sustaining cash flow positive operations are subject to many risks and uncertainties. For example, the charges associated with the reductions-in-force may be greater than anticipated; we may be unable to realize the contemplated benefits in connection with the workforce reductions, Global Operations Review, cost structure improvement measures and other potential cost-reduction initiatives; and the workforce reductions, Global Operations Review, cost structure improvement measures and other potential cost-reduction initiatives may have an adverse impact on our performance. Additionally, our ability to make progress toward our goal of achieving and/or sustaining cash flow positive operations is dependent on a number of assumptions and uncertainties, including, without limitation, demand in the plant-based meat category and for our products, which has declined in recent years; our ability to reduce costs and achieve and/or sustain positive gross margins; our ability to grow revenues and meet operating expense reduction targets, which may be subject to factors beyond our control; timing of capital expenditures; and our ability to monetize inventory and manage working capital. The other risks described in this report may also hinder our ability to implement our strategic initiatives. As a result, we cannot guarantee that we will achieve and/or sustain cash flow positive operations in the future, whether on our expected timelines, or at all.</w:t>
      </w:r>
    </w:p>
    <w:p>
      <w:pPr>
        <w:spacing w:after="0" w:line="126"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We may also be subject to additional unexpected costs, negative impacts on our cash flows from operations, employee attrition and adverse effects on employee morale and potential failure to meet operational and growth targets due to the loss of employees, any of which may impair our ability to achieve anticipated results from our operations or otherwise adversely affect our business. Additionally, as we are operating our business with fewer employees, we face additional risk that we might not be able to execute on our strategic plans and product roadmap, which may have an adverse effect on our business, financial condition and operating results.</w:t>
      </w:r>
    </w:p>
    <w:p>
      <w:pPr>
        <w:spacing w:after="0" w:line="134"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As we continue to identify areas of cost savings and operating efficiencies, we may consider implementing further measures to help streamline operations and improve cost efficiencies, which could result in the contraction of our business and the implementation of significant cost cutting measures such as further downsizing and exiting certain operations, including product lines, domestically and/or abroad. Any resource realignment, or decision to limit investment in or dispose of or otherwise exit or discontinue product lines or businesses, may result in loss of significant revenues and investments and/or the recording of charges, such as write-offs, further workforce reduction or restructuring costs, charges relating to consolidation of excess facilities or capacity underutilization, exit of co-manufacturing or other arrangements including risk of commercial disputes and other termination and exit costs, lease exit or other related costs, contract termination charges, or claims from third parties. Underutilization or cessation of our manufacturing facilities could adversely affect our gross margin and other operating results and we may be required to terminate or make penalty payments under certain supply chain arrangements, close or idle facilities and write down our long-lived assets or shorten the useful lives of underutilized assets and accelerate depreciation, which would increase our expenses. In addition, our strategic initiatives may not be adequate to support the long-term operations of our business, particularly under adverse circumstances. Furthermore, we may not be successful in implementing these initiatives or realizing our anticipated savings and efficiencies, including as a result of factors beyond our control.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803275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example, in the event we have excess capacity or vacancy in any of our facilities or office spaces, we may sublease, assign or otherwise transfer portions of the excess space to third parties and may be unable to sublease, assign or otherwise transfer our excess space on favorable terms, or at all, or if we are able to sublease space but our subtenants fail to make lease payments to us or otherwise default on their obligations to us, we could incur substantial payment obligations to our landlords.</w:t>
      </w:r>
    </w:p>
    <w:p>
      <w:pPr>
        <w:spacing w:after="0" w:line="133"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If we are unable to realize the anticipated savings and efficiencies of our cost reduction initiatives and related strategic initiatives, our operating and financial results would be adversely affected and could differ materially from our expectations.</w:t>
      </w:r>
    </w:p>
    <w:p>
      <w:pPr>
        <w:spacing w:after="0" w:line="124" w:lineRule="exact"/>
        <w:rPr>
          <w:sz w:val="20"/>
          <w:szCs w:val="20"/>
          <w:color w:val="auto"/>
        </w:rPr>
      </w:pPr>
    </w:p>
    <w:p>
      <w:pPr>
        <w:ind w:right="200"/>
        <w:spacing w:after="0" w:line="286" w:lineRule="auto"/>
        <w:rPr>
          <w:sz w:val="20"/>
          <w:szCs w:val="20"/>
          <w:color w:val="auto"/>
        </w:rPr>
      </w:pPr>
      <w:r>
        <w:rPr>
          <w:rFonts w:ascii="Arial" w:cs="Arial" w:eastAsia="Arial" w:hAnsi="Arial"/>
          <w:sz w:val="18"/>
          <w:szCs w:val="18"/>
          <w:b w:val="1"/>
          <w:bCs w:val="1"/>
          <w:i w:val="1"/>
          <w:iCs w:val="1"/>
          <w:color w:val="auto"/>
        </w:rPr>
        <w:t>If we fail to effectively optimize our manufacturing and production capacity, accurately forecast demand for our products or quickly respond to forecast changes, our business and operating results and our brand reputation could be harmed.</w:t>
      </w:r>
    </w:p>
    <w:p>
      <w:pPr>
        <w:spacing w:after="0" w:line="90"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or are not able to streamline and optimize manufacturing capacity for specific products, we will need to expand our operations, supply and manufacturing capabilities. However, there is risk in our ability to effectively scale production processes, optimize manufacturing capacity for specific products and effectively manage our supply chain requirements. We must accurately forecast demand for each of our products and inventory needs in order to ensure we have adequate available manufacturing capacity for each such product and to ensure we are effectively managing our inventory. Our forecasts are based on multiple assumptions which may cause our estimates to be inaccurate and affect our ability to obtain adequate manufacturing capacity (whether our own manufacturing capacity or co-manufacturing capacity) and adequate inventory supply in order to meet the demand for our products, which could prevent us from meeting increased customer demand and harm our brand and our business and in some cases may result in fines or indemnification obligations we must pay customers or distributors if we are unable to fulfill orders placed by them in a timely manner or at all.</w:t>
      </w:r>
    </w:p>
    <w:p>
      <w:pPr>
        <w:spacing w:after="0" w:line="138" w:lineRule="exact"/>
        <w:rPr>
          <w:sz w:val="20"/>
          <w:szCs w:val="20"/>
          <w:color w:val="auto"/>
        </w:rPr>
      </w:pPr>
    </w:p>
    <w:p>
      <w:pPr>
        <w:ind w:firstLine="318"/>
        <w:spacing w:after="0" w:line="279" w:lineRule="auto"/>
        <w:rPr>
          <w:sz w:val="20"/>
          <w:szCs w:val="20"/>
          <w:color w:val="auto"/>
        </w:rPr>
      </w:pPr>
      <w:r>
        <w:rPr>
          <w:rFonts w:ascii="Arial" w:cs="Arial" w:eastAsia="Arial" w:hAnsi="Arial"/>
          <w:sz w:val="17"/>
          <w:szCs w:val="17"/>
          <w:color w:val="auto"/>
        </w:rPr>
        <w:t>Consumer demand for plant-based meat products has continued to decline. For example, in the fourth quarter of 2023, our U.S. market and channels were negatively impacted by softness in demand in the category and for our products. If consumer demand for plant-based meats continues to decrease, or if any such decrease is further prolonged, demand for our products by our customers may also continue to decrease. Weakness in the category has had a material adverse effect on our business, financial condition and results of operations, and continued or worsening weakness would likely have a similar or greater effect, which would in turn make it difficult to accurately predict and forecast demand.</w:t>
      </w:r>
    </w:p>
    <w:p>
      <w:pPr>
        <w:spacing w:after="0" w:line="123"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Furthermore, if we do not accurately align our manufacturing capabilities and inventory supply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b w:val="1"/>
          <w:bCs w:val="1"/>
          <w:i w:val="1"/>
          <w:iCs w:val="1"/>
          <w:color w:val="auto"/>
        </w:rPr>
        <w:t>We may not be able to utilize our capacity efficiently or accurately plan our capacity requirements, which may adversely affect our gross margin, business and operating results.</w:t>
      </w:r>
    </w:p>
    <w:p>
      <w:pPr>
        <w:spacing w:after="0" w:line="90"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If we overestimate our demand and overbuild our capacity or inventory, as we have done in certain periods in the past, we may have significantly underutilized assets. Underutilization of our manufacturing and/or co-manufacturing facilities can adversely affect our gross margin and other operating results. If demand for our products experiences a prolonged decrease, we may be required to terminate or make penalty payments under certain supply chain arrangements, close or idle facilities and write down our long-lived assets or shorten the useful lives of underutilized assets and accelerate depreciation, which would increase our expenses. For example, in 2023 and 2022, lower than anticipated revenues negatively impacted our capacity utilization, which resulted in the Company incurring underutilization fees and termination fees that were required in order to exit certain of our supply chain arrangements.</w:t>
      </w:r>
    </w:p>
    <w:p>
      <w:pPr>
        <w:spacing w:after="0" w:line="126" w:lineRule="exact"/>
        <w:rPr>
          <w:sz w:val="20"/>
          <w:szCs w:val="20"/>
          <w:color w:val="auto"/>
        </w:rPr>
      </w:pPr>
    </w:p>
    <w:p>
      <w:pPr>
        <w:ind w:right="320" w:firstLine="318"/>
        <w:spacing w:after="0" w:line="290" w:lineRule="auto"/>
        <w:rPr>
          <w:sz w:val="20"/>
          <w:szCs w:val="20"/>
          <w:color w:val="auto"/>
        </w:rPr>
      </w:pPr>
      <w:r>
        <w:rPr>
          <w:rFonts w:ascii="Arial" w:cs="Arial" w:eastAsia="Arial" w:hAnsi="Arial"/>
          <w:sz w:val="18"/>
          <w:szCs w:val="18"/>
          <w:color w:val="auto"/>
        </w:rPr>
        <w:t>If demand does not materialize at the rate forecasted, we may not be able to scale back our manufacturing expenses or overhead costs quickly enough to correspond to the lower than expected demand. This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791210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1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result in lower margins and adversely impact our business and results of operations. Additionally, if product demand continues to decrease or stays flat or we fail to forecast demand accurately, our results may be adversely impacted due to higher costs resulting from lower manufacturing utilization, causing higher fixed costs per unit produced. Further we may be required to recognize excess or obsolete inventory write-off charges, or excess capacity charges. We routinely monitor and recognize excess or obsolete inventory write-off charges when appropriate, which has negatively impacted our results of operations. For example, in the fourth quarter of 2023, we recorded incremental provision for excess and obsolete inventory in the amount of $38.0 million primarily arising from our Global Operations Review.</w:t>
      </w:r>
    </w:p>
    <w:p>
      <w:pPr>
        <w:spacing w:after="0" w:line="125"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i w:val="1"/>
          <w:iCs w:val="1"/>
          <w:color w:val="auto"/>
        </w:rPr>
        <w:t>If we are unable to sell our inventory in a timely manner, it could become obsolete, which could require us to write-down or write-off obsolete inventory, which could harm our operating results.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There is a risk that we may be unable to sell our inventory in a timely manner to avoid it becoming obsolete. If we are required to</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substantially discount our inventory or are unable to sell our inventory in a timely manner, we would be required to increase our inventory provision or write-off obsolete inventory and our operating results could be substantially harmed. Alternatively, we may be required to mark down certain products to sell any excess inventory or to sell such inventory through liquidation channels at significantly lower prices, which would negatively impact our business and operating results. In the year ended December 31, 2023 and 2022, our net revenues were negatively impacted by strategic promotional discounts and our gross profit was negatively impacted by write-down of inventory, among other factors, which increased costs per pound.</w:t>
      </w:r>
    </w:p>
    <w:p>
      <w:pPr>
        <w:spacing w:after="0" w:line="137" w:lineRule="exact"/>
        <w:rPr>
          <w:sz w:val="20"/>
          <w:szCs w:val="20"/>
          <w:color w:val="auto"/>
        </w:rPr>
      </w:pPr>
    </w:p>
    <w:p>
      <w:pPr>
        <w:ind w:right="280"/>
        <w:spacing w:after="0" w:line="286" w:lineRule="auto"/>
        <w:rPr>
          <w:sz w:val="20"/>
          <w:szCs w:val="20"/>
          <w:color w:val="auto"/>
        </w:rPr>
      </w:pPr>
      <w:r>
        <w:rPr>
          <w:rFonts w:ascii="Arial" w:cs="Arial" w:eastAsia="Arial" w:hAnsi="Arial"/>
          <w:sz w:val="18"/>
          <w:szCs w:val="18"/>
          <w:b w:val="1"/>
          <w:bCs w:val="1"/>
          <w:i w:val="1"/>
          <w:iCs w:val="1"/>
          <w:color w:val="auto"/>
        </w:rPr>
        <w:t>Our ability to accurately forecast our future results of operations is subject to many risks and uncertainties and our operating and financial results could differ materially from our expectations.</w:t>
      </w:r>
    </w:p>
    <w:p>
      <w:pPr>
        <w:spacing w:after="0" w:line="90" w:lineRule="exact"/>
        <w:rPr>
          <w:sz w:val="20"/>
          <w:szCs w:val="20"/>
          <w:color w:val="auto"/>
        </w:rPr>
      </w:pPr>
    </w:p>
    <w:p>
      <w:pPr>
        <w:ind w:right="40" w:firstLine="318"/>
        <w:spacing w:after="0" w:line="257" w:lineRule="auto"/>
        <w:rPr>
          <w:sz w:val="20"/>
          <w:szCs w:val="20"/>
          <w:color w:val="auto"/>
        </w:rPr>
      </w:pPr>
      <w:r>
        <w:rPr>
          <w:rFonts w:ascii="Arial" w:cs="Arial" w:eastAsia="Arial" w:hAnsi="Arial"/>
          <w:sz w:val="18"/>
          <w:szCs w:val="18"/>
          <w:color w:val="auto"/>
        </w:rPr>
        <w:t>Our ability to accurately forecast our future results of operations is limited by and dependent on a number of risks and uncertainties, including those described in this report. Our historical revenue growth should not be considered indicative of our future performance. Our revenue growth has declined and could continue to decline or slow for a number of reasons, including but not limited to weak demand in the plant-based meat category and for our products, other macroeconomic factors such as high inflation, higher interest rates and concerns about the likelihood of an economic recession, reduced consumer confidence and changes in consumer preferences or spending and competitive activity from our market competitors and new market entrants. In fact, net revenues decreased to $ 343.4 million in the year ended December 31, 2023 from $418.9 million in the prior year, representing an 18.0% decrease. If we are unable to execute our cost-down initiatives, we may not be able to compete effectively in our market and demand for our products may continue to slow, either of which could continue to adversely affect our revenues and margins.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46" w:lineRule="exact"/>
        <w:rPr>
          <w:sz w:val="20"/>
          <w:szCs w:val="20"/>
          <w:color w:val="auto"/>
        </w:rPr>
      </w:pPr>
    </w:p>
    <w:p>
      <w:pPr>
        <w:ind w:right="60" w:firstLine="318"/>
        <w:spacing w:after="0" w:line="258" w:lineRule="auto"/>
        <w:rPr>
          <w:sz w:val="20"/>
          <w:szCs w:val="20"/>
          <w:color w:val="auto"/>
        </w:rPr>
      </w:pPr>
      <w:r>
        <w:rPr>
          <w:rFonts w:ascii="Arial" w:cs="Arial" w:eastAsia="Arial" w:hAnsi="Arial"/>
          <w:sz w:val="18"/>
          <w:szCs w:val="18"/>
          <w:color w:val="auto"/>
        </w:rPr>
        <w:t>From time to time, we may release earnings guidance, financial goals or other forward-looking statements in our earnings releases, earnings conference calls or otherwise regarding our future performance that represent our management’s estimates as of the date of the release. Some or all of the assumptions of any future guidance or financial goals that we furnish may not materialize or may vary significantly from actual future results. For example, our ability to make progress toward our goal of achieving and/or sustaining cash flow positive operations is dependent on a number of assumptions and uncertainties, including, without limitation, demand in the plant-based meat category and for our products; our ability to reduce costs and achieve positive gross margins; our ability to grow revenues and meet operating expense reduction targets, which may be subject to factors beyond our control; timing of capital expenditures; and our ability to monetize inventory and manage working capital. The other risks described in this report may also cause our actual future results to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811530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114" w:lineRule="exact"/>
        <w:rPr>
          <w:sz w:val="20"/>
          <w:szCs w:val="20"/>
          <w:color w:val="auto"/>
        </w:rPr>
      </w:pPr>
    </w:p>
    <w:p>
      <w:pPr>
        <w:ind w:right="480"/>
        <w:spacing w:after="0" w:line="286" w:lineRule="auto"/>
        <w:rPr>
          <w:sz w:val="20"/>
          <w:szCs w:val="20"/>
          <w:color w:val="auto"/>
        </w:rPr>
      </w:pPr>
      <w:r>
        <w:rPr>
          <w:rFonts w:ascii="Arial" w:cs="Arial" w:eastAsia="Arial" w:hAnsi="Arial"/>
          <w:sz w:val="18"/>
          <w:szCs w:val="18"/>
          <w:b w:val="1"/>
          <w:bCs w:val="1"/>
          <w:i w:val="1"/>
          <w:iCs w:val="1"/>
          <w:color w:val="auto"/>
        </w:rPr>
        <w:t>We estimate market opportunity and forecast market growth that may prove to be inaccurate, and even if the market in which we compete achieves the forecasted growth, our business could fail to grow at similar rates, if at all.</w:t>
      </w:r>
    </w:p>
    <w:p>
      <w:pPr>
        <w:spacing w:after="0" w:line="9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estimates of market opportunity and growth forecasts are subject to significant uncertainty and are based on assumptions and estimates that may prove to be inaccurate. The factors that go into the calculation of our market opportunity are subject to change over time and may be variable or inaccurate and may be affected by increasing competition from our market competitors and new market entrants. Any expansion in our market depends on a number of factors, including the cost and perceived value associated with our products and those of our competitors. Even if the market in which we compete meets the size estimates and growth forecast, our business could fail to grow at the rate we anticipate, if at all. Our growth is subject to many factors, including our success in implementing our business strategy, which is subject to many risks and uncertainties.</w:t>
      </w:r>
    </w:p>
    <w:p>
      <w:pPr>
        <w:spacing w:after="0" w:line="140" w:lineRule="exact"/>
        <w:rPr>
          <w:sz w:val="20"/>
          <w:szCs w:val="20"/>
          <w:color w:val="auto"/>
        </w:rPr>
      </w:pPr>
    </w:p>
    <w:p>
      <w:pPr>
        <w:ind w:right="560"/>
        <w:spacing w:after="0" w:line="286" w:lineRule="auto"/>
        <w:rPr>
          <w:sz w:val="20"/>
          <w:szCs w:val="20"/>
          <w:color w:val="auto"/>
        </w:rPr>
      </w:pPr>
      <w:r>
        <w:rPr>
          <w:rFonts w:ascii="Arial" w:cs="Arial" w:eastAsia="Arial" w:hAnsi="Arial"/>
          <w:sz w:val="18"/>
          <w:szCs w:val="18"/>
          <w:b w:val="1"/>
          <w:bCs w:val="1"/>
          <w:i w:val="1"/>
          <w:iCs w:val="1"/>
          <w:color w:val="auto"/>
        </w:rPr>
        <w:t>Because we rely on a limited number of third party suppliers, we may not be able to obtain raw materials on a timely basis or in sufficient quantities at competitive prices to produce our products or meet the demand for our products.</w:t>
      </w:r>
    </w:p>
    <w:p>
      <w:pPr>
        <w:spacing w:after="0" w:line="90"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We rely on a limited number of vendors, a portion of whom are located internationally, to supply us with raw materials. Our financial performance depends in large part on our ability to arrange for the purchase of raw materials in sufficient quantities at competitive prices. We have entered into a multi-year sales agreement for plant-based protein with one of our pea protein suppliers pursuant to which we are required to purchase specified minimum monthly and semi-annual quantities through the term. Aside from this agreement and a few select others, we are not assured of continued supply or pricing of raw materials. Any of our other suppliers could discontinue or seek to alter their relationship with us. We have in the past experienced interruptions in the supply of pea protein from one supplier that resulted in delays in delivery to us. We could experience similar delays in the future from any of our suppliers. Any disruption in the supply of pea protein or other raw materials, such as avocado oil, may have a material adverse effect on our business if we do not have sufficient stocks on hand or if we cannot replace these suppliers in a timely manner, on commercially reasonable terms, or at all.</w:t>
      </w:r>
    </w:p>
    <w:p>
      <w:pPr>
        <w:spacing w:after="0" w:line="136"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severe weather, fire, power interruption, work stoppage or other calamity affecting any of these facilities, or any interruption in their operations, could negatively impact our ability to obtain required quantities of pea protein in a timely manner, or at all, which could materially reduce our product sales and net revenues, and have a material adverse effect on our business and financial condition.</w:t>
      </w:r>
    </w:p>
    <w:p>
      <w:pPr>
        <w:spacing w:after="0" w:line="137" w:lineRule="exact"/>
        <w:rPr>
          <w:sz w:val="20"/>
          <w:szCs w:val="20"/>
          <w:color w:val="auto"/>
        </w:rPr>
      </w:pPr>
    </w:p>
    <w:p>
      <w:pPr>
        <w:jc w:val="both"/>
        <w:ind w:right="460" w:firstLine="318"/>
        <w:spacing w:after="0" w:line="267" w:lineRule="auto"/>
        <w:rPr>
          <w:sz w:val="20"/>
          <w:szCs w:val="20"/>
          <w:color w:val="auto"/>
        </w:rPr>
      </w:pPr>
      <w:r>
        <w:rPr>
          <w:rFonts w:ascii="Arial" w:cs="Arial" w:eastAsia="Arial" w:hAnsi="Arial"/>
          <w:sz w:val="18"/>
          <w:szCs w:val="18"/>
          <w:color w:val="auto"/>
        </w:rPr>
        <w:t>The markets for some of the ingredients we use, such as avocado oil, may be particularly volatile due to factors such as limited supply sources, crop yield, seasonal shifts, climate conditions, industry demand, including as a result of food safety concerns, product recalls and government regulations.</w:t>
      </w:r>
    </w:p>
    <w:p>
      <w:pPr>
        <w:spacing w:after="0" w:line="131"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Events that adversely affect our suppliers of pea protein and other raw materials, such as avocado oil, could impair our ability to obtain raw material inventory in the quantities at competitive prices that we desire. Such events include problems with our suppliers’ businesses, finances, labor relations and/or shortages, strikes or other labor unrest, ability to import raw materials, product quality issues, costs, production, insurance and reputation, as well as local economic and political conditions, restrictive U.S. and foreign governmental actions, such as restrictions on transfers of funds and trade protection measures, including export/import duties and quotas and customs duties and tariffs, adverse fluctuations in foreign currency exchange rates, changes in legal or regulatory requirements, border closures, disease outbreaks or pandemics (such as COVID-19), acts of war, terrorism, natural disasters, fires, earthquakes, flooding, severe weather, agricultural diseases or other catastrophic occurrences. We continuously seek alternative sources of protein to use in our products, but we may not be successful in diversifying the raw materials we use in our products.</w:t>
      </w:r>
    </w:p>
    <w:p>
      <w:pPr>
        <w:spacing w:after="0" w:line="136" w:lineRule="exact"/>
        <w:rPr>
          <w:sz w:val="20"/>
          <w:szCs w:val="20"/>
          <w:color w:val="auto"/>
        </w:rPr>
      </w:pPr>
    </w:p>
    <w:p>
      <w:pPr>
        <w:ind w:right="260" w:firstLine="318"/>
        <w:spacing w:after="0" w:line="265"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805815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consumer demand, we may not be able to fulfill customer orders, our operating costs could increase and our profit margins could decrease.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our supply chain could have a material adverse effect on our operating and financial results.</w:t>
      </w:r>
    </w:p>
    <w:p>
      <w:pPr>
        <w:spacing w:after="0" w:line="164"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Our ability to make, move and sell products in coordination with our suppliers, co-manufacturers and distributors is critical to our success. Damage or disruption to our collective supply, manufacturing or distribution capabilities resulting from severe weather, fires or evacuations related thereto, natural disasters, including climate-related events, pandemics (such as the COVID-19 pandemic) or other outbreaks of contagious diseases, agricultural diseases, cyber incidents, security breaches, system failures, terrorism, governmental restrictions or mandates, political instability, trade restrictions, import restrictions, border closures, freight carrier availability, labor shortages, strikes or other labor unrest, the financial or operational instability of key suppliers and carriers, disruptions, repairs or enhancements at facilities manufacturing or delivering our products or other reasons have, in the past, impaired and could, in the future, impair our ability to source inputs or manufacture, sell or timely deliver our products. To the extent we are unable to mitigate the likelihood or potential impact of such events, there could be a material adverse effect on our operating and financial results.</w:t>
      </w:r>
    </w:p>
    <w:p>
      <w:pPr>
        <w:spacing w:after="0" w:line="136"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Additionally, there are increasing expectations in various jurisdictions that companies monitor the environmental and social performance of their suppliers, including compliance with a variety of labor practices, as well as consider a wider range of potential environmental and social matters, including the end of life considerations for products. Compliance can be costly, require us to establish or augment programs to diligence or monitor our suppliers, or, in the case of legislation such as the Uyghur Forced Labor Prevention Act, to design supply chains to avoid certain suppliers or regions altogether. Failure to comply with such regulations can result in fines, reputational damage, import ineligibility for certain products or raw materials, or otherwise adversely impact our business.</w:t>
      </w:r>
    </w:p>
    <w:p>
      <w:pPr>
        <w:spacing w:after="0" w:line="139" w:lineRule="exact"/>
        <w:rPr>
          <w:sz w:val="20"/>
          <w:szCs w:val="20"/>
          <w:color w:val="auto"/>
        </w:rPr>
      </w:pPr>
    </w:p>
    <w:p>
      <w:pPr>
        <w:ind w:right="480"/>
        <w:spacing w:after="0" w:line="286"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plant-based protein or avocado oil that meets our standards.</w:t>
      </w:r>
    </w:p>
    <w:p>
      <w:pPr>
        <w:spacing w:after="0" w:line="76" w:lineRule="exact"/>
        <w:rPr>
          <w:sz w:val="20"/>
          <w:szCs w:val="20"/>
          <w:color w:val="auto"/>
        </w:rPr>
      </w:pPr>
    </w:p>
    <w:p>
      <w:pPr>
        <w:ind w:right="440" w:firstLine="318"/>
        <w:spacing w:after="0" w:line="245" w:lineRule="auto"/>
        <w:rPr>
          <w:sz w:val="20"/>
          <w:szCs w:val="20"/>
          <w:color w:val="auto"/>
        </w:rPr>
      </w:pPr>
      <w:r>
        <w:rPr>
          <w:rFonts w:ascii="Arial" w:cs="Arial" w:eastAsia="Arial" w:hAnsi="Arial"/>
          <w:sz w:val="17"/>
          <w:szCs w:val="17"/>
          <w:color w:val="auto"/>
        </w:rPr>
        <w:t>Our ability to ensure a continuing supply of ingredients at competitive prices depends on many factors beyond our control, such as the number and size of farms that grow certain crops such as European and North American yellow peas, other plant-based proteins and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avocados, the vagaries of these farming businesses (including poor harvests impacting the quality of the peas grown), changes in national and world economic conditions, including as a result of COVID-19 or the outbreak of hostilities or war, tariffs and our ability to forecast our ingredient requirements. The high-quality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and other materials offshore, and the price and availability of such ingredients and materials may be affected by political events or other conditions in these countries or tariffs, trade wars or the outbreak of hostilities or war. We also compete with other food producers in the procurement of ingredients, and this competition may increase in the future if consumer demand for plant-based meat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and may adversely affect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803275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14" w:lineRule="exact"/>
        <w:rPr>
          <w:sz w:val="20"/>
          <w:szCs w:val="20"/>
          <w:color w:val="auto"/>
        </w:rPr>
      </w:pPr>
    </w:p>
    <w:p>
      <w:pPr>
        <w:ind w:right="300"/>
        <w:spacing w:after="0" w:line="286" w:lineRule="auto"/>
        <w:rPr>
          <w:sz w:val="20"/>
          <w:szCs w:val="20"/>
          <w:color w:val="auto"/>
        </w:rPr>
      </w:pPr>
      <w:r>
        <w:rPr>
          <w:rFonts w:ascii="Arial" w:cs="Arial" w:eastAsia="Arial" w:hAnsi="Arial"/>
          <w:sz w:val="18"/>
          <w:szCs w:val="18"/>
          <w:b w:val="1"/>
          <w:bCs w:val="1"/>
          <w:i w:val="1"/>
          <w:iCs w:val="1"/>
          <w:color w:val="auto"/>
        </w:rPr>
        <w:t>We rely on a limited number of distributors, and if we experience the loss of one or more distributors and cannot replace them in a timely manner, our results of operations may be adversely affected.</w:t>
      </w:r>
    </w:p>
    <w:p>
      <w:pPr>
        <w:spacing w:after="0" w:line="90" w:lineRule="exact"/>
        <w:rPr>
          <w:sz w:val="20"/>
          <w:szCs w:val="20"/>
          <w:color w:val="auto"/>
        </w:rPr>
      </w:pPr>
    </w:p>
    <w:p>
      <w:pPr>
        <w:ind w:right="20" w:firstLine="318"/>
        <w:spacing w:after="0" w:line="278" w:lineRule="auto"/>
        <w:rPr>
          <w:sz w:val="20"/>
          <w:szCs w:val="20"/>
          <w:color w:val="auto"/>
        </w:rPr>
      </w:pPr>
      <w:r>
        <w:rPr>
          <w:rFonts w:ascii="Arial" w:cs="Arial" w:eastAsia="Arial" w:hAnsi="Arial"/>
          <w:sz w:val="17"/>
          <w:szCs w:val="17"/>
          <w:color w:val="auto"/>
        </w:rPr>
        <w:t>Many retailers and foodservice providers purchase our products through distributors who purchase, store, sell, and deliver our products to retailers and foodservice providers. In each of 2023 and 2022, DOT accounted for approximately 12% of our gross revenues. In 2021, DOT and Zandbergen WFM accounted for approximately 12% and 11% of our gross revenues, respectively. Since these distributors act as intermediaries between us and the retailers and foodservice providers, we do not have short-term or long-term commitments or minimum purchase volumes in our contracts with them that ensure future sales of our products. If we lose one or more of our distributors and cannot replace the distributor in a timely manner or at all, our business, results of operation and financial condition may be materially adversely affected.</w:t>
      </w:r>
    </w:p>
    <w:p>
      <w:pPr>
        <w:spacing w:after="0" w:line="125" w:lineRule="exact"/>
        <w:rPr>
          <w:sz w:val="20"/>
          <w:szCs w:val="20"/>
          <w:color w:val="auto"/>
        </w:rPr>
      </w:pPr>
    </w:p>
    <w:p>
      <w:pPr>
        <w:ind w:right="200"/>
        <w:spacing w:after="0" w:line="286"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90"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color w:val="auto"/>
        </w:rPr>
        <w:t>Our success, and our ability to increase revenues and operate profitably, depends in part on our ability to cost-effectively acquire new customers, to retain existing customers, and to keep existing customers engaged so that they continue to purchase products from us. We intend to continue efforts to expand our number of retail and foodservice customers, both in the United States and internationally, as part of our long-term growth strategy. This may require us to provide marketing and other financial incentives to our customers to assist in the promotion of our products. Such additional incentives could have a negative impact on gross margin and may not necessarily result in increased sales. In addition, foodservice customers will often initially add certain of our product offerings to their menus at limited locations and/or on a limited test basis, after which time these customers may choose to no longer offer our products or may ultimately scale back subsequent expansions. If we fail to attract and retain new customers, or retain our existing customers—some of whom we do not have written contracts with—our business, financial condition and results of operations could be materially adversely affected. In addition, timing of retail shelf resets are not within our control, and to the extent retail customers change the timing of such events, reduce our in store-displays, are out of stock of our products or are not able to restock our products effectively, sales of our products may be impaired and negatively impact our revenues.</w:t>
      </w:r>
    </w:p>
    <w:p>
      <w:pPr>
        <w:spacing w:after="0" w:line="111"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Further, if customers do not perceive our product offerings to be of sufficient value and quality, or if we fail to offer new and relevant product offerings at a competitive price, we may not be able to attract or retain customers or engage existing customers so that they continue to purchase products from us. We may lose customers to our competitors if they offer superior products to ours, if we are unable to compete on the basis of value and taste, if we are unable to meet customers’ orders in a timely manner, or if we are unable to identify and execute cost-down initiatives intended to achieve more competitive pricing over time. The loss of any large customer or the reduction of purchasing levels or the cancellation of business from such customers could have a material adverse impact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Supermarkets in North America and the European Union have generally consolidated over time.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20" w:lineRule="exact"/>
        <w:rPr>
          <w:sz w:val="20"/>
          <w:szCs w:val="20"/>
          <w:color w:val="auto"/>
        </w:rPr>
      </w:pPr>
    </w:p>
    <w:p>
      <w:pPr>
        <w:ind w:right="280" w:firstLine="318"/>
        <w:spacing w:after="0" w:line="265" w:lineRule="auto"/>
        <w:rPr>
          <w:sz w:val="20"/>
          <w:szCs w:val="20"/>
          <w:color w:val="auto"/>
        </w:rPr>
      </w:pPr>
      <w:r>
        <w:rPr>
          <w:rFonts w:ascii="Arial" w:cs="Arial" w:eastAsia="Arial" w:hAnsi="Arial"/>
          <w:sz w:val="18"/>
          <w:szCs w:val="18"/>
          <w:color w:val="auto"/>
        </w:rPr>
        <w:t>The loss of any large customer, the reduction of purchasing levels or the cancellation of any business from a large customer for an extended length of time could negatively impact our sales and profitability. For example, in 2023, the year-over-year decrease in our U.S. foodservice channel net revenues was driven primarily by the impact of a limited time offering at a large QSR customer in 2022 that ended in early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805815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competing for limited retailer shelf space. A retailer may take actions that affect us for reasons that we cannot always anticipate or control, such as their financial condition, changes in their business strategy or operations, the introduction of competing products, pricing and promotions, shelf reset timing and activity, reduced in store-displays, timing of product restocking or the perceived quality of our products. Despite operating in different channels, our retailers sometimes compete for the same consumers as our foodservice channel. Because of actual or perceived conflicts resulting from this competition, retailers may take actions that negatively affect us.</w:t>
      </w:r>
    </w:p>
    <w:p>
      <w:pPr>
        <w:spacing w:after="0" w:line="140" w:lineRule="exact"/>
        <w:rPr>
          <w:sz w:val="20"/>
          <w:szCs w:val="20"/>
          <w:color w:val="auto"/>
        </w:rPr>
      </w:pPr>
    </w:p>
    <w:p>
      <w:pPr>
        <w:ind w:right="200"/>
        <w:spacing w:after="0" w:line="286" w:lineRule="auto"/>
        <w:rPr>
          <w:sz w:val="20"/>
          <w:szCs w:val="20"/>
          <w:color w:val="auto"/>
        </w:rPr>
      </w:pPr>
      <w:r>
        <w:rPr>
          <w:rFonts w:ascii="Arial" w:cs="Arial" w:eastAsia="Arial" w:hAnsi="Arial"/>
          <w:sz w:val="18"/>
          <w:szCs w:val="18"/>
          <w:b w:val="1"/>
          <w:bCs w:val="1"/>
          <w:i w:val="1"/>
          <w:iCs w:val="1"/>
          <w:color w:val="auto"/>
        </w:rPr>
        <w:t>Loss of one or more of our co-manufacturers or our failure to timely identify and establish relationships with new co-manufacturers could harm our business and impede our growth.</w:t>
      </w:r>
    </w:p>
    <w:p>
      <w:pPr>
        <w:spacing w:after="0" w:line="90"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a portion of which are located internationally. Any of the co-manufacturers with whom we do not have a written contract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38" w:lineRule="exact"/>
        <w:rPr>
          <w:sz w:val="20"/>
          <w:szCs w:val="20"/>
          <w:color w:val="auto"/>
        </w:rPr>
      </w:pPr>
    </w:p>
    <w:p>
      <w:pPr>
        <w:ind w:right="120" w:firstLine="318"/>
        <w:spacing w:after="0" w:line="258" w:lineRule="auto"/>
        <w:rPr>
          <w:sz w:val="20"/>
          <w:szCs w:val="20"/>
          <w:color w:val="auto"/>
        </w:rPr>
      </w:pPr>
      <w:r>
        <w:rPr>
          <w:rFonts w:ascii="Arial" w:cs="Arial" w:eastAsia="Arial" w:hAnsi="Arial"/>
          <w:sz w:val="18"/>
          <w:szCs w:val="18"/>
          <w:color w:val="auto"/>
        </w:rPr>
        <w:t>If any of our co-manufacturers fail to comply with food safety, environmental, health and safety or other laws and regulations, or face allegations of non-compliance, their operations may be disrupted and our business and reputation could be harmed. An interruption in, or the loss of operations at, one or more of our co-manufacturing facilities, which may be caused by work stoppages, labor shortages, strikes or other labor unrest, production disruptions, product quality or safety issues, local economic and political conditions, restrictive governmental actions, border closures, disease outbreaks or pandemics (such as COVID-19), the outbreak of hostilities, acts of war, terrorism, fire, earthquakes, severe weather,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4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continue to obtain additional or alternative co-manufacturing arrangements in the future, there can be no assurance that we will be able to do so on satisfactory terms, in a timely manner, or at all. The loss of one or more co-manufacturers, any disruption or delay at a co-manufacturer or any failure to identify and engage co-manufacturers for new products, product extensions and expanded operations, including internationally, could delay, postpone or reduce production of our products, which could have a material adverse effect on our business,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or disruption at our domestic or international manufacturing facilities may harm our business.</w:t>
      </w:r>
    </w:p>
    <w:p>
      <w:pPr>
        <w:spacing w:after="0" w:line="16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We have internal manufacturing facilities in the United States, China and the Netherlands to produce our woven proteins and our finished goods. A natural disaster, severe weather, fire, power interruption, work stoppage, labor shortages, strikes or other labor unrest, border closures, restrictive governmental actions, outbreaks of pandemics or contagious diseases (such as COVID-19) or other calamity at any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workplace accident or safety incident.</w:t>
      </w:r>
    </w:p>
    <w:p>
      <w:pPr>
        <w:spacing w:after="0" w:line="164" w:lineRule="exact"/>
        <w:rPr>
          <w:sz w:val="20"/>
          <w:szCs w:val="20"/>
          <w:color w:val="auto"/>
        </w:rPr>
      </w:pPr>
    </w:p>
    <w:p>
      <w:pPr>
        <w:ind w:right="80" w:firstLine="318"/>
        <w:spacing w:after="0" w:line="278" w:lineRule="auto"/>
        <w:rPr>
          <w:sz w:val="20"/>
          <w:szCs w:val="20"/>
          <w:color w:val="auto"/>
        </w:rPr>
      </w:pPr>
      <w:r>
        <w:rPr>
          <w:rFonts w:ascii="Arial" w:cs="Arial" w:eastAsia="Arial" w:hAnsi="Arial"/>
          <w:sz w:val="17"/>
          <w:szCs w:val="17"/>
          <w:color w:val="auto"/>
        </w:rPr>
        <w:t>Our manufacturing processes and related activities could expose us to significant personal injury claims that could subject us to substantial liability. Specifically, our inability to anticipate or preempt potential workplace hazards, create safe working environments or timely adapt to changing requirements around maintaining a safe workplace could result in employee illness, accidents or other safety incidents. A failure to properly train our employees regarding, or respond appropriately and in a timely manner to, any such illness, accident or safety incident could have a material adverse effect on our business, financial condition, results of operation and reputation.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activities.</w:t>
      </w:r>
    </w:p>
    <w:p>
      <w:pPr>
        <w:spacing w:after="0" w:line="1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not successfully ramp up operations at our internal manufacturing facilities or these facilities may not operate in accordance with our expectations. Moreover, we face competition for employees and may be unable to hire and retain employees at these facilities.</w:t>
      </w:r>
    </w:p>
    <w:p>
      <w:pPr>
        <w:spacing w:after="0" w:line="107" w:lineRule="exact"/>
        <w:rPr>
          <w:sz w:val="20"/>
          <w:szCs w:val="20"/>
          <w:color w:val="auto"/>
        </w:rPr>
      </w:pPr>
    </w:p>
    <w:p>
      <w:pPr>
        <w:ind w:right="80" w:firstLine="318"/>
        <w:spacing w:after="0" w:line="274" w:lineRule="auto"/>
        <w:rPr>
          <w:sz w:val="20"/>
          <w:szCs w:val="20"/>
          <w:color w:val="auto"/>
        </w:rPr>
      </w:pPr>
      <w:r>
        <w:rPr>
          <w:rFonts w:ascii="Arial" w:cs="Arial" w:eastAsia="Arial" w:hAnsi="Arial"/>
          <w:sz w:val="17"/>
          <w:szCs w:val="17"/>
          <w:color w:val="auto"/>
        </w:rPr>
        <w:t>Since June 2018, we have acquired internal manufacturing facilities by purchase or lease in the United States, China and the Netherlands. Any substantial delay in bringing these facilities up to full production on our current schedule may hinder our ability to produce all of the product needed to meet orders and/or achieve our expected financial performance. Opening, maintaining and operating these facilities has required, and will continue to require, additional capital expenditures and the efforts and attention of our management and other personnel, which has and will continue to divert resources from our existing business or operations. These efforts may prove more expensive than we anticipate, and we may not succeed in increasing our revenues and margins sufficiently to offset the anticipated higher expenses. Additionally, our inability to hire and retain skilled employees at these facilities will severely hamper our expansion plans, product development and manufacturing efforts. The unemployment rate in the Columbia, Missouri market was 2.1% as of December 2023 and labor market conditions remain relatively tight. As a result, we currently rely on temporary workers in addition to full-time employees, and in the future, we may be unable to attract and retain employees with the skills we require, which could impact our ability to expand our operations. Even if our facilities are brought up to full production according to our current schedule, it may not provide us with all of the operational and financial benefits we expect to receive.</w:t>
      </w:r>
    </w:p>
    <w:p>
      <w:pPr>
        <w:spacing w:after="0" w:line="129"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Our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delays in raw material deliveries, food safety incidents or other adverse events. Any such disruption or unanticipated event may cause significant interruptions or delays in our business and the reduction or loss of inventory may render us unable to fulfill customer orders in a timely manner, or at all. As part of our cost-reduction initiatives and our goal of reducing operating expenses, we intend to leverage our existing production infrastructure to meet demand for our products. As a result, if any of our production lines is disrupted, the foregoing risks are likely to be exacerbated. We have property and business disruption insurance in place for all of our internal manufacturing facilities; however, such insurance coverage may not be sufficient to cover all of our potential losses and may not continue to be available to us on acceptable terms, or at all.</w:t>
      </w:r>
    </w:p>
    <w:p>
      <w:pPr>
        <w:spacing w:after="0" w:line="139"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We may face difficulties as we expand our operations in other countries, including into those in which we have no prior operating experience.</w:t>
      </w:r>
    </w:p>
    <w:p>
      <w:pPr>
        <w:spacing w:after="0" w:line="90" w:lineRule="exact"/>
        <w:rPr>
          <w:sz w:val="20"/>
          <w:szCs w:val="20"/>
          <w:color w:val="auto"/>
        </w:rPr>
      </w:pPr>
    </w:p>
    <w:p>
      <w:pPr>
        <w:ind w:right="200" w:firstLine="318"/>
        <w:spacing w:after="0" w:line="265" w:lineRule="auto"/>
        <w:rPr>
          <w:sz w:val="20"/>
          <w:szCs w:val="20"/>
          <w:color w:val="auto"/>
        </w:rPr>
      </w:pPr>
      <w:r>
        <w:rPr>
          <w:rFonts w:ascii="Arial" w:cs="Arial" w:eastAsia="Arial" w:hAnsi="Arial"/>
          <w:sz w:val="18"/>
          <w:szCs w:val="18"/>
          <w:color w:val="auto"/>
        </w:rPr>
        <w:t>We intend to continue to expand our geographic presence and enter into new markets as part of our long-term growth strategy. To the extent that such geographic expansion eventually requires the establishment of new manufacturing operations in the respective local regions, we could face various challenges. International operations involve a number of risks, including labor shortages, strikes or other labor unrest, border 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restrictive governmental actions, foreign regulatory compliance, tariffs, taxes and exchange controls, economic downturns, inflation, foreign currency fluctuations, uncertainty in financial markets and banking systems, and political and social instability in the countries in which we operate. Expansion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other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fluctuated in recent periods and may continue to slow or decline in the future.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2022, our revenue growth and revenues have slowed or declined, with periods of negative growth, and may continue to slow or</w:t>
      </w:r>
    </w:p>
    <w:p>
      <w:pPr>
        <w:spacing w:after="0" w:line="25"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decline in future periods due to a number of potential factors, including without limitation, macroeconomic issues including inflation and higher interest rates, increasing concerns about the likelihood of a recession, and potential impacts on consumer and customer behavior, and demand levels, increasing competition, market saturation, slowing demand for our offerings, prolonged weakness in the plant-based meat category, increasing regulatory costs and challenges, failure to capitalize on growth opportunities and the long-term effects of the COVID-19 pandemic.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64" w:lineRule="exact"/>
        <w:rPr>
          <w:sz w:val="20"/>
          <w:szCs w:val="20"/>
          <w:color w:val="auto"/>
        </w:rPr>
      </w:pPr>
    </w:p>
    <w:p>
      <w:pPr>
        <w:ind w:right="80" w:firstLine="318"/>
        <w:spacing w:after="0" w:line="259"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result in reduced margins. These programs include rebates, temporary on-shelf price reductions, off- invoice discounts, retailer advertisements, product coupons and other trade activities. We anticipate that we will need to continue to offer more trade and promotion discounts to both our retail and foodservice customers, to drive increased consumer trial and in response to changing consumer behavior and increased competition. In addition, we have made and intend to make changes in our pricing architecture, which may have a negative impact on our net revenues, gross profit, gross margin and profitability, impacting period-over-period results. We expect to face increasing competition across all channels, especially as additional plant-based meat product brands continue to enter the marketplace. In response, we anticipate providing heavier discounting and promotions on some of our products. Although these actions are intended to build brand awareness and increase consumer trials of our products, they have had and are likely to continue to have a negative impact on our net revenues, gross profit, gross margin and profitability, impacting period-over-period results.</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90" w:lineRule="exact"/>
        <w:rPr>
          <w:sz w:val="20"/>
          <w:szCs w:val="20"/>
          <w:color w:val="auto"/>
        </w:rPr>
      </w:pPr>
    </w:p>
    <w:p>
      <w:pPr>
        <w:ind w:right="180" w:firstLine="318"/>
        <w:spacing w:after="0" w:line="257"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Generally, we expect to experience greater demand for certain of our products during the U.S. summer grilling season. While we expected to continue to see additional seasonality effects in 2023, as compared to 2022 and 2021, we saw more muted effects from seasonality in the third and fourth quarters of 2023 as compared to the prior-year period and the second quarter of 2023, primarily reflecting weak category demand and pricing actions.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Any factors that harm our second and third quarter operating results, including disruptions in our supply chain, adverse weather or unfavorable economic conditions, may have a disproportionate effect on our results of operations for the entire year. In an environment of heightened uncertainty from recessionary and inflationary pressures, prolonged weakness in the plant-based meat category, competition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814070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impacting our business, we are unable to assess the ultimate impact on the demand for our products as a result of seasonality.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64"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64"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We currently rely upon third party transportation providers for a significant portion of our product shipments. Our utilization of delivery services for shipments is subject to risks, including increases in fuel prices, which would increase our shipping costs, employee strikes, disease outbreaks or pandemics (such as COVID-19) and inclement weather, which may impact the ability of providers to provide delivery services that adequately meet our shipping needs, if at all.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 party transportation providers that we currently use, which in turn would increase our costs and thereby adversely affect our operating results.</w:t>
      </w:r>
    </w:p>
    <w:p>
      <w:pPr>
        <w:spacing w:after="0" w:line="12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i w:val="1"/>
          <w:iCs w:val="1"/>
          <w:color w:val="auto"/>
        </w:rPr>
        <w:t>We have undergone, and may continue to experience, changes to our executive leadership team and senior management, and if we are unable to integrate new members of our executive leadership team or senior management, or if we fail to retain members of our executive leadership team and senior management, our business and operations may be adversely affected.</w:t>
      </w:r>
    </w:p>
    <w:p>
      <w:pPr>
        <w:spacing w:after="0" w:line="10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Founder, President and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140"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From time to time, there may be changes in our executive leadership team and senior management as a result of the hiring, departure or realignment of key personnel, and such changes may impact our business. In 2023, 2022 and 2021, we had several changes to our executive leadership team and senior management, including as a result of organizational changes based on cost-reduction initiatives. Any significant leadership change or senior management transition involves inherent risk and any failure to ensure the timely and suitable replacement and a smooth transition could hinder our strategic planning, business execution and future performance. In particular, these or any future leadership transitions may result in a loss of personnel with deep institutional or technical knowledge and changes in business strategy or objectives and have the potential to disrupt our operations and relationships with employees and customers due to added costs, operational inefficiencies, changes in strategy, decreased employee morale and productivity, and increased turnover. If we are unable to successfully integrate new executive leadership team members and senior management, our operations may be adversely affected and we may not be able to achieve our operating objectives.</w:t>
      </w:r>
    </w:p>
    <w:p>
      <w:pPr>
        <w:spacing w:after="0" w:line="125"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b w:val="1"/>
          <w:bCs w:val="1"/>
          <w:i w:val="1"/>
          <w:iCs w:val="1"/>
          <w:color w:val="auto"/>
        </w:rPr>
        <w:t>If we are unable to attract, train and retain employees or maintain our company culture, we may not be able to grow or successfully operate our business.</w:t>
      </w:r>
    </w:p>
    <w:p>
      <w:pPr>
        <w:spacing w:after="0" w:line="90"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customers and consumers. We believe a critical component of our success has been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791210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company culture and long-standing core values. We have invested substantial time and resources in building our team. If we are unable to hire and retain employees capable of meeting our business needs and expectations, or if we fail to preserve our company culture among a larger number of employees dispersed in various geographic regions, our business and brand image may be impaired. Any failure to meet our staffing needs or any material increase in turnover rates of our employees or key personnel changes may adversely affect our business, results of operations and financial condition.</w:t>
      </w:r>
    </w:p>
    <w:p>
      <w:pPr>
        <w:spacing w:after="0" w:line="12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Furthermore, on November 1, 2023, our board of directors approved a plan to reduce our workforce by approximately 65 employees, representing approximately 19% of our global non-production workforce (or approximately 8% of our total global workforce). Although we believe these reductions are an important part of the success of our cost-reduction initiatives, they may adversely affect employee morale, our culture and our ability to attract and retain critical employees. They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force, or if we experience significant adverse consequences as a result, our business, financial conditions and results of operations may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international employees are employed by professional employer organizations.</w:t>
      </w:r>
    </w:p>
    <w:p>
      <w:pPr>
        <w:spacing w:after="0" w:line="164" w:lineRule="exact"/>
        <w:rPr>
          <w:sz w:val="20"/>
          <w:szCs w:val="20"/>
          <w:color w:val="auto"/>
        </w:rPr>
      </w:pPr>
    </w:p>
    <w:p>
      <w:pPr>
        <w:ind w:right="60" w:firstLine="318"/>
        <w:spacing w:after="0" w:line="258" w:lineRule="auto"/>
        <w:rPr>
          <w:sz w:val="20"/>
          <w:szCs w:val="20"/>
          <w:color w:val="auto"/>
        </w:rPr>
      </w:pPr>
      <w:r>
        <w:rPr>
          <w:rFonts w:ascii="Arial" w:cs="Arial" w:eastAsia="Arial" w:hAnsi="Arial"/>
          <w:sz w:val="18"/>
          <w:szCs w:val="18"/>
          <w:color w:val="auto"/>
        </w:rPr>
        <w:t>Prior to January 1, 2022, we contracted with a professional employer organization, or U.S. PEO, that administered our human resources, payroll and employee benefits functions for our employees in the United States. Effective as of January 1, 2022, such human resources, payroll and employee benefits functions are no longer performed by the U.S. PEO. We continue to contract with non-U.S. PEOs to perform the same functions as the U.S. PEO for the majority of our employees outside the United States. Although we recruit and select our workers, each of these workers is also an employee of record of the relevant non-U.S. PEO. As a result, these workers are compensated through the relevant PEO, are governed by the work policies created by the relevant PEO and receive their annual wage statements and other payroll or labor related reports from the relevant PEO (e.g., T-4s for employees in Canada). This relationship permits management to focus on operations and profitability rather than payroll administration, but this relationship also exposes us to some risks. Among other risks,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interruption in services provided by third party service providers could adversely affect our business operations.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depend on a limited number of third party service providers for the performance of several of our business operations, including payroll and human capital management services. If any of these third party providers were to experience significant interruptions in their business operations, terminate their agreements with the Company, or fail to perform the services required under the terms of our contracts with them, our business operations could be materially and adversely affected for an indefinite period of time. There can be no assurance that we would be able to locate alternative providers of such services, or that we could do so at economical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798195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64"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In the future, we may pursue acquisitions or investments that we believe will help us achieve our strategic objectives. We may not be able to find suitable acquisition candidates, and even if we do, we may not be able to complete acquisitions on favorable terms, if at all. If we do complete acquisitions, we may not ultimately achieve our goals or realize the anticipated benefits. The pursuit of acquisitions and any integration process will require significant time and resources and could divert management time and focus from operation of our then-existing business, and we may not be able to manage the process successfully. Any acquisitions we complete could be viewed negatively by our customers or consumers. An acquisition, investment or business relationship may result in unforeseen operating difficulties and expenditures, including disrupting our ongoing operations and subjecting us to additional liabilities, increasing our expenses, and adversely impacting our business, financial condition and operating results. Moreover, we may be exposed to unknown liabilities related to the acquired company or product, and the anticipated benefits of any acquisition, investment or business relationship may not be realized if, for example, we fail to successfully integrate such acquisition into our company. To pay for any such acquisitions, we would have to use cash, incur debt, or issue debt or equity securities, each of which may affect our financial condition or the value of our common stock and could result in dilution to our stockholders. If we incur more debt it would result in increased fixed obligations and could also subject us to covenants or other restrictions that would impede our ability to manage our operations. Our acquisition strategy could require significant management attention, disrupt our business and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reputation could be negatively impacted by ESG matters and/or our reporting of such matters.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There is an increased focus from lawmakers, regulators, investors, customers, employees and other stakeholders on corporate ESG practices, including climate change and related ESG disclosure requirements. Expectations regarding voluntary ESG initiatives and disclosures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 In addition, standards for tracking and reporting ESG matters continue to evolve, and our business may be impacted by new laws, regulations or investor criteria in the U.S., Europe and around the world related to ESG. These legal and regulatory requirements, as well as investor expectations related to ESG practices and disclosures are subject to change, can be unpredictable, and may be difficult and expensive for us to comply with.</w:t>
      </w:r>
    </w:p>
    <w:p>
      <w:pPr>
        <w:spacing w:after="0" w:line="12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While we may at times engage in voluntary initiatives (such as voluntary disclosures, certifications or goals, among others) to improve the ESG profile of our company and/or products, such initiatives or achievement of such commitments may be costly and may not have the desired effect. Expectations around the Company’s management of ESG matters continues to evolve rapidly, in many instances due to factors that are out of our control. For example, we may not ultimately be able to complete certain goals or initiatives, either on the timelines originally anticipated or at all, due to technical, cost or other factors, which may be in or out of our control. Moreover, actions or statements that we may take based on expectations, assumptions or third 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128" w:lineRule="exact"/>
        <w:rPr>
          <w:sz w:val="20"/>
          <w:szCs w:val="20"/>
          <w:color w:val="auto"/>
        </w:rPr>
      </w:pPr>
    </w:p>
    <w:p>
      <w:pPr>
        <w:ind w:right="240" w:firstLine="318"/>
        <w:spacing w:after="0" w:line="263" w:lineRule="auto"/>
        <w:rPr>
          <w:sz w:val="20"/>
          <w:szCs w:val="20"/>
          <w:color w:val="auto"/>
        </w:rPr>
      </w:pPr>
      <w:r>
        <w:rPr>
          <w:rFonts w:ascii="Arial" w:cs="Arial" w:eastAsia="Arial" w:hAnsi="Arial"/>
          <w:sz w:val="18"/>
          <w:szCs w:val="18"/>
          <w:color w:val="auto"/>
        </w:rPr>
        <w:t>Certain market participants, including stockholders and other capital providers, use third party benchmarks or scores to measure a company’s ESG practices and decide whether to invest in their common stock or engage with them to require changes to their practices. In addition, certain influential institutional investors are also increasing their focus on ESG practices and are placing importance on the implications and social cost of their investments. If our ESG practices do not meet the standards set by these stockholders, they may choose not to invest in our common stock or if our peer companies outperform us in their ESG initiatives, potential or current investors may elect to invest with our competitors instead. Increasing governmental and societal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799465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1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attention to ESG matters, including expanding mandatory and voluntary reporting, diligence and disclosure on topics such as climate change, human capital, labor and risk oversight, could also expand the nature, scope and complexity of matters that we are required to control, assess and report. For example, to the extent ESG matters negatively impact our reputation, it may also impede our ability to compete as effectively to attract and retain employees, customers, or business partners, which may adversely impact our operations. We may be especially subject to scrutiny on such matters given efforts to portray our operations and products as a more sustainable and conscientious alternative to certain competitor products. As another example, the SEC has proposed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expanded data collection, analysis and certification with respect to greenhouse gas emissions reporting that may not be complete or accurate, and impose increased oversight obligations on our management and board of directors. These and other regulations, disclosure-related and otherwise, including the new California laws S.B. 253, S.B. 261 and A.B. 1305 and the EU’s Corporate Sustainability Reporting Directive, may increase our costs as well as increase scrutiny regarding our ESG efforts, which may enhance the risks discussed in this risk factor. If we do not comply with investor or stockholder expectations and standards in connection with our ESG initiatives, are perceived to have not responded appropriately to address ESG issues within our company, or fail to adapt to or comply with all laws, regulations, policies and related interpretations, our business and reputation could be negatively impacted and our share price and access to/cost of capital could be materially and adversely affected. Additionally, many of our customers and suppliers may be subject to similar expectations, which may augment or create additional risks, including risks that may not be known to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accounting estimate risks.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preparation of our consolidated financial statements in conformity with accounting principles generally accepted in the United States of America (“GAAP”) requires management to make significant estimates that affect the financial statements. Estimates are made at specific points in time and based on facts, historical experience and various other factors believed to be reasonable under the circumstances at such time. For example, during the first quarter of 2023, we completed a reassessment of the useful lives of our large manufacturing and research and development equipment, and determined that we should increase the estimated useful lives from a range 5 to 10 years to a uniform 10 years. The timing of this reassessment was based on a combination of factors accumulating over time, including historical useful life information and changes in our planned use of the equipment that provided us with updated information that allowed us to make a better estimate of the economic lives of such equipment.</w:t>
      </w:r>
    </w:p>
    <w:p>
      <w:pPr>
        <w:spacing w:after="0" w:line="12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This was accounted for as a change in accounting estimate and was made on a prospective basis effective January 1, 2023. If actual results differ from our judgments and assumptions, then it may have a material, adverse impact on our results of operations and cash flows. This change in accounting estimate decreased depreciation expense for 2023 by $21.0 million, impacting cost of goods sold and research and development expenses by $19.0 million and $2.0 million, respectively, and decreased both basic and diluted net loss per share available to common stockholders by $0.33.</w:t>
      </w:r>
    </w:p>
    <w:p>
      <w:pPr>
        <w:spacing w:after="0" w:line="134"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b w:val="1"/>
          <w:bCs w:val="1"/>
          <w:i w:val="1"/>
          <w:iCs w:val="1"/>
          <w:color w:val="auto"/>
        </w:rPr>
        <w:t>Any changes in estimates, judgments and assumptions used in the preparation of financial statements in accordance with GAAP or any future impairment charges could have a material adverse effect on our business, financial position and operating results.</w:t>
      </w:r>
    </w:p>
    <w:p>
      <w:pPr>
        <w:spacing w:after="0" w:line="76" w:lineRule="exact"/>
        <w:rPr>
          <w:sz w:val="20"/>
          <w:szCs w:val="20"/>
          <w:color w:val="auto"/>
        </w:rPr>
      </w:pPr>
    </w:p>
    <w:p>
      <w:pPr>
        <w:ind w:right="560" w:firstLine="318"/>
        <w:spacing w:after="0" w:line="253" w:lineRule="auto"/>
        <w:rPr>
          <w:sz w:val="20"/>
          <w:szCs w:val="20"/>
          <w:color w:val="auto"/>
        </w:rPr>
      </w:pPr>
      <w:r>
        <w:rPr>
          <w:rFonts w:ascii="Arial" w:cs="Arial" w:eastAsia="Arial" w:hAnsi="Arial"/>
          <w:sz w:val="17"/>
          <w:szCs w:val="17"/>
          <w:color w:val="auto"/>
        </w:rPr>
        <w:t>The preparation of financial statements in accordance with GAAP involves making estimates, judgments and assumptions that affect reported amounts of assets (including intangible assets), liabilities, revenues and expenses. This includes estimates, judgments and</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assumptions for assessing the recoverability of our assets, pursuant to Financial Accounting Standards Board issued authoritative guidance. If any estimates, judgments or assumptions change in the future, the Company may be required to record additional expenses and/or impairment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charges. See “—</w:t>
      </w:r>
      <w:r>
        <w:rPr>
          <w:rFonts w:ascii="Arial" w:cs="Arial" w:eastAsia="Arial" w:hAnsi="Arial"/>
          <w:sz w:val="18"/>
          <w:szCs w:val="18"/>
          <w:i w:val="1"/>
          <w:iCs w:val="1"/>
          <w:color w:val="auto"/>
        </w:rPr>
        <w:t>The Company is subject to accounting estimate risks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815340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1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Our actual results may differ from these estimates under assumptions or conditions that may change in the future. While we believe the assumptions and estimates we make are reasonable, any changes to our assumptions or estimates, or any actual results which differ from our assumptions or estimates, could have a material adverse effect on our financial position and operating results. Improper design and implementation of internal controls related to the estimates could result in misstatement of financial reports.</w:t>
      </w:r>
    </w:p>
    <w:p>
      <w:pPr>
        <w:spacing w:after="0" w:line="139"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We perform an asset impairment analysis on an annual basis or whenever events occur that may indicate possible existence of impairment. Failure to achieve forecasted operating results, due to weakness in the economic environment or other factors, changes in market conditions and declines in our market capitalization, among other things, could result in impairment of our assets and adversely affect our operating results.</w:t>
      </w:r>
    </w:p>
    <w:p>
      <w:pPr>
        <w:spacing w:after="0" w:line="133"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Our results of operations could be materially negatively affected if we cannot successfully keep pace with technological changes impacting the development of our products and implementation of our business needs.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Our success depends on our ability to keep pace with rapid technological changes affecting the development of our products and</w:t>
      </w:r>
    </w:p>
    <w:p>
      <w:pPr>
        <w:spacing w:after="0" w:line="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implementation of our business needs. Emerging technological trends such as artificial intelligence, machine learning and automation are impacting industries and business operations. If we do not sufficiently invest in new technology and industry developments, appropriately implement new technologies or evolve our business at sufficient speed and scale in response to such developments, or if we do not make the right strategic investments to respond to these developments, our products, results of operations and ability to develop and maintain our business could be negatively affected. Our competitors or other third parties may incorporate such technologies into their products and business more quickly or more successfully than us, which could impair our ability to compete effectively and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Food safety and food-borne illness incidents, or the perception of related risks, may materially adversely affect our business by exposing us to lawsuits, product recalls or regulatory enforcement actions, increasing our operating costs and reducing demand for our product offerings.</w:t>
      </w:r>
    </w:p>
    <w:p>
      <w:pPr>
        <w:spacing w:after="0" w:line="107"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or co-manufacturers, or otherwise result in destruction and write-off of raw materials or product inventory, delayed or lost sales,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 Similarly, the perception of risks related to such incidents, whether actual or not, or related to such claims, whether meritorious or not, could have an adverse effect on our brand and reputation.</w:t>
      </w:r>
    </w:p>
    <w:p>
      <w:pPr>
        <w:spacing w:after="0" w:line="1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w:t>
      </w:r>
    </w:p>
    <w:p>
      <w:pPr>
        <w:spacing w:after="0" w:line="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comparable state laws or foreign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as those of the European Union, the United Kingdom and China. Food recalls and other food illness and food safety incidents could result in significant losses due to their costs, the destruction of raw materials or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2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FDA regulations require companies like us to analyze, prepare and implement mitigation strategies specifically to address tampering (i.e., intentional adulteration) designed to inflict widespread public health harm. If we do not adequately address the possibility, or any actual instance, of intentional adulteration, we could face possible seizure or recall of our products and the imposition of civil or criminal sanctions, which could materially adversely affect our business, financial condition and operating results.</w:t>
      </w:r>
    </w:p>
    <w:p>
      <w:pPr>
        <w:spacing w:after="0" w:line="140" w:lineRule="exact"/>
        <w:rPr>
          <w:sz w:val="20"/>
          <w:szCs w:val="20"/>
          <w:color w:val="auto"/>
        </w:rPr>
      </w:pPr>
    </w:p>
    <w:p>
      <w:pPr>
        <w:ind w:right="500"/>
        <w:spacing w:after="0" w:line="286"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and demands, our business may be adversely affected.</w:t>
      </w:r>
    </w:p>
    <w:p>
      <w:pPr>
        <w:spacing w:after="0" w:line="90"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meat products as alternatives to animal-based protein products. Consumer demand has in the past changed and could change again in the future based on a number of possible factors, including dietary habits and nutritional values, concerns regarding the health effects of ingredients and shifts in preference for various product attributes. Decreased consumer demand for our products has caused our business and financial condition to suffer, and any further decrease in, or flattening of, such demand would likely have a similar effect. In addition, sales of plant-based meat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meat to animal-based protein products (including any products produced using new farming methods or technologies which may reduce the adverse environmental and other factors associated with conventional animal-based protein products), increased acceptance for different alternative proteins that are used in our products, economic factors and social trends. A significant shift in consumer demand away from our products or the plant-based meat category in general, could reduce our sales or our market share and the prestige of our brand, which would harm our business and financial condition. In addition, if the new Beyond IV platform is not widely accepted, our business, financial condition and operating results could be adversely affected.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Additionally, lobbyists supporting the meat industry have engaged in marketing campaigns in an attempt to generate negative publicity regarding our products and may continue to do so in the future. Any shift in consumer perception that our products are not healthy as a result of these campaigns could significantly reduce the value of our brand and damage our business. Other types of adverse publicity concerning our business or the plant-based meat industry generally could also harm our brand, reputation and results of operations. The growing use of social and digital media over recent years has amplified the impact of such negative publicity.</w:t>
      </w:r>
    </w:p>
    <w:p>
      <w:pPr>
        <w:spacing w:after="0" w:line="134"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Beyond Burger would have an adverse effect on our financial condition.</w:t>
      </w:r>
    </w:p>
    <w:p>
      <w:pPr>
        <w:spacing w:after="0" w:line="9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Beyond Burger accounted for approximately 51%, 50%, and 55% of our gross revenues in 2023, 2022 and 2021, respectively. The Beyond Burger is our flagship product and has historically been the focal point of our development and marketing efforts, and we believe that sales of the Beyond Burger will continue to constitute a significant portion of our revenues, income and cash flow for the foreseeable future. We recently announced our fourth generation of our core beef platform, Beyond IV, with anticipated roll out of the new Beyond Burger and Beyond Beef in the spring of 2024. We cannot be certain that we will be able to continue to expand production and distribution of the Beyond Burger, or that customer demand for our other existing and future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including the new Beyond IV platform,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We currently plan to and may also, from time to time, increase the prices of our products; however, consumers may not be willing to pay increased prices for our products or, if we cannot maintain such prices in accordance with our business strategy, our margins may stagnate or decrease.</w:t>
      </w:r>
    </w:p>
    <w:p>
      <w:pPr>
        <w:spacing w:after="0" w:line="107"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As part of our efforts to expand our gross margin, we currently plan to, and may also, from time to time, increase the prices of certain or all of our products in order to offset cost increases or improve the profitability of our business. Our ability to maintain prices or effectively implement price increases may be affected by several factors, including competition—from both conventional animal-protein companies and other plant-based meat brands, the effectiveness of our marketing programs, the continuing strength of our brand, market demand for our products or in the plant-based meat category generally and general economic conditions, including broader inflationary pressures. Consumers may be less willing or able to pay a price premium for our products, during challenging economic times or at all, and may choose to purchase lower-priced or other value offerings, making it more difficult for us to maintain prices 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in accordance with our business strategy, our margins may be adversely affected. Furthermore, price increases generally cause volume losses, as consumers tend to purchase fewer units at higher price points. If such losses are greater than expected, or if we lose distribution due to price increases, our business, financial condition and results of operations may be materially and adversely affected.</w:t>
      </w:r>
    </w:p>
    <w:p>
      <w:pPr>
        <w:spacing w:after="0" w:line="139" w:lineRule="exact"/>
        <w:rPr>
          <w:sz w:val="20"/>
          <w:szCs w:val="20"/>
          <w:color w:val="auto"/>
        </w:rPr>
      </w:pPr>
    </w:p>
    <w:p>
      <w:pPr>
        <w:ind w:right="740"/>
        <w:spacing w:after="0" w:line="286" w:lineRule="auto"/>
        <w:rPr>
          <w:sz w:val="20"/>
          <w:szCs w:val="20"/>
          <w:color w:val="auto"/>
        </w:rPr>
      </w:pPr>
      <w:r>
        <w:rPr>
          <w:rFonts w:ascii="Arial" w:cs="Arial" w:eastAsia="Arial" w:hAnsi="Arial"/>
          <w:sz w:val="18"/>
          <w:szCs w:val="18"/>
          <w:b w:val="1"/>
          <w:bCs w:val="1"/>
          <w:i w:val="1"/>
          <w:iCs w:val="1"/>
          <w:color w:val="auto"/>
        </w:rPr>
        <w:t>Failure to continually innovate and successfully introduce and commercialize new products or successfully improve existing products may adversely affect our ability to continue to grow.</w:t>
      </w:r>
    </w:p>
    <w:p>
      <w:pPr>
        <w:spacing w:after="0" w:line="90" w:lineRule="exact"/>
        <w:rPr>
          <w:sz w:val="20"/>
          <w:szCs w:val="20"/>
          <w:color w:val="auto"/>
        </w:rPr>
      </w:pPr>
    </w:p>
    <w:p>
      <w:pPr>
        <w:ind w:right="80" w:firstLine="318"/>
        <w:spacing w:after="0" w:line="258" w:lineRule="auto"/>
        <w:rPr>
          <w:sz w:val="20"/>
          <w:szCs w:val="20"/>
          <w:color w:val="auto"/>
        </w:rPr>
      </w:pPr>
      <w:r>
        <w:rPr>
          <w:rFonts w:ascii="Arial" w:cs="Arial" w:eastAsia="Arial" w:hAnsi="Arial"/>
          <w:sz w:val="18"/>
          <w:szCs w:val="18"/>
          <w:color w:val="auto"/>
        </w:rPr>
        <w:t>A key element of our long-term growth strategy depends on our ability to develop and market new products and improvements to our existing products that meet our standards for quality and appeal to consumer preferences. For example, we recently announced our fourth generation of our core beef platform, Beyond IV, with anticipated roll out of the new Beyond Burger and Beyond Beef in the spring of 2024. The success of our innovation and product development efforts, including the new Beyond IV platform, is affected by our ability to anticipate changes in consumer preferences, accurately predict taste preferences and purchasing habits of consumers in new geographic markets, the technical capability of our innovation staff in developing and testing product prototypes, including complying with applicable governmental regulations, commercialization and scale-up of new products, the success of our management and sales and marketing teams in introducing and marketing new products, and our ability to adapt to changes in technology, including the successful utilization of data analytics, artificial intelligence and machine learning. Our innovation staff members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commercialize and market new products that appeal to consumers may lead to a decrease in our growth, sales and profitability.</w:t>
      </w:r>
    </w:p>
    <w:p>
      <w:pPr>
        <w:spacing w:after="0" w:line="126" w:lineRule="exact"/>
        <w:rPr>
          <w:sz w:val="20"/>
          <w:szCs w:val="20"/>
          <w:color w:val="auto"/>
        </w:rPr>
      </w:pPr>
    </w:p>
    <w:p>
      <w:pPr>
        <w:ind w:right="40" w:firstLine="318"/>
        <w:spacing w:after="0" w:line="244" w:lineRule="auto"/>
        <w:rPr>
          <w:sz w:val="20"/>
          <w:szCs w:val="20"/>
          <w:color w:val="auto"/>
        </w:rPr>
      </w:pPr>
      <w:r>
        <w:rPr>
          <w:rFonts w:ascii="Arial" w:cs="Arial" w:eastAsia="Arial" w:hAnsi="Arial"/>
          <w:sz w:val="18"/>
          <w:szCs w:val="18"/>
          <w:color w:val="auto"/>
        </w:rPr>
        <w:t>Additionally, the development and introduction of new products, such as the new Beyond IV platform,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Ingredient and packaging costs are volatile and may rise significantly, which may negatively impact the profitability of our business.</w:t>
      </w:r>
    </w:p>
    <w:p>
      <w:pPr>
        <w:spacing w:after="0" w:line="162" w:lineRule="exact"/>
        <w:rPr>
          <w:sz w:val="20"/>
          <w:szCs w:val="20"/>
          <w:color w:val="auto"/>
        </w:rPr>
      </w:pPr>
    </w:p>
    <w:p>
      <w:pPr>
        <w:jc w:val="both"/>
        <w:ind w:right="80" w:firstLine="318"/>
        <w:spacing w:after="0"/>
        <w:rPr>
          <w:sz w:val="20"/>
          <w:szCs w:val="20"/>
          <w:color w:val="auto"/>
        </w:rPr>
      </w:pPr>
      <w:r>
        <w:rPr>
          <w:rFonts w:ascii="Arial" w:cs="Arial" w:eastAsia="Arial" w:hAnsi="Arial"/>
          <w:sz w:val="18"/>
          <w:szCs w:val="18"/>
          <w:color w:val="auto"/>
        </w:rPr>
        <w:t>We purchase large quantities of raw materials, including ingredients derived from European and North American yellow peas, mung beans, sunflower seeds, rice, faba beans, avocado oil,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810260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Brand</w:t>
      </w:r>
    </w:p>
    <w:p>
      <w:pPr>
        <w:spacing w:after="0" w:line="21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meat products, and potential competitors and new market entrants and we may lack sufficient financial or other resources to compete successfully.</w:t>
      </w:r>
    </w:p>
    <w:p>
      <w:pPr>
        <w:spacing w:after="0" w:line="10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future success depends, in large part, on our ability to implement our long-term growth strategy of expanding supply and distribution, improving placement of our products, attracting new consumers to our brand and introducing new products and product extensions, and expanding into new geographic markets. If we fail to implement this growth strategy or if we invest resources in a growth strategy that ultimately proves unsuccessful, our sales and operating results will be adversely affected. Our ability to implement this growth strategy depends, among other things, on our ability to:</w:t>
      </w:r>
    </w:p>
    <w:p>
      <w:pPr>
        <w:spacing w:after="0" w:line="124"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implement our cost-reduction initiatives and cost down strategy in the nearer term;</w:t>
      </w:r>
    </w:p>
    <w:p>
      <w:pPr>
        <w:spacing w:after="0" w:line="150" w:lineRule="exact"/>
        <w:rPr>
          <w:rFonts w:ascii="Arial" w:cs="Arial" w:eastAsia="Arial" w:hAnsi="Arial"/>
          <w:sz w:val="18"/>
          <w:szCs w:val="18"/>
          <w:color w:val="auto"/>
        </w:rPr>
      </w:pPr>
    </w:p>
    <w:p>
      <w:pPr>
        <w:ind w:left="640" w:right="300" w:hanging="316"/>
        <w:spacing w:after="0" w:line="290"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distributors and customers into our fulfillment operations;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compete in retail and foodservice channels;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brand recognition and expand and maintain brand loyalty;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new product lines and extensions;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into new geographic markets.</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7"/>
          <w:szCs w:val="17"/>
          <w:color w:val="auto"/>
        </w:rPr>
        <w:t>Our ability to implement our long-term growth strategy also depends on our ability to continue to compete in the retail and foodservice channels. We operate in a highly competitive environment. Numerous brands and products compete for limited retailer shelf space, foodservice customers and consumers. In our market, competition is based on, among other things, taste, price and promotion tactics, nutritional profile,</w:t>
      </w:r>
    </w:p>
    <w:p>
      <w:pPr>
        <w:spacing w:after="0" w:line="1"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ingredients, texture, ease of integration into the consumer diet, low-carbohydrate, low-sugar, high fiber and protein, lack of cholesterol and GMOs, convenience, versatility, brand awareness and loyalty among customers, media spending, product variety and packaging, access to</w:t>
      </w:r>
    </w:p>
    <w:p>
      <w:pPr>
        <w:spacing w:after="0" w:line="1"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major retailer shelf space and retail locations, access to major foodservice outlets and integration into menus, innovation and intellectual property protection.</w:t>
      </w:r>
    </w:p>
    <w:p>
      <w:pPr>
        <w:spacing w:after="0" w:line="127" w:lineRule="exact"/>
        <w:rPr>
          <w:sz w:val="20"/>
          <w:szCs w:val="20"/>
          <w:color w:val="auto"/>
        </w:rPr>
      </w:pPr>
    </w:p>
    <w:p>
      <w:pPr>
        <w:ind w:right="120" w:firstLine="318"/>
        <w:spacing w:after="0" w:line="244" w:lineRule="auto"/>
        <w:rPr>
          <w:sz w:val="20"/>
          <w:szCs w:val="20"/>
          <w:color w:val="auto"/>
        </w:rPr>
      </w:pPr>
      <w:r>
        <w:rPr>
          <w:rFonts w:ascii="Arial" w:cs="Arial" w:eastAsia="Arial" w:hAnsi="Arial"/>
          <w:sz w:val="18"/>
          <w:szCs w:val="18"/>
          <w:color w:val="auto"/>
        </w:rPr>
        <w:t>In response to increased competition, as well as reduced consumer confidence, changes in consumer spending and recessionary and inflationary pressures, we have made, and intend in the future to make, changes in our pricing architecture, which may have a negative impact on our net revenues, gross profit, gross margin and profitability, impacting period-over-period results.</w:t>
      </w:r>
    </w:p>
    <w:p>
      <w:pPr>
        <w:spacing w:after="0" w:line="13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We compete with conventional animal-protein companies such as Cargill, Hormel, JBS, Perdue Foods and Tyson,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798195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14" w:lineRule="exact"/>
        <w:rPr>
          <w:sz w:val="20"/>
          <w:szCs w:val="20"/>
          <w:color w:val="auto"/>
        </w:rPr>
      </w:pPr>
    </w:p>
    <w:p>
      <w:pPr>
        <w:ind w:right="160" w:firstLine="318"/>
        <w:spacing w:after="0" w:line="259" w:lineRule="auto"/>
        <w:rPr>
          <w:sz w:val="20"/>
          <w:szCs w:val="20"/>
          <w:color w:val="auto"/>
        </w:rPr>
      </w:pPr>
      <w:r>
        <w:rPr>
          <w:rFonts w:ascii="Arial" w:cs="Arial" w:eastAsia="Arial" w:hAnsi="Arial"/>
          <w:sz w:val="18"/>
          <w:szCs w:val="18"/>
          <w:color w:val="auto"/>
        </w:rPr>
        <w:t>We also compete with other food brands, including brands affiliated with conventional animal-protein companies and other large food operators, that develop and sell plant-based meat products, including, but not limited to, Alpha Foods, Boca Foods (Kraft Heinz), Lightlife and Field Roast (Maple Leaf Foods), Gardein (Conagra), Hungry Planet, Inc., Impossible Foods, Incogmeato/Morningstar Farms (Kellanova), Moving Mountains, Omnipork (OmniFoods), Tofurky, Sweet Earth and Awesome Burger (Nestlé S.A.), Raised &amp; Rooted (Tyson), Happy Little Plants (Hormel), Sysco’s Simply Plant-Based Meatless Burger, The Not Company and Vegetarian Butcher (Unilever), and with companies which may be more innovative, have more resources and be able to bring new products to market faster and to more quickly exploit and serve niche markets. For example, a number of U.S. and international companies are working on developing lab-grown or “clean meat,” an animal-protein product cultivated from cells taken from animals, which could have a similar appeal to consumers as plant-based meat products. We compete with these competitors for foodservice customers, retailer shelf space and consumers.</w:t>
      </w:r>
    </w:p>
    <w:p>
      <w:pPr>
        <w:spacing w:after="0" w:line="136" w:lineRule="exact"/>
        <w:rPr>
          <w:sz w:val="20"/>
          <w:szCs w:val="20"/>
          <w:color w:val="auto"/>
        </w:rPr>
      </w:pPr>
    </w:p>
    <w:p>
      <w:pPr>
        <w:ind w:right="20" w:firstLine="318"/>
        <w:spacing w:after="0" w:line="276" w:lineRule="auto"/>
        <w:rPr>
          <w:sz w:val="20"/>
          <w:szCs w:val="20"/>
          <w:color w:val="auto"/>
        </w:rPr>
      </w:pPr>
      <w:r>
        <w:rPr>
          <w:rFonts w:ascii="Arial" w:cs="Arial" w:eastAsia="Arial" w:hAnsi="Arial"/>
          <w:sz w:val="17"/>
          <w:szCs w:val="17"/>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or with new competitors and market entrants. Conventional food companies may acquire our competitors or launch their own plant-based meat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new competitors and market entrants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9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believe our consumers rely on us to provide them with high-quality plant-based meat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or the industry as a whole,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and although we strive to keep our products free of pathogenic organisms, they may not be easily detected and cross-contamination can occur. There is no assurance that this health risk will always be preempted by our quality control processes.</w:t>
      </w:r>
    </w:p>
    <w:p>
      <w:pPr>
        <w:spacing w:after="0" w:line="141"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1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meat products and may significantly reduce our brand value. Issues regarding the safety of any of our products, regardless of the cause, may have a substantial and adverse effect on our brand, reputation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805815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4" w:lineRule="exact"/>
        <w:rPr>
          <w:sz w:val="20"/>
          <w:szCs w:val="20"/>
          <w:color w:val="auto"/>
        </w:rPr>
      </w:pPr>
    </w:p>
    <w:p>
      <w:pPr>
        <w:ind w:right="220" w:firstLine="318"/>
        <w:spacing w:after="0" w:line="265"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the nutritional benefits provided by our products and our ability to provide a consistent, high-quality customer experience. Negative publicity has adversely affected our business in the past, and any widespread negative publicity, regardless of its accuracy, could in the future materially adversely affect our business, results of operation and reputation. Brand value is based on perceptions of subjective qualities, and any incident that erodes the loyalty of our customers, suppliers or co-manufacturers, including adverse publicity, negative media or a governmental investigation or litigation, could significantly reduce the value of our brand and significantly damage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could expose us to substantial business, regulatory, political, financial and economic risks.</w:t>
      </w:r>
    </w:p>
    <w:p>
      <w:pPr>
        <w:spacing w:after="0" w:line="164" w:lineRule="exact"/>
        <w:rPr>
          <w:sz w:val="20"/>
          <w:szCs w:val="20"/>
          <w:color w:val="auto"/>
        </w:rPr>
      </w:pPr>
    </w:p>
    <w:p>
      <w:pPr>
        <w:ind w:right="140" w:firstLine="318"/>
        <w:spacing w:after="0" w:line="278" w:lineRule="auto"/>
        <w:rPr>
          <w:sz w:val="20"/>
          <w:szCs w:val="20"/>
          <w:color w:val="auto"/>
        </w:rPr>
      </w:pPr>
      <w:r>
        <w:rPr>
          <w:rFonts w:ascii="Arial" w:cs="Arial" w:eastAsia="Arial" w:hAnsi="Arial"/>
          <w:sz w:val="17"/>
          <w:szCs w:val="17"/>
          <w:color w:val="auto"/>
        </w:rPr>
        <w:t>Our international operations could expose us to substantial risks associated with doing business in Europe and China, such as risks associated with taxation, inflation, food labelling legislation, environmental regulations, foreign currency exchange rates, the labor market, property and financial regulations, public health crises such as the COVID -19 pandemic, and the outbreak of hostilities or war. Our ability to operate in internationally may be adversely affected by changes in, or our failure to comply with, foreign laws and regulations. In addition, we are exposed to risks associated with our workforce in China and the Netherlands, including with respect to changes in employment and labor laws, which could increase our operating costs. The departure of the United Kingdom from the European Union (commonly known as “Brexit”) on January 31, 2020 has created uncertainties affecting business operations in the U.K., EU and a number of other countries, which could increase volatility in exchange rates, market instability, costs and other risks. There is also significant uncertainty about the future relationship between the United States and China with respect to trade policies, treaties, government regulations and tariffs.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earnings.</w:t>
      </w:r>
    </w:p>
    <w:p>
      <w:pPr>
        <w:spacing w:after="0" w:line="164" w:lineRule="exact"/>
        <w:rPr>
          <w:sz w:val="20"/>
          <w:szCs w:val="20"/>
          <w:color w:val="auto"/>
        </w:rPr>
      </w:pPr>
    </w:p>
    <w:p>
      <w:pPr>
        <w:ind w:right="120" w:firstLine="318"/>
        <w:spacing w:after="0" w:line="222" w:lineRule="exact"/>
        <w:rPr>
          <w:sz w:val="20"/>
          <w:szCs w:val="20"/>
          <w:color w:val="auto"/>
        </w:rPr>
      </w:pPr>
      <w:r>
        <w:rPr>
          <w:rFonts w:ascii="Arial" w:cs="Arial" w:eastAsia="Arial" w:hAnsi="Arial"/>
          <w:sz w:val="18"/>
          <w:szCs w:val="18"/>
          <w:color w:val="auto"/>
        </w:rPr>
        <w:t>A portion of our international business is conducted in currencies other than the U.S. dollar, and therefore changes in foreign exchange rates relative to the U.S. dollar have in the past, and may in the future, affect the value of our non-U.S. dollar net assets, revenues and expenses. Although we closely monitor potential exposures as a result of these fluctuations in currencies, and where cost</w:t>
      </w:r>
      <w:r>
        <w:rPr>
          <w:rFonts w:ascii="MS PGothic" w:cs="MS PGothic" w:eastAsia="MS PGothic" w:hAnsi="MS PGothic"/>
          <w:sz w:val="18"/>
          <w:szCs w:val="18"/>
          <w:color w:val="auto"/>
        </w:rPr>
        <w:t>‑</w:t>
      </w:r>
      <w:r>
        <w:rPr>
          <w:rFonts w:ascii="Arial" w:cs="Arial" w:eastAsia="Arial" w:hAnsi="Arial"/>
          <w:sz w:val="18"/>
          <w:szCs w:val="18"/>
          <w:color w:val="auto"/>
        </w:rPr>
        <w:t>justified we adopt strategies that are designed to reduce the impact of these fluctuations on our financial performance, there can be no assurance that we will be successful in managing our foreign exchange risk. Our exposure to currency exchange rate fluctuations will grow if the relative contribution of our operations outside the United States increases. Any material fluctuations in currencies could have a material effect on our financial condition, results of operations and cash flows.</w:t>
      </w:r>
    </w:p>
    <w:p>
      <w:pPr>
        <w:spacing w:after="0" w:line="158" w:lineRule="exact"/>
        <w:rPr>
          <w:sz w:val="20"/>
          <w:szCs w:val="20"/>
          <w:color w:val="auto"/>
        </w:rPr>
      </w:pPr>
    </w:p>
    <w:p>
      <w:pPr>
        <w:ind w:right="620"/>
        <w:spacing w:after="0" w:line="286" w:lineRule="auto"/>
        <w:rPr>
          <w:sz w:val="20"/>
          <w:szCs w:val="20"/>
          <w:color w:val="auto"/>
        </w:rPr>
      </w:pPr>
      <w:r>
        <w:rPr>
          <w:rFonts w:ascii="Arial" w:cs="Arial" w:eastAsia="Arial" w:hAnsi="Arial"/>
          <w:sz w:val="18"/>
          <w:szCs w:val="18"/>
          <w:b w:val="1"/>
          <w:bCs w:val="1"/>
          <w:i w:val="1"/>
          <w:iCs w:val="1"/>
          <w:color w:val="auto"/>
        </w:rPr>
        <w:t>Our international operations are subject to the FCPA and we could be adversely affected by violations of the FCPA and similar worldwide anti-corruption laws.</w:t>
      </w:r>
    </w:p>
    <w:p>
      <w:pPr>
        <w:spacing w:after="0" w:line="9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8"/>
          <w:szCs w:val="18"/>
          <w:color w:val="auto"/>
        </w:rPr>
        <w:t>The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is no assurance that we will be completely effective in ensuring our compliance with the FCPA or any other applicable anti-corruption laws. If we are not in compliance with the FCPA and other anti-corruption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or other anti-corruption laws or trade control laws by the United States could also have an adverse impact on our reputation,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19" w:lineRule="exact"/>
        <w:rPr>
          <w:sz w:val="20"/>
          <w:szCs w:val="20"/>
          <w:color w:val="auto"/>
        </w:rPr>
      </w:pPr>
    </w:p>
    <w:p>
      <w:pPr>
        <w:ind w:right="540"/>
        <w:spacing w:after="0" w:line="286" w:lineRule="auto"/>
        <w:rPr>
          <w:sz w:val="20"/>
          <w:szCs w:val="20"/>
          <w:color w:val="auto"/>
        </w:rPr>
      </w:pPr>
      <w:r>
        <w:rPr>
          <w:rFonts w:ascii="Arial" w:cs="Arial" w:eastAsia="Arial" w:hAnsi="Arial"/>
          <w:sz w:val="18"/>
          <w:szCs w:val="18"/>
          <w:b w:val="1"/>
          <w:bCs w:val="1"/>
          <w:i w:val="1"/>
          <w:iCs w:val="1"/>
          <w:color w:val="auto"/>
        </w:rPr>
        <w:t>Our manufacturing operations in China and Europe require substantial investments, for which we cannot guarantee forecasted returns.</w:t>
      </w:r>
    </w:p>
    <w:p>
      <w:pPr>
        <w:spacing w:after="0" w:line="9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Our substantial investment in manufacturing facilities in China and Europe may expose us to substantial risks and, as a result, we may not realize a return on our investment. Unforeseen delays in the operations of our Chinese or European manufacturing facilities may cause us to incur additional expenses. Operating these facilities may require additional capital expenditures and the efforts and attention of our management and other personnel, which will divert resources from our existing business or operations. Our Chinese and European facilities may not provide us with all of the operational and financial benefits we expect to receive. These and other risks may result in our not realizing a return on, or losing some or all, of our planned investments in China and Europe, which could have a material adverse effect on our financial condition and financial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ownership of real property is subject to all the risks inherent in an investment in real estate.</w:t>
      </w:r>
    </w:p>
    <w:p>
      <w:pPr>
        <w:spacing w:after="0" w:line="164"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color w:val="auto"/>
        </w:rPr>
        <w:t>We have direct ownership of certain real estate properties. As is the case with any owner of real property, we are subject to potential liabilities, cost and damages arising out of owning, operating, leasing or otherwise having interests in real property. There are risks that a property may have unforeseen environmental or other hazards resulting in unexpected costs. In addition, we may not be able to expand or operate our owned facilities in the manner we desire, which could adversely impact our production and facility utilization.</w:t>
      </w:r>
    </w:p>
    <w:p>
      <w:pPr>
        <w:spacing w:after="0" w:line="102"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9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 to agree on major issues. If such differences caused a joint venture to deviate from its business plan, our results of operations could be adversely affected.</w:t>
      </w:r>
    </w:p>
    <w:p>
      <w:pPr>
        <w:spacing w:after="0" w:line="134"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The divestiture or discontinuation of businesses and product lines, including within our joint venture, could result in unexpected liabilities and adversely affect our financial condition, cash flows and results of operations.</w:t>
      </w:r>
    </w:p>
    <w:p>
      <w:pPr>
        <w:spacing w:after="0" w:line="90"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From time to time, we may divest or discontinue businesses and product lines that do not align with our strategy or provide the returns that we expect or desire, such as our decision to discontinue the Beyond Meat Jerky product line, which has resulted in related charges due to provision for excess and obsolete inventory and accelerated depreciation on certain fixed assets. Any decision to dispose of or otherwise exit or discontinue product lines or businesses, including Beyond Meat Jerky, may result in loss of significant revenues and investments and/or the recording of charges, such as write-offs, further workforce reduction or restructuring costs, charges relating to consolidation of excess facilities or capacity underutilization, lease exit or other related costs, contract termination charges, or claims from third parties. Underutilization or cessation of our manufacturing facilities could adversely affect our gross margin and other operating results and we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791845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14" w:lineRule="exact"/>
        <w:rPr>
          <w:sz w:val="20"/>
          <w:szCs w:val="20"/>
          <w:color w:val="auto"/>
        </w:rPr>
      </w:pPr>
    </w:p>
    <w:p>
      <w:pPr>
        <w:jc w:val="both"/>
        <w:ind w:right="120"/>
        <w:spacing w:after="0" w:line="267" w:lineRule="auto"/>
        <w:rPr>
          <w:sz w:val="20"/>
          <w:szCs w:val="20"/>
          <w:color w:val="auto"/>
        </w:rPr>
      </w:pPr>
      <w:r>
        <w:rPr>
          <w:rFonts w:ascii="Arial" w:cs="Arial" w:eastAsia="Arial" w:hAnsi="Arial"/>
          <w:sz w:val="18"/>
          <w:szCs w:val="18"/>
          <w:color w:val="auto"/>
        </w:rPr>
        <w:t>required to terminate or make penalty payments under certain supply chain arrangements, close or idle facilities and write down our long-lived assets or shorten the useful lives of underutilized assets and accelerate depreciation, all of which could adversely affect our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Information Technology, Cybersecurity and Privacy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64"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December 31, 2023, we had three issued patents in the United States, ten issued patents outside the United States (U.K., Indonesia, Canada, China, Chile, Israel (two), Brazil, Japan and Australia), one pending patent application in the United States, five pending international patent applications and two provisional patent applications.</w:t>
      </w:r>
    </w:p>
    <w:p>
      <w:pPr>
        <w:spacing w:after="0" w:line="126"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to determine who was the first to invent any of the subject matter covered by the patent claims of our applications.</w:t>
      </w:r>
    </w:p>
    <w:p>
      <w:pPr>
        <w:spacing w:after="0" w:line="141"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23"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Our confidentiality agreements with our employees and certain of our consultants, contract workers,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805815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1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provide an adequate remedy in the event of unauthorized disclosure of such information. If we do not keep our trade secrets confidential, others may produce products with our recipes or formulations.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As we begin to expand globally as part of our long-term growth strategy, we may face additional risks protecting our trade secrets internationally, where the laws may not be as protective of intellectual property rights as those in the United States.</w:t>
      </w:r>
    </w:p>
    <w:p>
      <w:pPr>
        <w:spacing w:after="0" w:line="139" w:lineRule="exact"/>
        <w:rPr>
          <w:sz w:val="20"/>
          <w:szCs w:val="20"/>
          <w:color w:val="auto"/>
        </w:rPr>
      </w:pPr>
    </w:p>
    <w:p>
      <w:pPr>
        <w:ind w:right="60" w:firstLine="318"/>
        <w:spacing w:after="0" w:line="276" w:lineRule="auto"/>
        <w:rPr>
          <w:sz w:val="20"/>
          <w:szCs w:val="20"/>
          <w:color w:val="auto"/>
        </w:rPr>
      </w:pPr>
      <w:r>
        <w:rPr>
          <w:rFonts w:ascii="Arial" w:cs="Arial" w:eastAsia="Arial" w:hAnsi="Arial"/>
          <w:sz w:val="17"/>
          <w:szCs w:val="17"/>
          <w:color w:val="auto"/>
        </w:rPr>
        <w:t>We cannot guarantee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123"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Additionally, the laws of certain international jurisdictions in which our products may be sold may not protect intellectual property rights to the same extent as the laws of the United States. As a result, we may not be able to effectively prevent third parties from infringing or otherwise misappropriating our trademark rights in such jurisdictions. Moreover, failure to obtain adequate trademark rights in these foreign jurisdictions could negatively impact our ability to expand our business and launch products in certain international markets. Further, we may not be able to effectively protect our intellectual property rights against unauthorized third parties that obtain the rights to our trademarks in foreign jurisdictions where we have not yet applied for trademark protections, and we may expend substantial cost to obtain those trademarks from such third parties. Any one of these occurrences could reduce our competitive position or otherwise have a material adverse effect on our business, results of operations and financial condition.</w:t>
      </w:r>
    </w:p>
    <w:p>
      <w:pPr>
        <w:spacing w:after="0" w:line="141" w:lineRule="exact"/>
        <w:rPr>
          <w:sz w:val="20"/>
          <w:szCs w:val="20"/>
          <w:color w:val="auto"/>
        </w:rPr>
      </w:pPr>
    </w:p>
    <w:p>
      <w:pPr>
        <w:ind w:right="760"/>
        <w:spacing w:after="0" w:line="286"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including those of third parties upon which we rely, may harm our ability to effectively operate our business.</w:t>
      </w:r>
    </w:p>
    <w:p>
      <w:pPr>
        <w:spacing w:after="0" w:line="90"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We and the third parties upon which we rely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and those of the third parties upon which we rely, may be vulnerable to damage or interruption from circumstances beyond our control, including cyber attacks, fire, severe weather, natural disasters, systems failures, viruses and security breaches, particularly in light of many of our employees working remotely. Any such damage or interruption could materially disrupt our systems and operations, supply chain and ability to produce, sell and distribute our products and may have a material adverse effect on our business.</w:t>
      </w:r>
    </w:p>
    <w:p>
      <w:pPr>
        <w:spacing w:after="0" w:line="127" w:lineRule="exact"/>
        <w:rPr>
          <w:sz w:val="20"/>
          <w:szCs w:val="20"/>
          <w:color w:val="auto"/>
        </w:rPr>
      </w:pPr>
    </w:p>
    <w:p>
      <w:pPr>
        <w:ind w:right="140"/>
        <w:spacing w:after="0" w:line="317" w:lineRule="auto"/>
        <w:rPr>
          <w:sz w:val="20"/>
          <w:szCs w:val="20"/>
          <w:color w:val="auto"/>
        </w:rPr>
      </w:pPr>
      <w:r>
        <w:rPr>
          <w:rFonts w:ascii="Arial" w:cs="Arial" w:eastAsia="Arial" w:hAnsi="Arial"/>
          <w:sz w:val="17"/>
          <w:szCs w:val="17"/>
          <w:b w:val="1"/>
          <w:bCs w:val="1"/>
          <w:i w:val="1"/>
          <w:iCs w:val="1"/>
          <w:color w:val="auto"/>
        </w:rPr>
        <w:t>A cybersecurity incident, other technology disruptions or failure to comply with laws and regulations relating to privacy and the protection of data relating to individuals could negatively impact our business, our reputation and our relationships with customers.</w:t>
      </w:r>
    </w:p>
    <w:p>
      <w:pPr>
        <w:spacing w:after="0" w:line="67" w:lineRule="exact"/>
        <w:rPr>
          <w:sz w:val="20"/>
          <w:szCs w:val="20"/>
          <w:color w:val="auto"/>
        </w:rPr>
      </w:pPr>
    </w:p>
    <w:p>
      <w:pPr>
        <w:ind w:right="180" w:firstLine="318"/>
        <w:spacing w:after="0" w:line="275"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791210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potentially including acquisitions, we may also expand and improve our information technologies, resulting in a larger technological presence and corresponding exposure to cybersecurity risk. If we fail to assess and identify cybersecurity risks associated with new initiatives or acquisitions, we may become increasingly vulnerable to such risks.</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Breaches of our data systems, or those of our vendors and other third parties on which we rely, whether from circumvention of security</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systems, denial-of-service attacks or other cyber-attacks, hacking, “phishing” attacks, computer viruses, ransomware or malware, employee or insider error, malfeasance, social engineering, vendor software supply chain compromises, physical breaches or other actions, could result in material interruptions or malfunctions in our or such third parties’ websites, applications or data processing, or the disruption of other business operations. A successful cyber-attack against any of our supply chain vendors’ information technology systems may disrupt our supply chain. For example, in April 2023, one of our temperature-controlled warehousing vendors began to receive evidence that its computer network was affected by a cybersecurity incident. Although the full impact of the vendor’s cybersecurity incident on our operations and business is not yet known, it and similar disruptions of our supply chain could result in material adverse impacts on our revenue, business, financial condition or results of operations, including affecting customer demand, orders that may not materialize due to delayed deliveries and subsequent lost sales that we may not be able to recover in full, or at all. Additionally, while we have implemented measures to prevent security breaches and cyber incidents, our preventative measures and incident response efforts may not be entirely effective. There can be no assurance that our cybersecurity risk management program and processes, including our policies, controls or procedures, will be fully implemented, complied with or effective in protecting our systems and information.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 The costs related to cyber or other security threats or disruptions may not be fully insured or indemnified by other means. Currently, we carry cybersecurity insurance and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333" w:lineRule="exact"/>
        <w:rPr>
          <w:sz w:val="20"/>
          <w:szCs w:val="20"/>
          <w:color w:val="auto"/>
        </w:rPr>
      </w:pPr>
    </w:p>
    <w:p>
      <w:pPr>
        <w:ind w:right="120" w:firstLine="318"/>
        <w:spacing w:after="0" w:line="236" w:lineRule="auto"/>
        <w:rPr>
          <w:sz w:val="20"/>
          <w:szCs w:val="20"/>
          <w:color w:val="auto"/>
        </w:rPr>
      </w:pPr>
      <w:r>
        <w:rPr>
          <w:rFonts w:ascii="Arial" w:cs="Arial" w:eastAsia="Arial" w:hAnsi="Arial"/>
          <w:sz w:val="18"/>
          <w:szCs w:val="18"/>
          <w:color w:val="auto"/>
        </w:rPr>
        <w:t>Additionally, the SEC has adopted new rules on Cybersecurity Risk Management, Strategy, Governance and Incident Disclosure which will require public companies to report information relating to certain cyber-attacks or other information security breaches in disclosures required to be made under the federal securities laws and may increase our costs of doing business, expose us to potential compliance risk, including the ability to make timely disclosures to the public, and impact the manner in which we operate. Any such cyber incidents involving our computer systems and networks, or those of third parties important to our business, could have a material adverse effect on our business, financial condition, results of operations and prospects.</w:t>
      </w:r>
    </w:p>
    <w:p>
      <w:pPr>
        <w:spacing w:after="0" w:line="14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In addition, we are subject to laws, rules and regulations in the United States, the European Union, China and other jurisdictions relating to the collection, use and security of personal information and data. Such data privacy laws, regulations and other obligations may require us to change our business practices and may negatively impact our ability to expand our business and pursue business opportunities. We may incur significant expenses to comply with the laws, regulations and other obligations that apply to us. Additionally, the privacy and data protection-related laws, rules and regulations applicable to us are subject to significant change. Several jurisdictions have passed new laws and regulations in this area, and other jurisdictions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809625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considering imposing additional restrictions. For example, our operations are subject to the European Union’s General Data Protection Regulation, which imposes data privacy and security requirements on companies doing business in the European Union, including substantial penalties for non-compliance. The California Consumer Privacy Act (the “CCPA”), which went into effect on January 1, 2020, imposes similar requirements on companies handling data of California residents and creates a new and potentially severe statutory damages framework for (i) violations of the CCPA and (ii) businesses that fail to implement reasonable security procedures and practices to prevent data breaches. The California Privacy Rights Act, which became effective January 1, 2023, amends and expands the CCPA, including by expanding consumer’s rights in their personal information and creating a new governmental agency to interpret and enforce the statute. Additionally, in August 2021, the National People’s Congress of the People's Republic of China adopted the Personal Information Protection Law, which became effective on November 1, 2021 and provides a comprehensive system for the protection of personal information in China. Privacy and data protection-related laws and regulations also may be interpreted and enforced inconsistently over time and from jurisdiction to jurisdiction. Any actual or perceived inability to comply with applicable privacy or data protection laws, regulations, or other obligations could result in significant cost and liability, litigation or governmental investigations, damage our reputation and adversely affect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13"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i w:val="1"/>
          <w:iCs w:val="1"/>
          <w:color w:val="auto"/>
        </w:rPr>
        <w:t>If the build out of our new Campus Headquarters is delayed or incurs cost overruns, the headquarters does not operate in accordance with our expectations, or occupancy rates at the headquarters are lower than anticipated, our business or financial condition or results of operations may be adversely affected.</w:t>
      </w:r>
    </w:p>
    <w:p>
      <w:pPr>
        <w:spacing w:after="0" w:line="107" w:lineRule="exact"/>
        <w:rPr>
          <w:sz w:val="20"/>
          <w:szCs w:val="20"/>
          <w:color w:val="auto"/>
        </w:rPr>
      </w:pPr>
    </w:p>
    <w:p>
      <w:pPr>
        <w:ind w:right="80" w:firstLine="318"/>
        <w:spacing w:after="0" w:line="267" w:lineRule="auto"/>
        <w:rPr>
          <w:sz w:val="20"/>
          <w:szCs w:val="20"/>
          <w:color w:val="auto"/>
        </w:rPr>
      </w:pPr>
      <w:r>
        <w:rPr>
          <w:rFonts w:ascii="Arial" w:cs="Arial" w:eastAsia="Arial" w:hAnsi="Arial"/>
          <w:sz w:val="18"/>
          <w:szCs w:val="18"/>
          <w:color w:val="auto"/>
        </w:rPr>
        <w:t>If the build out of our new Campus Headquarters is delayed or incurs cost overruns, the headquarters does not operate in accordance with our expectations, or occupancy rates at the headquarters are lower than anticipated, our business, financial condition or results of operations may be adversely affected.</w:t>
      </w:r>
    </w:p>
    <w:p>
      <w:pPr>
        <w:spacing w:after="0" w:line="131"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 2021, we entered into a lease agreement for an initial term of 12 years to develop and house our new Campus Headquarters. The space is being built out by the landlord, who delivered Phase 1-A of the space to us in the third quarter of 2022 and Phase 1-B of the space to us in the second quarter of 2023. We currently do not have firm timing on the delivery of the remainder of the headquarters space. If we are not able to complete development of the Campus Headquarters within the approved budget or there are significant cost overruns and/or delays, our cash flows, financial condition, or results of operations could be materially and adversely affected. In addition, we may not occupy the rest of the Campus Headquarters space and are considering undertaking efforts to sublease, assign or otherwise transfer the unoccupied part. An agreement to sublease, assign or otherwise transfer the unoccupied part of the headquarters would be subject to certain risks and uncertainties. For example, the agreement may not be completed on terms advantageous to us because the rental rate we receive under the agreement may not fully cover the rental rate we pay under our lease for the same space, or we may be unable to enter into such an agreement at all, each of which could have a negative impact on our financial condition and results of operations.</w:t>
      </w:r>
    </w:p>
    <w:p>
      <w:pPr>
        <w:spacing w:after="0" w:line="125"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In addition, it is possible that there could be unanticipated difficulties in initiating and maintaining operations at the Campus Headquarters, including, but not limited to, IT system interruptions, other infrastructure support problems or the space may prove to be less conducive to our operations than currently anticipated. These risks could all result in operational inefficiencies or similar difficulties that could prove difficult or impossible to remediate and have an adverse impact on our financial condition or results of operations.</w:t>
      </w:r>
    </w:p>
    <w:p>
      <w:pPr>
        <w:spacing w:after="0" w:line="133"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b w:val="1"/>
          <w:bCs w:val="1"/>
          <w:i w:val="1"/>
          <w:iCs w:val="1"/>
          <w:color w:val="auto"/>
        </w:rPr>
        <w:t>We currently have, and will continue to have, significant lease obligations, and our failure to meet those obligations could adversely affect our financial condition and business.</w:t>
      </w:r>
    </w:p>
    <w:p>
      <w:pPr>
        <w:spacing w:after="0" w:line="90" w:lineRule="exact"/>
        <w:rPr>
          <w:sz w:val="20"/>
          <w:szCs w:val="20"/>
          <w:color w:val="auto"/>
        </w:rPr>
      </w:pPr>
    </w:p>
    <w:p>
      <w:pPr>
        <w:ind w:right="260" w:firstLine="318"/>
        <w:spacing w:after="0" w:line="290" w:lineRule="auto"/>
        <w:rPr>
          <w:sz w:val="20"/>
          <w:szCs w:val="20"/>
          <w:color w:val="auto"/>
        </w:rPr>
      </w:pPr>
      <w:r>
        <w:rPr>
          <w:rFonts w:ascii="Arial" w:cs="Arial" w:eastAsia="Arial" w:hAnsi="Arial"/>
          <w:sz w:val="18"/>
          <w:szCs w:val="18"/>
          <w:color w:val="auto"/>
        </w:rPr>
        <w:t>We currently have, and will continue to have, significant lease obligations for our corporate offices, manufacturing facilities, research and development facilities and warehouses. We depend on cash flow from operations to pay our lease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1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w:t>
      </w:r>
    </w:p>
    <w:p>
      <w:pPr>
        <w:spacing w:after="0" w:line="13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Our significant indebtedness and liabilities could limit the cash flow available for our operations, expose us to risks that could adversely affect our business, financial condition and results of operations and impair our ability to satisfy our obligations under our Notes.</w:t>
      </w:r>
    </w:p>
    <w:p>
      <w:pPr>
        <w:spacing w:after="0" w:line="107"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As of December 31, 2023, we had approximately $1.3 billion of consolidated indebtedness and other liabilities.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3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7" w:lineRule="exact"/>
        <w:rPr>
          <w:rFonts w:ascii="Arial" w:cs="Arial" w:eastAsia="Arial" w:hAnsi="Arial"/>
          <w:sz w:val="18"/>
          <w:szCs w:val="18"/>
          <w:color w:val="auto"/>
        </w:rPr>
      </w:pPr>
    </w:p>
    <w:p>
      <w:pPr>
        <w:ind w:left="640" w:right="440" w:hanging="316"/>
        <w:spacing w:after="0" w:line="290"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77" w:lineRule="exact"/>
        <w:rPr>
          <w:rFonts w:ascii="Arial" w:cs="Arial" w:eastAsia="Arial" w:hAnsi="Arial"/>
          <w:sz w:val="18"/>
          <w:szCs w:val="18"/>
          <w:color w:val="auto"/>
        </w:rPr>
      </w:pPr>
    </w:p>
    <w:p>
      <w:pPr>
        <w:ind w:left="640" w:right="280" w:hanging="316"/>
        <w:spacing w:after="0" w:line="290"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(as defined below); and</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77" w:lineRule="exact"/>
        <w:rPr>
          <w:sz w:val="20"/>
          <w:szCs w:val="20"/>
          <w:color w:val="auto"/>
        </w:rPr>
      </w:pPr>
    </w:p>
    <w:p>
      <w:pPr>
        <w:ind w:right="280" w:firstLine="318"/>
        <w:spacing w:after="0" w:line="321" w:lineRule="auto"/>
        <w:rPr>
          <w:sz w:val="20"/>
          <w:szCs w:val="20"/>
          <w:color w:val="auto"/>
        </w:rPr>
      </w:pPr>
      <w:r>
        <w:rPr>
          <w:rFonts w:ascii="Arial" w:cs="Arial" w:eastAsia="Arial" w:hAnsi="Arial"/>
          <w:sz w:val="17"/>
          <w:szCs w:val="17"/>
          <w:color w:val="auto"/>
        </w:rPr>
        <w:t>In 2021, we issued a total of $1.15 billion aggregate principal amount of our 0% Convertible Senior Notes due 2027 (the “Notes”) in a private placement to qualified institutional buyers pursuant to Rule 144A under the Securities Act of 1933, as amended (the “Securities Act”).</w:t>
      </w:r>
    </w:p>
    <w:p>
      <w:pPr>
        <w:spacing w:after="0" w:line="73"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Our ability to make scheduled payments of the principal of, to pay interest on or to refinance our current or future indebtedness, including the Notes, as applicable, depends on our future performance, which is subject to economic, financial, competitive and other factors beyond our control. Our business may not generate sufficient funds, and we may otherwise be unable to maintain sufficient cash reserves, to pay amounts due under our current or future indebtedness, including the Notes, and our cash needs may increase in the future. 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spacing w:after="0" w:line="107" w:lineRule="exact"/>
        <w:rPr>
          <w:sz w:val="20"/>
          <w:szCs w:val="20"/>
          <w:color w:val="auto"/>
        </w:rPr>
      </w:pPr>
    </w:p>
    <w:p>
      <w:pPr>
        <w:ind w:right="180" w:firstLine="318"/>
        <w:spacing w:after="0" w:line="263" w:lineRule="auto"/>
        <w:rPr>
          <w:sz w:val="20"/>
          <w:szCs w:val="20"/>
          <w:color w:val="auto"/>
        </w:rPr>
      </w:pPr>
      <w:r>
        <w:rPr>
          <w:rFonts w:ascii="Arial" w:cs="Arial" w:eastAsia="Arial" w:hAnsi="Arial"/>
          <w:sz w:val="18"/>
          <w:szCs w:val="18"/>
          <w:color w:val="auto"/>
        </w:rPr>
        <w:t>Holders of the Notes may, subject to a limited exception, require us to repurchase their Notes following a “Fundamental Change” (as defined in the Indenture) at a cash repurchase price generally equal to the principal amount of the Notes to be repurchased, plus accrued and unpaid special and additional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future indebtedness may restrict our ability to repurchase the Notes or pay the cash amounts due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799465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conversion. Our failure to repurchase the Notes or to pay the cash amounts due upon conversion when required will constitute a default under the Indenture. A default under the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Notes could adversely affect our reported financial condition and results.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 The accounting method for reflecting the Notes on our balance sheet may adversely affect our reported earnings and financial condition. If any of the conditions to the convertibility of the Notes is satisfied or the Notes become due within one year,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4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early adopted Accounting Standards Update No. 2020-06, “Debt with Conversion and Other Options (Subtopic 470-20) and Derivatives and Hedging—Contracts in Entity's Own Equity”, to account for our Notes which eliminates the treasury stock method for convertible instruments that can be settled in whole or in part with equity and instead requires the application of the more dilutive of the “if-converted” method or the two-class method. Under the if-converted method, diluted earnings per share would generally be calculated assuming that all the conversion premium or spread were converted at the beginning of the reporting period, unless the result would be anti-dilutive. The conversion premium or spread would have a dilutive impact on net income per share when the average market price of the Company’s common stock for a given period exceeds the conversion price.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In connection with the Notes, we entered into privately negotiated capped call transactions with the option counterparties. The capped call transactions will cover, subject to customary adjustments, the number of shares of common stock that underlie the Notes. The capped call transactions are expected generally to reduce potential dilution to our common stock upon conversion of the Notes or at our election (subject to certain conditions) offset any cash payments we are required to make in excess of the aggregate principal amount of the converted Notes, as the case may be, with such reduction or offset subject to a cap.</w:t>
      </w:r>
    </w:p>
    <w:p>
      <w:pPr>
        <w:spacing w:after="0" w:line="134"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spacing w:after="0" w:line="131"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In addition, we have been advised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on each exercise date of the capped call transactions, and in connection with any early termination event in respect of the capped call transactions). This activity could also cause or avoid an increase or a decrease in the market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governing the Notes could delay or prevent an otherwise beneficial takeover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14"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Certain provisions in the Notes and the indenture governing the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(as defined in the Indenture), then we may be required to temporarily increase the conversion rate. In either case, and in other cases, our obligations under the Notes and the indenture governing the Notes could increase the cost of acquiring us or otherwise discourage a third party from acquiring us or removing incumbent management, including in a transaction that holders of our common stock or Notes may view as favorable.</w:t>
      </w:r>
    </w:p>
    <w:p>
      <w:pPr>
        <w:spacing w:after="0" w:line="139" w:lineRule="exact"/>
        <w:rPr>
          <w:sz w:val="20"/>
          <w:szCs w:val="20"/>
          <w:color w:val="auto"/>
        </w:rPr>
      </w:pPr>
    </w:p>
    <w:p>
      <w:pPr>
        <w:jc w:val="both"/>
        <w:ind w:right="180"/>
        <w:spacing w:after="0" w:line="317"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6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former Manhattan Beach Project Innovation Center and our Innovation Center within our Campus Headquarters, and the purchase, build-out and equipping of manufacturing facilities in the U.S. and abroad. We have and believe that we will continue to expend resources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2023, we had cash and cash equivalents and restricted cash totaling $205.9 million.</w:t>
      </w:r>
    </w:p>
    <w:p>
      <w:pPr>
        <w:spacing w:after="0" w:line="164" w:lineRule="exact"/>
        <w:rPr>
          <w:sz w:val="20"/>
          <w:szCs w:val="20"/>
          <w:color w:val="auto"/>
        </w:rPr>
      </w:pPr>
    </w:p>
    <w:p>
      <w:pPr>
        <w:ind w:right="60" w:firstLine="318"/>
        <w:spacing w:after="0" w:line="258" w:lineRule="auto"/>
        <w:rPr>
          <w:sz w:val="20"/>
          <w:szCs w:val="20"/>
          <w:color w:val="auto"/>
        </w:rPr>
      </w:pPr>
      <w:r>
        <w:rPr>
          <w:rFonts w:ascii="Arial" w:cs="Arial" w:eastAsia="Arial" w:hAnsi="Arial"/>
          <w:sz w:val="18"/>
          <w:szCs w:val="18"/>
          <w:color w:val="auto"/>
        </w:rPr>
        <w:t>Our operating plan may change because of factors currently unknown to us, and we may need to seek additional funds sooner than planned, through public or private equity or debt financings or other sources, including strategic collaborations. For example, in May 2023, we established our “at the market” offering program, under which, subject to our compliance with applicable laws and the applicable requirements of the Equity Distribution Agreement (as defined below), we may offer and sell from time to time and at our discretion shares of our common stock having an aggregate offering price of up to $200.0 million pursuant to an equity distribution agreement between us and Goldman Sachs and Co. LLC, as sales agent (the “Equity Distribution Agreement”). Such financing and other potential financings may result in dilution to stockholders, reduction in the market price of our common stock,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 However, the capital markets may experience extreme volatility and disruption, including higher interest rates and higher borrowing costs, which could make it more difficult for us to raise capital. If we cannot access the capital markets upon favorable terms or at all, it may impact our ability to achieve our goals. Upon filing of this report with the SEC, we will no longer qualify as a WKSI, which may impair our ability to raise capital quickly in response to changing requirements and market conditions.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may vary materially from those currently planned and will depend on many factors, including, among others:</w:t>
      </w:r>
    </w:p>
    <w:p>
      <w:pPr>
        <w:spacing w:after="0" w:line="176"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demand in the plant-based meat category and for our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revenue growth;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our review of our global operations and the successful implementation of our ongoing cost-reduction initiatives;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to adjust our supply chain and cost structure in response to material fluctuations in product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834390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14" w:lineRule="exact"/>
        <w:rPr>
          <w:sz w:val="20"/>
          <w:szCs w:val="20"/>
          <w:color w:val="auto"/>
        </w:rPr>
      </w:pPr>
    </w:p>
    <w:p>
      <w:pPr>
        <w:ind w:left="640" w:right="12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96" w:lineRule="exact"/>
        <w:rPr>
          <w:rFonts w:ascii="Arial" w:cs="Arial" w:eastAsia="Arial" w:hAnsi="Arial"/>
          <w:sz w:val="18"/>
          <w:szCs w:val="18"/>
          <w:color w:val="auto"/>
        </w:rPr>
      </w:pPr>
    </w:p>
    <w:p>
      <w:pPr>
        <w:ind w:left="640" w:right="18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investment in and build out of our Campus Headquarters, including the timing and success of subleasing, assigning or otherwise transferring excess space at our Campus Headquarters;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and expenses associated with, our marketing initiatives;</w:t>
      </w:r>
    </w:p>
    <w:p>
      <w:pPr>
        <w:spacing w:after="0" w:line="164" w:lineRule="exact"/>
        <w:rPr>
          <w:rFonts w:ascii="Arial" w:cs="Arial" w:eastAsia="Arial" w:hAnsi="Arial"/>
          <w:sz w:val="18"/>
          <w:szCs w:val="18"/>
          <w:color w:val="auto"/>
        </w:rPr>
      </w:pPr>
    </w:p>
    <w:p>
      <w:pPr>
        <w:ind w:left="640" w:right="22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investment in manufacturing and facilities to optimize our manufacturing and production capacity, including underutilization fees, termination fees and exit costs;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investments in real property and joint ventures;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177" w:lineRule="exact"/>
        <w:rPr>
          <w:rFonts w:ascii="Arial" w:cs="Arial" w:eastAsia="Arial" w:hAnsi="Arial"/>
          <w:sz w:val="18"/>
          <w:szCs w:val="18"/>
          <w:color w:val="auto"/>
        </w:rPr>
      </w:pPr>
    </w:p>
    <w:p>
      <w:pPr>
        <w:ind w:left="640" w:right="74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96" w:lineRule="exact"/>
        <w:rPr>
          <w:rFonts w:ascii="Arial" w:cs="Arial" w:eastAsia="Arial" w:hAnsi="Arial"/>
          <w:sz w:val="18"/>
          <w:szCs w:val="18"/>
          <w:color w:val="auto"/>
        </w:rPr>
      </w:pPr>
    </w:p>
    <w:p>
      <w:pPr>
        <w:ind w:left="640" w:right="8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class actions brought against us or the derivative actions brought against certain of our current and former directors and officers;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product selling prices and costs;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changes to our pricing architecture within certain channels and the mix of products sold;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trade and promotional spending to support our products appropriately;</w:t>
      </w:r>
    </w:p>
    <w:p>
      <w:pPr>
        <w:spacing w:after="0" w:line="164" w:lineRule="exact"/>
        <w:rPr>
          <w:rFonts w:ascii="Arial" w:cs="Arial" w:eastAsia="Arial" w:hAnsi="Arial"/>
          <w:sz w:val="18"/>
          <w:szCs w:val="18"/>
          <w:color w:val="auto"/>
        </w:rPr>
      </w:pPr>
    </w:p>
    <w:p>
      <w:pPr>
        <w:ind w:left="640" w:right="20" w:hanging="316"/>
        <w:spacing w:after="0" w:line="29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associated with our sales force; our management of accounts receivable, inventory, accounts payable and other working capital accounts;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foreign currency exchange fluctuations on our cash balances;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7"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23"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64" w:lineRule="exact"/>
        <w:rPr>
          <w:rFonts w:ascii="Arial" w:cs="Arial" w:eastAsia="Arial" w:hAnsi="Arial"/>
          <w:sz w:val="18"/>
          <w:szCs w:val="18"/>
          <w:color w:val="auto"/>
        </w:rPr>
      </w:pPr>
    </w:p>
    <w:p>
      <w:pPr>
        <w:ind w:left="640" w:right="460" w:hanging="316"/>
        <w:spacing w:after="0" w:line="290"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access and employ the cash that collateralizes our outstanding and future letters of credit may impact our liquidity.</w:t>
      </w:r>
    </w:p>
    <w:p>
      <w:pPr>
        <w:spacing w:after="0" w:line="176" w:lineRule="exact"/>
        <w:rPr>
          <w:sz w:val="20"/>
          <w:szCs w:val="20"/>
          <w:color w:val="auto"/>
        </w:rPr>
      </w:pPr>
    </w:p>
    <w:p>
      <w:pPr>
        <w:ind w:right="100" w:firstLine="318"/>
        <w:spacing w:after="0" w:line="265" w:lineRule="auto"/>
        <w:rPr>
          <w:sz w:val="20"/>
          <w:szCs w:val="20"/>
          <w:color w:val="auto"/>
        </w:rPr>
      </w:pPr>
      <w:r>
        <w:rPr>
          <w:rFonts w:ascii="Arial" w:cs="Arial" w:eastAsia="Arial" w:hAnsi="Arial"/>
          <w:sz w:val="18"/>
          <w:szCs w:val="18"/>
          <w:color w:val="auto"/>
        </w:rPr>
        <w:t>As of December 31, 2023, we had $ 15.4 million in restricted cash, which was comprised of $12.6 million to secure the letter of credit to support the development and leasing of our Campus Headquarters and $2.8 million to secure a letter of credit associated with a new co-manufacturer in Europe. Our inability to access and employ the cash that collateralizes our outstanding and future letters of credit may impact our liquidity and could have an adverse impact on our business,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4" w:name="page55"/>
    <w:bookmarkEnd w:id="54"/>
    <w:p>
      <w:pPr>
        <w:spacing w:after="0" w:line="114"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could adversely affect our current and projected business operations, our financial condition and results of operations.</w:t>
      </w:r>
    </w:p>
    <w:p>
      <w:pPr>
        <w:spacing w:after="0" w:line="90"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On March 10, 2023, it was announced that Silicon Valley Bank (“SVB”) was unable to continue their operations and that the Federal Deposit Insurance Corporation was appointed as receiver for SVB. Although we did not have a material amount of funds in SVB or other institutions that have since closed, we cannot guarantee that the banks or other financial institutions that hold our funds will not experience similar issues. If failures in financial institutions occur where we hold deposits, we could experience additional risk and any such loss or limitation on our cash and cash equivalents would adversely affect our business.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terms favorable to us, or at all, and could have material adverse impacts on our liquidity, our business, financial condition or results of operations, and our prospects. Our business may be adversely impacted by these developments in ways that we cannot predict at this time, there may be additional risks that we have not yet identified, and we cannot guarantee that we will be able to avoid negative consequences directly or indirectly from any failure of one or more banks or other financial institutions.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Environment, Climate and Weather</w:t>
      </w:r>
    </w:p>
    <w:p>
      <w:pPr>
        <w:spacing w:after="0" w:line="219" w:lineRule="exact"/>
        <w:rPr>
          <w:sz w:val="20"/>
          <w:szCs w:val="20"/>
          <w:color w:val="auto"/>
        </w:rPr>
      </w:pPr>
    </w:p>
    <w:p>
      <w:pPr>
        <w:ind w:right="560"/>
        <w:spacing w:after="0" w:line="286" w:lineRule="auto"/>
        <w:rPr>
          <w:sz w:val="20"/>
          <w:szCs w:val="20"/>
          <w:color w:val="auto"/>
        </w:rPr>
      </w:pPr>
      <w:r>
        <w:rPr>
          <w:rFonts w:ascii="Arial" w:cs="Arial" w:eastAsia="Arial" w:hAnsi="Arial"/>
          <w:sz w:val="18"/>
          <w:szCs w:val="18"/>
          <w:b w:val="1"/>
          <w:bCs w:val="1"/>
          <w:i w:val="1"/>
          <w:iCs w:val="1"/>
          <w:color w:val="auto"/>
        </w:rPr>
        <w:t>A major earthquake, tsunami, tornado, wildfire, flood, drought or other natural disaster or severe weather event could seriously disrupt our entire business.</w:t>
      </w:r>
    </w:p>
    <w:p>
      <w:pPr>
        <w:spacing w:after="0" w:line="9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have offices, internal manufacturing and co-manufacturing facilities located in the United States and internationally. The impact of a major earthquake, tsunami, tornado, flood, wildfire, drought or other natural disaster or severe weather event at any of these facilities on our overall operations is difficult to predict, but such a natural disaster or severe weather event could seriously disrupt our entire business and lead to substantial losses, which may not be covered by insurance. Additionally, to the extent such events become more frequent or intense, such as a result of climate change, it may adversely impact the cost or availability of such insurance.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Increasing concentrations of greenhouse gases in the atmosphere have generally been concluded to lead to increased ambient global temperatures, as well as changes in weather patterns and the frequency and severity of extreme weather and natural disasters. Adverse climate conditions, weather patterns and the impact of such conditions and patterns such as drought, flood, wildfires, mudslides and rising ambient temperatures adversely impact product cultivation conditions for farmers and agricultural productivity, including by disrupting ecosystems and severely altering the growing conditions, nutrient levels, soil moisture and water availability necessary for the growth and cultivation of crops, which would adversely affect the product quality, availability or cost of certain commodities that are necessary for our products, such as yellow peas, mung beans, sunflowers, rice, faba bean, avocado oil, canola oil and coconut oil. Water is a key ingredient in our products. Due to climate-related events, we may also be subjected to decreased availability of water, deteriorated quality of water or less favorable pricing for water, which could adversely impact our manufacturing and distribution operations. These and other changes to the physical environment may adversely impact our operations or those of the suppliers on whom we rely.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9" w:lineRule="exact"/>
        <w:rPr>
          <w:sz w:val="20"/>
          <w:szCs w:val="20"/>
          <w:color w:val="auto"/>
        </w:rPr>
      </w:pPr>
    </w:p>
    <w:p>
      <w:pPr>
        <w:ind w:right="180"/>
        <w:spacing w:after="0" w:line="317"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763905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14" w:lineRule="exact"/>
        <w:rPr>
          <w:sz w:val="20"/>
          <w:szCs w:val="20"/>
          <w:color w:val="auto"/>
        </w:rPr>
      </w:pPr>
    </w:p>
    <w:p>
      <w:pPr>
        <w:ind w:right="320" w:firstLine="318"/>
        <w:spacing w:after="0" w:line="265"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continue to upgrade our information technology systems and implement additional financial and management controls, reporting systems and procedures in order to keep up with the requirements of being a reporting company under the Exchange Act.</w:t>
      </w:r>
    </w:p>
    <w:p>
      <w:pPr>
        <w:spacing w:after="0" w:line="133"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As a public company, we are required to document and test our internal control over financial reporting pursuant to Section 404 of the Sarbanes-Oxley Act so that our management can certify as to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and will continue to expend significant resources in developing the necessary documentation and testing procedures required by Section 404. We cannot be certain that the actions we have and will continue to take to improve our internal controls over financial reporting will be sufficient.</w:t>
      </w:r>
    </w:p>
    <w:p>
      <w:pPr>
        <w:spacing w:after="0" w:line="139"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219" w:lineRule="exact"/>
        <w:rPr>
          <w:sz w:val="20"/>
          <w:szCs w:val="20"/>
          <w:color w:val="auto"/>
        </w:rPr>
      </w:pPr>
    </w:p>
    <w:p>
      <w:pPr>
        <w:ind w:right="460"/>
        <w:spacing w:after="0" w:line="286"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other foreign, federal, state and local regulation, and there is no assurance that we will be in compliance with all regulations.</w:t>
      </w:r>
    </w:p>
    <w:p>
      <w:pPr>
        <w:spacing w:after="0" w:line="90" w:lineRule="exact"/>
        <w:rPr>
          <w:sz w:val="20"/>
          <w:szCs w:val="20"/>
          <w:color w:val="auto"/>
        </w:rPr>
      </w:pPr>
    </w:p>
    <w:p>
      <w:pPr>
        <w:jc w:val="both"/>
        <w:ind w:right="620" w:firstLine="318"/>
        <w:spacing w:after="0" w:line="267" w:lineRule="auto"/>
        <w:rPr>
          <w:sz w:val="20"/>
          <w:szCs w:val="20"/>
          <w:color w:val="auto"/>
        </w:rPr>
      </w:pPr>
      <w:r>
        <w:rPr>
          <w:rFonts w:ascii="Arial" w:cs="Arial" w:eastAsia="Arial" w:hAnsi="Arial"/>
          <w:sz w:val="18"/>
          <w:szCs w:val="18"/>
          <w:color w:val="auto"/>
        </w:rPr>
        <w:t>Our operations are subject to extensive regulation by the FDA, and other foreign, federal, state and local authorities. Specifically, for products manufactured or sold in the United States we are subject to the requirements of the Federal Food, Drug and Cosmetic Act and regulations promulgated thereunder by the FDA.</w:t>
      </w:r>
    </w:p>
    <w:p>
      <w:pPr>
        <w:spacing w:after="0" w:line="13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(“cGMPs”), and supplier verification requirements. Comparable regulations apply in foreign jurisdictions such as the European Union, the United Kingdom and China. Our processing and manufacturing facilities, including those of our co-manufacturers, are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798195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1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w:t>
      </w:r>
    </w:p>
    <w:p>
      <w:pPr>
        <w:spacing w:after="0" w:line="110"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 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or prohibitions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regulations that could adversely affect our business and results of operations.</w:t>
      </w:r>
    </w:p>
    <w:p>
      <w:pPr>
        <w:spacing w:after="0" w:line="164"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advertising and/or composition of any of our products is not in compliance with foreign law or regulations, or if we or our co-manufacturers otherwise fail to comply with applicable laws and regulations in foreign jurisdictions where we operate and market products, we could be subject to civil remedies or penalties, such as fines, injunctions, recalls or seizures, warning letters, restrictions on the marketing or manufacturing of the products, or refusals to permit the import or export of products, as well as potential criminal sanctions. In places like Mainland China, government inquiries into product labeling and advertising can be prompted by random inspections of our product on the market by local government authorities or complaints by consumers or competitors to the authorities. The consequences of a labeling or advertising violation in China can lead not only to fines from administrative authorities but also to multiple individual consumer lawsuits for nominal damages in the hundreds of dollars each, which can be costly to defend.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For example, China has recently introduced new regulations on food manufacturing and it may introduce new Food Labeling Supervision Measures that could increase restrictions and require changes to our labels. In addition, with our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(the “USDA”), state regulators or similar foreign regulatory authorities that relate to the use of the word “meat” or other similar words in connection with plant-based meat products could adversely affect our business, prospects, results of operations or financial condition.</w:t>
      </w:r>
    </w:p>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meat products as false or misleading or likely to create an erroneous impression regarding their composition.</w:t>
      </w:r>
    </w:p>
    <w:p>
      <w:pPr>
        <w:spacing w:after="0" w:line="140" w:lineRule="exact"/>
        <w:rPr>
          <w:sz w:val="20"/>
          <w:szCs w:val="20"/>
          <w:color w:val="auto"/>
        </w:rPr>
      </w:pPr>
    </w:p>
    <w:p>
      <w:pPr>
        <w:ind w:right="40" w:firstLine="318"/>
        <w:spacing w:after="0" w:line="258"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and Wyoming, have subsequently passed similar laws, and legislation that would impose specific requirements on the naming of plant-based meat products is currently pending in a number of other states, including Arizona. The United States Congress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on our product labels. Further, the FDA has announced that it is developing guidance on naming plant-based meat alternatives that could impact our naming expectations. Canadian Food and Drug Regulations also provide requirements for “simulated meat” products, including requirements around composition and naming.</w:t>
      </w:r>
    </w:p>
    <w:p>
      <w:pPr>
        <w:spacing w:after="0" w:line="126" w:lineRule="exact"/>
        <w:rPr>
          <w:sz w:val="20"/>
          <w:szCs w:val="20"/>
          <w:color w:val="auto"/>
        </w:rPr>
      </w:pPr>
    </w:p>
    <w:p>
      <w:pPr>
        <w:ind w:right="40" w:firstLine="318"/>
        <w:spacing w:after="0" w:line="274" w:lineRule="auto"/>
        <w:rPr>
          <w:sz w:val="20"/>
          <w:szCs w:val="20"/>
          <w:color w:val="auto"/>
        </w:rPr>
      </w:pPr>
      <w:r>
        <w:rPr>
          <w:rFonts w:ascii="Arial" w:cs="Arial" w:eastAsia="Arial" w:hAnsi="Arial"/>
          <w:sz w:val="17"/>
          <w:szCs w:val="17"/>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and the Contested Decree went into effect in 2022. We do not believe that the Contested Decree complied with the laws of the EU, in particular the principle of free movement of goods. In July 2022, at the request of a trade association, the French High Administrative Court partially suspended the execution of the Contested Decree, which we believe signals that there are indeed serious doubts as to the lawfulness of the Contested Decree, though the suspension is only partial and temporary until the Court rules on the merits of the case. The Company filed an application for annulment against the Contested Decree and intervened in favor of the trade association in their pending case against the Contested Decree. Several plant-based companies filed voluntary intervention in support of the Company’s case on April 20, 2023. On July 12, 2023, the French High Administrative Court decided to refer the case to the Court of Justice of the European Union ("CJEU"). The CJEU is asked to decide on the lawfulness of the Contested Decree banning “meaty” names for plant-based protein under EU law. The procedure before the CJEU started on August 22, 2023, and the Company filed its submission on October 31, 2023. On January 15, 2024, the CJEU closed the written procedure. The period to request an oral hearing closed on February 5, 2024, and the CJEU must now decide whether an oral hearing is necessary in these proceedings. However, the procedure has now lost object, as France repealed the Contested Decree and adopted the New Decree on February 26, 2024. The New Decree essentially maintains the ban on all meaty names for plant-based protein. The judgment of the CJEU would have been determinative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795655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to whether the Contested Decree’s ban on meat names for plant-based foods was lawful, or not, under EU law. Should the CJEU have decided that the ban of the Contested Decree violated EU law, the Company would have been able to continue to market in France as-is. However, a decision from the CJEU confirming the lawfulness of the Decree under EU law would have impacted the Company’s operations in France, and would have also triggered similar prohibitions in other EU countries, which could have significantly disrupted the Company’s operations.</w:t>
      </w:r>
    </w:p>
    <w:p>
      <w:pPr>
        <w:spacing w:after="0" w:line="120" w:lineRule="exact"/>
        <w:rPr>
          <w:sz w:val="20"/>
          <w:szCs w:val="20"/>
          <w:color w:val="auto"/>
        </w:rPr>
      </w:pPr>
    </w:p>
    <w:p>
      <w:pPr>
        <w:ind w:firstLine="318"/>
        <w:spacing w:after="0" w:line="263" w:lineRule="auto"/>
        <w:rPr>
          <w:sz w:val="20"/>
          <w:szCs w:val="20"/>
          <w:color w:val="auto"/>
        </w:rPr>
      </w:pPr>
      <w:r>
        <w:rPr>
          <w:rFonts w:ascii="Arial" w:cs="Arial" w:eastAsia="Arial" w:hAnsi="Arial"/>
          <w:sz w:val="18"/>
          <w:szCs w:val="18"/>
          <w:color w:val="auto"/>
        </w:rPr>
        <w:t>The New Decree has removed some of the Contested Decree’s most open-ended language, but essentially maintains the prohibition on meaty names for plant-based proteins. The New Decree was subject to administrative review procedure by the European Commission (the EU’s executive body) and the EU member states other than France. The Company supported plant-based protein trade associations against the New Decree. Adoption of the New Decree and repeal of the Contested Decree have made the current proceedings before the CJEU and the pending proceedings before the French High Administrative Court without object. Thus, the Company or the plant-based protein trade associations may need to initiate new proceedings before the French High Administrative Court and the CJEU against the New Decree.</w:t>
      </w:r>
    </w:p>
    <w:p>
      <w:pPr>
        <w:spacing w:after="0" w:line="123"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France has been the first EU member state to adopt such a law. On December 16, 2023, an Italian law prohibiting names to indicate foodstuffs of animal origin to describe, market or promote foodstuffs containing vegetable proteins (“Italian Law”) entered into force. The Italian Law requires the Ministry of Agriculture to adopt a decree with the names that may not be used to describe plant-based products by February 16, 2024. Separately, on December 5, 2023, Poland published a draft decree banning the use of meaty names to designate plant-based products. Should other EU member state regulatory authorities take action with respect to the use of the term “meat” or similar claims,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income tax rates or changes in income tax laws could have a material adverse impact on our financial results.</w:t>
      </w:r>
    </w:p>
    <w:p>
      <w:pPr>
        <w:spacing w:after="0" w:line="164"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Increases in income tax rates or other changes in tax laws, including changes in how existing tax laws are interpreted or enforced, could adversely affect our financial performance. The increasingly complex global tax environment has in the past and could continue to increase tax uncertainty, resulting in higher compliance 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may make resolving tax disputes more difficult and the final resolution of tax audits and any related litigation can differ from our historical provisions and accruals, resulting in an adverse effect on our financial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64"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 xml:space="preserve">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information regarding pending legal proceedings, please see </w:t>
      </w:r>
      <w:r>
        <w:rPr>
          <w:rFonts w:ascii="Arial" w:cs="Arial" w:eastAsia="Arial" w:hAnsi="Arial"/>
          <w:sz w:val="18"/>
          <w:szCs w:val="18"/>
          <w:u w:val="single" w:color="auto"/>
          <w:color w:val="0000FF"/>
        </w:rPr>
        <w:t>Part I, Item 3</w:t>
      </w:r>
      <w:r>
        <w:rPr>
          <w:rFonts w:ascii="Arial" w:cs="Arial" w:eastAsia="Arial" w:hAnsi="Arial"/>
          <w:sz w:val="18"/>
          <w:szCs w:val="18"/>
          <w:color w:val="auto"/>
        </w:rPr>
        <w:t xml:space="preserv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139" w:lineRule="exact"/>
        <w:rPr>
          <w:sz w:val="20"/>
          <w:szCs w:val="20"/>
          <w:color w:val="auto"/>
        </w:rPr>
      </w:pPr>
    </w:p>
    <w:p>
      <w:pPr>
        <w:ind w:right="320" w:firstLine="318"/>
        <w:spacing w:after="0" w:line="290"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1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33"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64" w:lineRule="exact"/>
        <w:rPr>
          <w:sz w:val="20"/>
          <w:szCs w:val="20"/>
          <w:color w:val="auto"/>
        </w:rPr>
      </w:pPr>
    </w:p>
    <w:p>
      <w:pPr>
        <w:ind w:right="280" w:firstLine="318"/>
        <w:spacing w:after="0" w:line="290" w:lineRule="auto"/>
        <w:rPr>
          <w:sz w:val="20"/>
          <w:szCs w:val="20"/>
          <w:color w:val="auto"/>
        </w:rPr>
      </w:pPr>
      <w:r>
        <w:rPr>
          <w:rFonts w:ascii="Arial" w:cs="Arial" w:eastAsia="Arial" w:hAnsi="Arial"/>
          <w:sz w:val="18"/>
          <w:szCs w:val="18"/>
          <w:color w:val="auto"/>
        </w:rPr>
        <w:t>The market price of our common stock has been and is likely to continue to be highly volatile and could be subject to wide fluctuations in response to many factors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including:</w:t>
      </w:r>
    </w:p>
    <w:p>
      <w:pPr>
        <w:spacing w:after="0" w:line="96" w:lineRule="exact"/>
        <w:rPr>
          <w:sz w:val="20"/>
          <w:szCs w:val="20"/>
          <w:color w:val="auto"/>
        </w:rPr>
      </w:pPr>
    </w:p>
    <w:p>
      <w:pPr>
        <w:ind w:left="640" w:right="280" w:hanging="316"/>
        <w:spacing w:after="0" w:line="29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market and political conditions, including the impact of inflation and higher interest rates across the economy and negative effects on consumer confidence and spending levels;</w:t>
      </w:r>
    </w:p>
    <w:p>
      <w:pPr>
        <w:spacing w:after="0" w:line="109" w:lineRule="exact"/>
        <w:rPr>
          <w:rFonts w:ascii="Arial" w:cs="Arial" w:eastAsia="Arial" w:hAnsi="Arial"/>
          <w:sz w:val="18"/>
          <w:szCs w:val="18"/>
          <w:color w:val="auto"/>
        </w:rPr>
      </w:pPr>
    </w:p>
    <w:p>
      <w:pPr>
        <w:ind w:left="640" w:right="340" w:hanging="316"/>
        <w:spacing w:after="0" w:line="27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continued decrease in demand, and the underlying factors negatively impacting demand, in the plant-based meat category, which may continue to impact demand for our products;</w:t>
      </w:r>
    </w:p>
    <w:p>
      <w:pPr>
        <w:spacing w:after="0" w:line="123" w:lineRule="exact"/>
        <w:rPr>
          <w:rFonts w:ascii="Arial" w:cs="Arial" w:eastAsia="Arial" w:hAnsi="Arial"/>
          <w:sz w:val="18"/>
          <w:szCs w:val="18"/>
          <w:color w:val="auto"/>
        </w:rPr>
      </w:pPr>
    </w:p>
    <w:p>
      <w:pPr>
        <w:ind w:left="640" w:right="520" w:hanging="316"/>
        <w:spacing w:after="0" w:line="29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by competitors or new market entrants of their entry into or exit from the plant-based meat market;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or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effectively manage our cost-reduction initiatives and market expectations with respect to our cost-reduction initiatives;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speculation regarding public customer announcements or geographic expansion;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834390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14" w:lineRule="exact"/>
        <w:rPr>
          <w:sz w:val="20"/>
          <w:szCs w:val="20"/>
          <w:color w:val="auto"/>
        </w:rPr>
      </w:pPr>
    </w:p>
    <w:p>
      <w:pPr>
        <w:ind w:left="640" w:right="400" w:hanging="316"/>
        <w:spacing w:after="0" w:line="290"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7"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 as well as our ability to comply with covenants under our credit agreement;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equity or debt;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short-selling of our common stock;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media or marketing campaigns undertaken by our competitors or lobbyists supporting the meat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public’s response to publicity relating to the health aspects or nutritional value of our products;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COVID-19 and any other pandemic, epidemic or other public health crisis;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77"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international currency fluctuations, or the effects of disease outbreaks or pandemics (such as COVID-19), may negatively impact the market price of our common stock. In the past, companies that have experienced volatility in the market price of their stock have been subject to securities class action litigation. For example, we are currently subject to a securities case filed against us alleging federal securities law violations with respect to past disclosure. We are also currently subject to multiple shareholder derivative lawsuits related, in part, to the securities case.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808990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issuances of our common stock in the public market could cause our share price to fall.</w:t>
      </w:r>
    </w:p>
    <w:p>
      <w:pPr>
        <w:spacing w:after="0" w:line="164" w:lineRule="exact"/>
        <w:rPr>
          <w:sz w:val="20"/>
          <w:szCs w:val="20"/>
          <w:color w:val="auto"/>
        </w:rPr>
      </w:pPr>
    </w:p>
    <w:p>
      <w:pPr>
        <w:ind w:right="180" w:firstLine="318"/>
        <w:spacing w:after="0" w:line="290"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For example, we may sell additional shares of common stock in public or private offerings, or pursuant to the ATM Program, and may also sell securities convertible into common stock. In addition, 8,234,230 shares of our common stock are reserved for potential issuance upon the conversion of our Notes.</w:t>
      </w:r>
    </w:p>
    <w:p>
      <w:pPr>
        <w:spacing w:after="0" w:line="113"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Sales of our common stock, by us or otherwise, or the perception in the market that the holders of a large number of shares of our common stock intend to sell shares, could reduce the market price of our common stock. We cannot predict the size of future sales or issuances of our common stock or securities convertible into our common stock or the effect, if any, that any such future sales or issuances will have on the market price of our common stock.</w:t>
      </w:r>
    </w:p>
    <w:p>
      <w:pPr>
        <w:spacing w:after="0" w:line="133" w:lineRule="exact"/>
        <w:rPr>
          <w:sz w:val="20"/>
          <w:szCs w:val="20"/>
          <w:color w:val="auto"/>
        </w:rPr>
      </w:pPr>
    </w:p>
    <w:p>
      <w:pPr>
        <w:ind w:right="400"/>
        <w:spacing w:after="0" w:line="286"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publish unfavorable research about our business, our share price and trading volume could decline.</w:t>
      </w:r>
    </w:p>
    <w:p>
      <w:pPr>
        <w:spacing w:after="0" w:line="90"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securities analysts publish about us or our business. If one or more of the analysts who cover us ceases coverage of our company or fails to publish reports on us regularly, we could lose visibility in the financial markets, which in turn could cause our share price or trading volume to decline. Moreover, if any of the analysts who cover us downgrade our stock or issue an adverse or misleading opinion regarding us, our business model or our stock performance, or if our operating results fail to meet the expectations of the investor community, our share price could decline.</w:t>
      </w:r>
    </w:p>
    <w:p>
      <w:pPr>
        <w:spacing w:after="0" w:line="138" w:lineRule="exact"/>
        <w:rPr>
          <w:sz w:val="20"/>
          <w:szCs w:val="20"/>
          <w:color w:val="auto"/>
        </w:rPr>
      </w:pPr>
    </w:p>
    <w:p>
      <w:pPr>
        <w:ind w:right="240"/>
        <w:spacing w:after="0" w:line="317"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6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133"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90" w:lineRule="exact"/>
        <w:rPr>
          <w:sz w:val="20"/>
          <w:szCs w:val="20"/>
          <w:color w:val="auto"/>
        </w:rPr>
      </w:pPr>
    </w:p>
    <w:p>
      <w:pPr>
        <w:jc w:val="both"/>
        <w:ind w:right="220" w:firstLine="318"/>
        <w:spacing w:after="0" w:line="267" w:lineRule="auto"/>
        <w:rPr>
          <w:sz w:val="20"/>
          <w:szCs w:val="20"/>
          <w:color w:val="auto"/>
        </w:rPr>
      </w:pPr>
      <w:r>
        <w:rPr>
          <w:rFonts w:ascii="Arial" w:cs="Arial" w:eastAsia="Arial" w:hAnsi="Arial"/>
          <w:sz w:val="18"/>
          <w:szCs w:val="18"/>
          <w:color w:val="auto"/>
        </w:rPr>
        <w:t>Our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17"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7" w:lineRule="exact"/>
        <w:rPr>
          <w:rFonts w:ascii="Arial" w:cs="Arial" w:eastAsia="Arial" w:hAnsi="Arial"/>
          <w:sz w:val="18"/>
          <w:szCs w:val="18"/>
          <w:color w:val="auto"/>
        </w:rPr>
      </w:pPr>
    </w:p>
    <w:p>
      <w:pPr>
        <w:ind w:left="640" w:right="300" w:hanging="316"/>
        <w:spacing w:after="0" w:line="29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7" w:lineRule="exact"/>
        <w:rPr>
          <w:rFonts w:ascii="Arial" w:cs="Arial" w:eastAsia="Arial" w:hAnsi="Arial"/>
          <w:sz w:val="18"/>
          <w:szCs w:val="18"/>
          <w:color w:val="auto"/>
        </w:rPr>
      </w:pPr>
    </w:p>
    <w:p>
      <w:pPr>
        <w:ind w:left="640" w:right="300" w:hanging="316"/>
        <w:spacing w:after="0" w:line="29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96" w:lineRule="exact"/>
        <w:rPr>
          <w:rFonts w:ascii="Arial" w:cs="Arial" w:eastAsia="Arial" w:hAnsi="Arial"/>
          <w:sz w:val="18"/>
          <w:szCs w:val="18"/>
          <w:color w:val="auto"/>
        </w:rPr>
      </w:pPr>
    </w:p>
    <w:p>
      <w:pPr>
        <w:ind w:left="640" w:hanging="316"/>
        <w:spacing w:after="0" w:line="27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restated certificate of incorporation regarding the election and removal of directors without the required approval of at least 66.67% of the shares entitled to vote at an election of directors;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834390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14"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77"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including without limitation, compliance with the requirements of Rule 14a-19 under the Exchange Act, as applicable.</w:t>
      </w:r>
    </w:p>
    <w:p>
      <w:pPr>
        <w:spacing w:after="0" w:line="12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20" w:lineRule="exact"/>
        <w:rPr>
          <w:sz w:val="20"/>
          <w:szCs w:val="20"/>
          <w:color w:val="auto"/>
        </w:rPr>
      </w:pPr>
    </w:p>
    <w:p>
      <w:pPr>
        <w:ind w:right="60" w:firstLine="318"/>
        <w:spacing w:after="0" w:line="275" w:lineRule="auto"/>
        <w:rPr>
          <w:sz w:val="20"/>
          <w:szCs w:val="20"/>
          <w:color w:val="auto"/>
        </w:rPr>
      </w:pPr>
      <w:r>
        <w:rPr>
          <w:rFonts w:ascii="Arial" w:cs="Arial" w:eastAsia="Arial" w:hAnsi="Arial"/>
          <w:sz w:val="18"/>
          <w:szCs w:val="18"/>
          <w:color w:val="auto"/>
        </w:rPr>
        <w:t>These and other provisions in our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10" w:lineRule="exact"/>
        <w:rPr>
          <w:sz w:val="20"/>
          <w:szCs w:val="20"/>
          <w:color w:val="auto"/>
        </w:rPr>
      </w:pPr>
    </w:p>
    <w:p>
      <w:pPr>
        <w:ind w:right="280" w:firstLine="318"/>
        <w:spacing w:after="0" w:line="275" w:lineRule="auto"/>
        <w:rPr>
          <w:sz w:val="20"/>
          <w:szCs w:val="20"/>
          <w:color w:val="auto"/>
        </w:rPr>
      </w:pPr>
      <w:r>
        <w:rPr>
          <w:rFonts w:ascii="Arial" w:cs="Arial" w:eastAsia="Arial" w:hAnsi="Arial"/>
          <w:sz w:val="18"/>
          <w:szCs w:val="18"/>
          <w:color w:val="auto"/>
        </w:rPr>
        <w:t>Our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restated certificate of incorporation provides that the Court of Chancery of the State of Delaware is the exclusive forum for:</w:t>
      </w:r>
    </w:p>
    <w:p>
      <w:pPr>
        <w:spacing w:after="0" w:line="17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7"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to us or our stockholders;</w:t>
      </w:r>
    </w:p>
    <w:p>
      <w:pPr>
        <w:spacing w:after="0" w:line="123" w:lineRule="exact"/>
        <w:rPr>
          <w:rFonts w:ascii="Arial" w:cs="Arial" w:eastAsia="Arial" w:hAnsi="Arial"/>
          <w:sz w:val="18"/>
          <w:szCs w:val="18"/>
          <w:color w:val="auto"/>
        </w:rPr>
      </w:pPr>
    </w:p>
    <w:p>
      <w:pPr>
        <w:ind w:left="640" w:right="280" w:hanging="316"/>
        <w:spacing w:after="0" w:line="27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restated certificate of incorporation, or our amended and restated bylaws;</w:t>
      </w:r>
    </w:p>
    <w:p>
      <w:pPr>
        <w:spacing w:after="0" w:line="123" w:lineRule="exact"/>
        <w:rPr>
          <w:rFonts w:ascii="Arial" w:cs="Arial" w:eastAsia="Arial" w:hAnsi="Arial"/>
          <w:sz w:val="18"/>
          <w:szCs w:val="18"/>
          <w:color w:val="auto"/>
        </w:rPr>
      </w:pPr>
    </w:p>
    <w:p>
      <w:pPr>
        <w:ind w:left="640" w:right="200" w:hanging="316"/>
        <w:spacing w:after="0" w:line="290"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restated certificate of incorporation or our amended and restated bylaws; and</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7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with our amended and restated bylaws providing that stockholders will have been deemed to consent to the personal jurisdiction of the state and federal courts in the State of Delaware for such actions. In addition, our restated certificate of incorporation provides that with respect to any derivative action or proceeding brought on our behalf to enforce any liability or duty created by the Exchange Act or the rules and regulations thereunder, the exclusive forum will be the federal district courts of the United States of America. Our restated certificate of incorporation further provides that the federal district courts of the United States of America will be the exclusive forum for resolving any complaint asserting a cause of action arising under the Securities Act.</w:t>
      </w:r>
    </w:p>
    <w:p>
      <w:pPr>
        <w:spacing w:after="0" w:line="139" w:lineRule="exact"/>
        <w:rPr>
          <w:sz w:val="20"/>
          <w:szCs w:val="20"/>
          <w:color w:val="auto"/>
        </w:rPr>
      </w:pPr>
    </w:p>
    <w:p>
      <w:pPr>
        <w:ind w:right="160" w:firstLine="318"/>
        <w:spacing w:after="0" w:line="321"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73" w:lineRule="exact"/>
        <w:rPr>
          <w:sz w:val="20"/>
          <w:szCs w:val="20"/>
          <w:color w:val="auto"/>
        </w:rPr>
      </w:pPr>
    </w:p>
    <w:p>
      <w:pPr>
        <w:ind w:right="460"/>
        <w:spacing w:after="0" w:line="286"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(the “Code”).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2023, the Company has accumulated federal, state and foreign net operating loss carryforwards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$983.6 million, $413.3 million and $104.0 million, respectively. Approximately $891.9 million of the federal net operating losses and $63.4 million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of the state net operating losses do not expire and the remaining federal, state and foreign tax loss carryforwards begin to expire in 2031, 2031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824230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4"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2025 respectively, unless previously utilized. Utilization of the Company’s net operating loss and tax credit carryforwards may be subject to a substantial annual limitation due to the ownership change limitations provided by the Code and similar state provisions.</w:t>
      </w:r>
    </w:p>
    <w:p>
      <w:pPr>
        <w:spacing w:after="0" w:line="96"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We have experienced several ownership changes none of which is expected to result in a material limitation on the future use of our net operating loss and credit carryforwards generated prior to these ownership changes. However, any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 We are currently analyzing whether and to what extent we have experienced an ownership change pursuant to Section 382; and to the extent such change occurred, the impact to the availability of our tax attributes.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232"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We have developed and implemented a cybersecurity risk management program led by the Company’s Vice President, IT, that is designed to protect the confidentiality, integrity, and availability of the Company’s data and systems. Our cybersecurity risk management program includes a cybersecurity incident response plan.</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(NIST CSF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2.0). This does not imply that we meet any particular technical standards, specifications, or requirements, only that we use the NIST CSF 2.0 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 guide to help us identify, assess, and manage cybersecurity risks relevant to our business.</w:t>
      </w:r>
    </w:p>
    <w:p>
      <w:pPr>
        <w:spacing w:after="0" w:line="157" w:lineRule="exact"/>
        <w:rPr>
          <w:sz w:val="20"/>
          <w:szCs w:val="20"/>
          <w:color w:val="auto"/>
        </w:rPr>
      </w:pPr>
    </w:p>
    <w:p>
      <w:pPr>
        <w:jc w:val="both"/>
        <w:ind w:right="540" w:firstLine="318"/>
        <w:spacing w:after="0" w:line="275"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cybersecurity risk management program includes:</w:t>
      </w:r>
    </w:p>
    <w:p>
      <w:pPr>
        <w:spacing w:after="0" w:line="177" w:lineRule="exact"/>
        <w:rPr>
          <w:sz w:val="20"/>
          <w:szCs w:val="20"/>
          <w:color w:val="auto"/>
        </w:rPr>
      </w:pPr>
    </w:p>
    <w:p>
      <w:pPr>
        <w:ind w:left="640" w:right="180" w:hanging="316"/>
        <w:spacing w:after="0" w:line="290"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risk assessment process designed to help identify material cybersecurity risks to our critical systems, information, services, and our broader enterprise IT environment;</w:t>
      </w:r>
    </w:p>
    <w:p>
      <w:pPr>
        <w:spacing w:after="0" w:line="96" w:lineRule="exact"/>
        <w:rPr>
          <w:rFonts w:ascii="Arial" w:cs="Arial" w:eastAsia="Arial" w:hAnsi="Arial"/>
          <w:sz w:val="18"/>
          <w:szCs w:val="18"/>
          <w:color w:val="auto"/>
        </w:rPr>
      </w:pPr>
    </w:p>
    <w:p>
      <w:pPr>
        <w:ind w:left="640" w:right="80" w:hanging="316"/>
        <w:spacing w:after="0" w:line="290"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and (3) our response to cybersecurity incidents;</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incident response personnel, and senior management;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third party risk management process for service providers, suppliers, and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As of the date of this filing,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additional information, see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Factors—Risks Related to Our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 Cybersecurity and Privacy—A cybersecurity incident, other technology disruptions or failure to comply with laws and regulations relating to privacy and the protection of data relating to individuals could negatively impact our business, our reputation and our relationships with customers.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1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board of directors considers cybersecurity risk as part of its risk oversight function and in February 2024, delegated to the risk committee of the board of directors (“Committee”) oversight of cybersecurity risks and incidents and any other risks and incidents relevant to the Company’s computerized information system controls and security. Prior to February 2024, the board of directors had delegated this oversight to the audit committee of the board of directors. The Committee oversees management’s implementation of our cybersecurity risk management program.</w:t>
      </w:r>
    </w:p>
    <w:p>
      <w:pPr>
        <w:spacing w:after="0" w:line="138" w:lineRule="exact"/>
        <w:rPr>
          <w:sz w:val="20"/>
          <w:szCs w:val="20"/>
          <w:color w:val="auto"/>
        </w:rPr>
      </w:pPr>
    </w:p>
    <w:p>
      <w:pPr>
        <w:ind w:right="60" w:firstLine="318"/>
        <w:spacing w:after="0" w:line="267" w:lineRule="auto"/>
        <w:rPr>
          <w:sz w:val="20"/>
          <w:szCs w:val="20"/>
          <w:color w:val="auto"/>
        </w:rPr>
      </w:pPr>
      <w:r>
        <w:rPr>
          <w:rFonts w:ascii="Arial" w:cs="Arial" w:eastAsia="Arial" w:hAnsi="Arial"/>
          <w:sz w:val="18"/>
          <w:szCs w:val="18"/>
          <w:color w:val="auto"/>
        </w:rPr>
        <w:t>The Committee receives annual reports from management on our cybersecurity risks. In addition, management updates the Committee, as necessary, regarding any material cybersecurity incidents, as well as any incidents with lesser impact potential. The Committee reports to the full board of directors regarding its activities.</w:t>
      </w:r>
    </w:p>
    <w:p>
      <w:pPr>
        <w:spacing w:after="0" w:line="131"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Our IT team, including our Vice President of IT, is responsible for assessing and managing our material risks from cybersecurity threats. The IT team has primary responsibility for our overall cybersecurity risk management program and supervises both our internal cybersecurity personnel and our retained external cybersecurity consultants. Members of our IT team have over 10+ years of experience in operations technology support across multiple industries. The team holds industry standard certifications, related to System, Security and Network Administration, and are required to complete security awareness training multiple times per year.</w:t>
      </w:r>
    </w:p>
    <w:p>
      <w:pPr>
        <w:spacing w:after="0" w:line="138" w:lineRule="exact"/>
        <w:rPr>
          <w:sz w:val="20"/>
          <w:szCs w:val="20"/>
          <w:color w:val="auto"/>
        </w:rPr>
      </w:pPr>
    </w:p>
    <w:p>
      <w:pPr>
        <w:jc w:val="both"/>
        <w:ind w:right="180" w:firstLine="318"/>
        <w:spacing w:after="0" w:line="290" w:lineRule="auto"/>
        <w:rPr>
          <w:sz w:val="20"/>
          <w:szCs w:val="20"/>
          <w:color w:val="auto"/>
        </w:rPr>
      </w:pPr>
      <w:r>
        <w:rPr>
          <w:rFonts w:ascii="Arial" w:cs="Arial" w:eastAsia="Arial" w:hAnsi="Arial"/>
          <w:sz w:val="17"/>
          <w:szCs w:val="17"/>
          <w:color w:val="auto"/>
        </w:rPr>
        <w:t>Our IT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principal facilities, which are leased except where otherwise indicated,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gridSpan w:val="2"/>
          </w:tcPr>
          <w:p>
            <w:pPr>
              <w:ind w:left="1560"/>
              <w:spacing w:after="0"/>
              <w:rPr>
                <w:sz w:val="20"/>
                <w:szCs w:val="20"/>
                <w:color w:val="auto"/>
              </w:rPr>
            </w:pPr>
            <w:r>
              <w:rPr>
                <w:rFonts w:ascii="Arial" w:cs="Arial" w:eastAsia="Arial" w:hAnsi="Arial"/>
                <w:sz w:val="16"/>
                <w:szCs w:val="16"/>
                <w:b w:val="1"/>
                <w:bCs w:val="1"/>
                <w:color w:val="auto"/>
              </w:rPr>
              <w:t>Primary Use</w:t>
            </w:r>
          </w:p>
        </w:tc>
        <w:tc>
          <w:tcPr>
            <w:tcW w:w="1920" w:type="dxa"/>
            <w:vAlign w:val="bottom"/>
            <w:gridSpan w:val="2"/>
          </w:tcPr>
          <w:p>
            <w:pPr>
              <w:ind w:left="580"/>
              <w:spacing w:after="0"/>
              <w:rPr>
                <w:sz w:val="20"/>
                <w:szCs w:val="20"/>
                <w:color w:val="auto"/>
              </w:rPr>
            </w:pPr>
            <w:r>
              <w:rPr>
                <w:rFonts w:ascii="Arial" w:cs="Arial" w:eastAsia="Arial" w:hAnsi="Arial"/>
                <w:sz w:val="16"/>
                <w:szCs w:val="16"/>
                <w:b w:val="1"/>
                <w:bCs w:val="1"/>
                <w:color w:val="auto"/>
              </w:rPr>
              <w:t>Location</w:t>
            </w:r>
          </w:p>
        </w:tc>
        <w:tc>
          <w:tcPr>
            <w:tcW w:w="21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Approximate Area (SF)</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8"/>
              </w:rPr>
              <w:t>Expiration of Lease</w:t>
            </w:r>
          </w:p>
        </w:tc>
      </w:tr>
      <w:tr>
        <w:trPr>
          <w:trHeight w:val="21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United States:</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r>
      <w:tr>
        <w:trPr>
          <w:trHeight w:val="172"/>
        </w:trPr>
        <w:tc>
          <w:tcPr>
            <w:tcW w:w="41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Production of woven protein and dry blend flavor</w:t>
            </w:r>
          </w:p>
        </w:tc>
        <w:tc>
          <w:tcPr>
            <w:tcW w:w="1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Columbia, MO</w:t>
            </w:r>
          </w:p>
        </w:tc>
        <w:tc>
          <w:tcPr>
            <w:tcW w:w="2080" w:type="dxa"/>
            <w:vAlign w:val="bottom"/>
          </w:tcPr>
          <w:p>
            <w:pPr>
              <w:jc w:val="right"/>
              <w:spacing w:after="0" w:line="172" w:lineRule="exact"/>
              <w:rPr>
                <w:sz w:val="20"/>
                <w:szCs w:val="20"/>
                <w:color w:val="auto"/>
              </w:rPr>
            </w:pPr>
            <w:r>
              <w:rPr>
                <w:rFonts w:ascii="Arial" w:cs="Arial" w:eastAsia="Arial" w:hAnsi="Arial"/>
                <w:sz w:val="18"/>
                <w:szCs w:val="18"/>
                <w:color w:val="auto"/>
              </w:rPr>
              <w:t>26,000</w:t>
            </w:r>
          </w:p>
        </w:tc>
        <w:tc>
          <w:tcPr>
            <w:tcW w:w="100" w:type="dxa"/>
            <w:vAlign w:val="bottom"/>
          </w:tcPr>
          <w:p>
            <w:pPr>
              <w:spacing w:after="0"/>
              <w:rPr>
                <w:sz w:val="14"/>
                <w:szCs w:val="14"/>
                <w:color w:val="auto"/>
              </w:rPr>
            </w:pPr>
          </w:p>
        </w:tc>
        <w:tc>
          <w:tcPr>
            <w:tcW w:w="2220" w:type="dxa"/>
            <w:vAlign w:val="bottom"/>
          </w:tcPr>
          <w:p>
            <w:pPr>
              <w:jc w:val="center"/>
              <w:spacing w:after="0" w:line="172" w:lineRule="exact"/>
              <w:rPr>
                <w:sz w:val="20"/>
                <w:szCs w:val="20"/>
                <w:color w:val="auto"/>
              </w:rPr>
            </w:pPr>
            <w:r>
              <w:rPr>
                <w:rFonts w:ascii="Arial" w:cs="Arial" w:eastAsia="Arial" w:hAnsi="Arial"/>
                <w:sz w:val="18"/>
                <w:szCs w:val="18"/>
                <w:color w:val="auto"/>
                <w:w w:val="97"/>
              </w:rPr>
              <w:t>6/30/2025</w:t>
            </w:r>
          </w:p>
        </w:tc>
      </w:tr>
      <w:tr>
        <w:trPr>
          <w:trHeight w:val="235"/>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176"/>
        </w:trPr>
        <w:tc>
          <w:tcPr>
            <w:tcW w:w="4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Production of woven protein and dry blend flavor</w:t>
            </w:r>
          </w:p>
        </w:tc>
        <w:tc>
          <w:tcPr>
            <w:tcW w:w="1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Columbia, MO</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64,000</w:t>
            </w: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7/31/2025</w:t>
            </w:r>
          </w:p>
        </w:tc>
      </w:tr>
      <w:tr>
        <w:trPr>
          <w:trHeight w:val="23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25"/>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Warehousing and dry blending</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Columbia, MO</w:t>
            </w:r>
          </w:p>
        </w:tc>
        <w:tc>
          <w:tcPr>
            <w:tcW w:w="2080" w:type="dxa"/>
            <w:vAlign w:val="bottom"/>
          </w:tcPr>
          <w:p>
            <w:pPr>
              <w:jc w:val="right"/>
              <w:spacing w:after="0"/>
              <w:rPr>
                <w:sz w:val="20"/>
                <w:szCs w:val="20"/>
                <w:color w:val="auto"/>
              </w:rPr>
            </w:pPr>
            <w:r>
              <w:rPr>
                <w:rFonts w:ascii="Arial" w:cs="Arial" w:eastAsia="Arial" w:hAnsi="Arial"/>
                <w:sz w:val="18"/>
                <w:szCs w:val="18"/>
                <w:color w:val="auto"/>
              </w:rPr>
              <w:t>142,000</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8"/>
              </w:rPr>
              <w:t>Owned</w:t>
            </w:r>
          </w:p>
        </w:tc>
      </w:tr>
      <w:tr>
        <w:trPr>
          <w:trHeight w:val="225"/>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of finished goods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Devault, PA</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Owned</w:t>
            </w:r>
          </w:p>
        </w:tc>
      </w:tr>
      <w:tr>
        <w:trPr>
          <w:trHeight w:val="172"/>
        </w:trPr>
        <w:tc>
          <w:tcPr>
            <w:tcW w:w="41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Corporate headquarters, lab and innovation</w:t>
            </w:r>
          </w:p>
        </w:tc>
        <w:tc>
          <w:tcPr>
            <w:tcW w:w="1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El Segundo, CA</w:t>
            </w:r>
          </w:p>
        </w:tc>
        <w:tc>
          <w:tcPr>
            <w:tcW w:w="2080" w:type="dxa"/>
            <w:vAlign w:val="bottom"/>
          </w:tcPr>
          <w:p>
            <w:pPr>
              <w:jc w:val="right"/>
              <w:spacing w:after="0" w:line="172" w:lineRule="exact"/>
              <w:rPr>
                <w:sz w:val="20"/>
                <w:szCs w:val="20"/>
                <w:color w:val="auto"/>
              </w:rPr>
            </w:pPr>
            <w:r>
              <w:rPr>
                <w:rFonts w:ascii="Arial" w:cs="Arial" w:eastAsia="Arial" w:hAnsi="Arial"/>
                <w:sz w:val="18"/>
                <w:szCs w:val="18"/>
                <w:color w:val="auto"/>
              </w:rPr>
              <w:t>282,000</w:t>
            </w:r>
          </w:p>
        </w:tc>
        <w:tc>
          <w:tcPr>
            <w:tcW w:w="100" w:type="dxa"/>
            <w:vAlign w:val="bottom"/>
          </w:tcPr>
          <w:p>
            <w:pPr>
              <w:spacing w:after="0"/>
              <w:rPr>
                <w:sz w:val="14"/>
                <w:szCs w:val="14"/>
                <w:color w:val="auto"/>
              </w:rPr>
            </w:pPr>
          </w:p>
        </w:tc>
        <w:tc>
          <w:tcPr>
            <w:tcW w:w="2220" w:type="dxa"/>
            <w:vAlign w:val="bottom"/>
          </w:tcPr>
          <w:p>
            <w:pPr>
              <w:jc w:val="center"/>
              <w:spacing w:after="0" w:line="172" w:lineRule="exact"/>
              <w:rPr>
                <w:sz w:val="20"/>
                <w:szCs w:val="20"/>
                <w:color w:val="auto"/>
              </w:rPr>
            </w:pPr>
            <w:r>
              <w:rPr>
                <w:rFonts w:ascii="Arial" w:cs="Arial" w:eastAsia="Arial" w:hAnsi="Arial"/>
                <w:sz w:val="18"/>
                <w:szCs w:val="18"/>
                <w:color w:val="auto"/>
                <w:w w:val="95"/>
              </w:rPr>
              <w:t>11/30/2033</w:t>
            </w:r>
          </w:p>
        </w:tc>
      </w:tr>
      <w:tr>
        <w:trPr>
          <w:trHeight w:val="238"/>
        </w:trPr>
        <w:tc>
          <w:tcPr>
            <w:tcW w:w="4120" w:type="dxa"/>
            <w:vAlign w:val="bottom"/>
            <w:gridSpan w:val="2"/>
          </w:tcPr>
          <w:p>
            <w:pPr>
              <w:ind w:left="20"/>
              <w:spacing w:after="0" w:line="239" w:lineRule="exact"/>
              <w:rPr>
                <w:sz w:val="20"/>
                <w:szCs w:val="20"/>
                <w:color w:val="auto"/>
              </w:rPr>
            </w:pPr>
            <w:r>
              <w:rPr>
                <w:rFonts w:ascii="Arial" w:cs="Arial" w:eastAsia="Arial" w:hAnsi="Arial"/>
                <w:sz w:val="18"/>
                <w:szCs w:val="18"/>
                <w:color w:val="auto"/>
              </w:rPr>
              <w:t>(“Campus Headquarters”)</w:t>
            </w:r>
            <w:r>
              <w:rPr>
                <w:rFonts w:ascii="Arial" w:cs="Arial" w:eastAsia="Arial" w:hAnsi="Arial"/>
                <w:sz w:val="22"/>
                <w:szCs w:val="22"/>
                <w:color w:val="auto"/>
                <w:vertAlign w:val="superscript"/>
              </w:rPr>
              <w:t>(1)</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25"/>
        </w:trPr>
        <w:tc>
          <w:tcPr>
            <w:tcW w:w="41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Lab and innovation space</w:t>
            </w:r>
            <w:r>
              <w:rPr>
                <w:rFonts w:ascii="Arial" w:cs="Arial" w:eastAsia="Arial" w:hAnsi="Arial"/>
                <w:sz w:val="22"/>
                <w:szCs w:val="22"/>
                <w:color w:val="auto"/>
                <w:vertAlign w:val="superscript"/>
              </w:rPr>
              <w:t>(2)</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 Segundo, CA</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1/31/2024</w:t>
            </w:r>
          </w:p>
        </w:tc>
      </w:tr>
      <w:tr>
        <w:trPr>
          <w:trHeight w:val="265"/>
        </w:trPr>
        <w:tc>
          <w:tcPr>
            <w:tcW w:w="4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25"/>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172"/>
        </w:trPr>
        <w:tc>
          <w:tcPr>
            <w:tcW w:w="41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Production of woven protein and dry blend flavor</w:t>
            </w:r>
          </w:p>
        </w:tc>
        <w:tc>
          <w:tcPr>
            <w:tcW w:w="1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Enschede,</w:t>
            </w:r>
          </w:p>
        </w:tc>
        <w:tc>
          <w:tcPr>
            <w:tcW w:w="2080" w:type="dxa"/>
            <w:vAlign w:val="bottom"/>
          </w:tcPr>
          <w:p>
            <w:pPr>
              <w:jc w:val="right"/>
              <w:spacing w:after="0" w:line="172" w:lineRule="exact"/>
              <w:rPr>
                <w:sz w:val="20"/>
                <w:szCs w:val="20"/>
                <w:color w:val="auto"/>
              </w:rPr>
            </w:pPr>
            <w:r>
              <w:rPr>
                <w:rFonts w:ascii="Arial" w:cs="Arial" w:eastAsia="Arial" w:hAnsi="Arial"/>
                <w:sz w:val="18"/>
                <w:szCs w:val="18"/>
                <w:color w:val="auto"/>
              </w:rPr>
              <w:t>46,000</w:t>
            </w:r>
          </w:p>
        </w:tc>
        <w:tc>
          <w:tcPr>
            <w:tcW w:w="100" w:type="dxa"/>
            <w:vAlign w:val="bottom"/>
          </w:tcPr>
          <w:p>
            <w:pPr>
              <w:spacing w:after="0"/>
              <w:rPr>
                <w:sz w:val="14"/>
                <w:szCs w:val="14"/>
                <w:color w:val="auto"/>
              </w:rPr>
            </w:pPr>
          </w:p>
        </w:tc>
        <w:tc>
          <w:tcPr>
            <w:tcW w:w="2220" w:type="dxa"/>
            <w:vAlign w:val="bottom"/>
          </w:tcPr>
          <w:p>
            <w:pPr>
              <w:jc w:val="center"/>
              <w:spacing w:after="0" w:line="172" w:lineRule="exact"/>
              <w:rPr>
                <w:sz w:val="20"/>
                <w:szCs w:val="20"/>
                <w:color w:val="auto"/>
              </w:rPr>
            </w:pPr>
            <w:r>
              <w:rPr>
                <w:rFonts w:ascii="Arial" w:cs="Arial" w:eastAsia="Arial" w:hAnsi="Arial"/>
                <w:sz w:val="18"/>
                <w:szCs w:val="18"/>
                <w:color w:val="auto"/>
                <w:w w:val="98"/>
              </w:rPr>
              <w:t>Owned</w:t>
            </w:r>
          </w:p>
        </w:tc>
      </w:tr>
      <w:tr>
        <w:trPr>
          <w:trHeight w:val="235"/>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the Netherlands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of woven protein and finished goods</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Jiaxing, China</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9/09/2027</w:t>
            </w:r>
          </w:p>
        </w:tc>
      </w:tr>
      <w:tr>
        <w:trPr>
          <w:trHeight w:val="232"/>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Shanghai, China</w:t>
            </w:r>
          </w:p>
        </w:tc>
        <w:tc>
          <w:tcPr>
            <w:tcW w:w="20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7"/>
              </w:rPr>
              <w:t>1/11/2030</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68" w:lineRule="exact"/>
        <w:rPr>
          <w:sz w:val="20"/>
          <w:szCs w:val="20"/>
          <w:color w:val="auto"/>
        </w:rPr>
      </w:pPr>
    </w:p>
    <w:p>
      <w:pPr>
        <w:ind w:left="240" w:right="280" w:hanging="234"/>
        <w:spacing w:after="0" w:line="275" w:lineRule="auto"/>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As of December 31, 2023, Phase 1-A and Phase 1-B consisting of approximately 142,000 rentable square feet has been completed and delivered to the Company. See </w:t>
      </w:r>
      <w:r>
        <w:rPr>
          <w:rFonts w:ascii="Arial" w:cs="Arial" w:eastAsia="Arial" w:hAnsi="Arial"/>
          <w:sz w:val="16"/>
          <w:szCs w:val="16"/>
          <w:u w:val="single" w:color="auto"/>
          <w:color w:val="0000FF"/>
        </w:rPr>
        <w:t>Note 10</w:t>
      </w:r>
      <w:r>
        <w:rPr>
          <w:rFonts w:ascii="Arial" w:cs="Arial" w:eastAsia="Arial" w:hAnsi="Arial"/>
          <w:sz w:val="16"/>
          <w:szCs w:val="16"/>
          <w:color w:val="auto"/>
        </w:rPr>
        <w:t>, Commitments and Contingencies, to the Notes to Consolidated Financial Statements included elsewhere in this report.</w:t>
      </w:r>
    </w:p>
    <w:p>
      <w:pPr>
        <w:spacing w:after="0" w:line="2" w:lineRule="exact"/>
        <w:rPr>
          <w:rFonts w:ascii="Arial" w:cs="Arial" w:eastAsia="Arial" w:hAnsi="Arial"/>
          <w:sz w:val="16"/>
          <w:szCs w:val="16"/>
          <w:color w:val="auto"/>
        </w:rPr>
      </w:pPr>
    </w:p>
    <w:p>
      <w:pPr>
        <w:ind w:left="240" w:right="80" w:hanging="234"/>
        <w:spacing w:after="0" w:line="293" w:lineRule="auto"/>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Effective November 1, 2023, we partially terminated the lease of our former El Segundo, California lab and innovation space reducing the area leased from approximately 30,000 square feet to 16,300 square feet. This lease expired subsequent to the year ended December 31, 2023 on January 31, 2024.</w:t>
      </w:r>
    </w:p>
    <w:p>
      <w:pPr>
        <w:spacing w:after="0" w:line="383" w:lineRule="exact"/>
        <w:rPr>
          <w:sz w:val="20"/>
          <w:szCs w:val="20"/>
          <w:color w:val="auto"/>
        </w:rPr>
      </w:pPr>
    </w:p>
    <w:p>
      <w:pPr>
        <w:ind w:right="760" w:firstLine="318"/>
        <w:spacing w:after="0" w:line="290" w:lineRule="auto"/>
        <w:rPr>
          <w:sz w:val="20"/>
          <w:szCs w:val="20"/>
          <w:color w:val="auto"/>
        </w:rPr>
      </w:pPr>
      <w:r>
        <w:rPr>
          <w:rFonts w:ascii="Arial" w:cs="Arial" w:eastAsia="Arial" w:hAnsi="Arial"/>
          <w:sz w:val="18"/>
          <w:szCs w:val="18"/>
          <w:color w:val="auto"/>
        </w:rPr>
        <w:t>In 2021, we assumed an operating lease for a building in Commerce, California to house our commercialization center, which was terminated in February 2023.</w:t>
      </w:r>
    </w:p>
    <w:p>
      <w:pPr>
        <w:spacing w:after="0" w:line="109"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In 2021, we entered into a lease agreement for our Campus Headquarters in El Segundo, California. In 2022, upon completion of the Phase1-A, we moved our Innovation team from our Manhattan Beach Project Innovation Center to the new campus facility. In 2023, upon completion of the tenant improvements associated with Phase 1-B, we moved our headquarters, sales and marketing operations into the new campus facility. On June 30, 2023, we terminated the lease of our former headquarters, also in El Segundo, California.</w:t>
      </w:r>
    </w:p>
    <w:p>
      <w:pPr>
        <w:spacing w:after="0" w:line="119"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In 2022, we entered into an agreement to purchase certain property on a neighboring site to our manufacturing facility in Europe located in Enschede, the Netherlands, for cash consideration of approximately €6.3 million, of which a €0.9 million deposit was made during 2022. Given our intention to reduce our overall operating expenses and cash expenditures, subsequent to the year ended December 31, 2023, on February 2, 2024, we terminated the purchase agreement and entered into a lease agreement with the subsequent purchaser of the property to lease the approximately 114,000 square foot property.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Subsequent Event, to the Notes to Consolidated Financial Statements included elsewhere in this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400" w:firstLine="318"/>
        <w:spacing w:after="0" w:line="290"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The Company establishes an accrued liability for legal matters when those matters present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that are both probable and estimable. For a description of our material pending legal proceedings, please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Notes to Consolidated Financial Statements included elsewhere in this report. Although the outcome of these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claims cannot be predicted with certainty, other than the settlement of certain actions,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6" w:lineRule="exact"/>
        <w:rPr>
          <w:sz w:val="20"/>
          <w:szCs w:val="20"/>
          <w:color w:val="auto"/>
        </w:rPr>
      </w:pPr>
    </w:p>
    <w:p>
      <w:pPr>
        <w:ind w:right="60" w:firstLine="318"/>
        <w:spacing w:after="0" w:line="290" w:lineRule="auto"/>
        <w:rPr>
          <w:sz w:val="20"/>
          <w:szCs w:val="20"/>
          <w:color w:val="auto"/>
        </w:rPr>
      </w:pPr>
      <w:r>
        <w:rPr>
          <w:rFonts w:ascii="Arial" w:cs="Arial" w:eastAsia="Arial" w:hAnsi="Arial"/>
          <w:sz w:val="18"/>
          <w:szCs w:val="18"/>
          <w:color w:val="auto"/>
        </w:rPr>
        <w:t>Our common stock began trading on the Nasdaq Global Select Market under the symbol “BYND” on May 2, 2019. Prior to that date, there was no public trading market for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6"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As of February 28, 2024, there were 463 holders of record of our common stock. This number does not include beneficial owners whose shares are held by nominees in street name.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7" w:name="page68"/>
    <w:bookmarkEnd w:id="6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6"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following graph depicts the total cumulative stockholder return on our common stock from May 2, 2019, the first day of trading of our common stock on the Nasdaq Global Select Market, through December 31, 2023, relative to the performance of the NASDAQ Composite Index and the S&amp;P Food and Beverage Select Industry Index, a peer group that includes Beyond Meat. The graph assumes an initial investment of $100.00 at the close of trading on May 2, 2019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97790</wp:posOffset>
            </wp:positionV>
            <wp:extent cx="5157470" cy="3365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5747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Copyright© 2023 Standard &amp; Poor's, a</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division of S&amp;P Global.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1517015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8" w:name="page69"/>
    <w:bookmarkEnd w:id="68"/>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w:t>
      </w:r>
      <w:r>
        <w:rPr>
          <w:rFonts w:ascii="Arial" w:cs="Arial" w:eastAsia="Arial" w:hAnsi="Arial"/>
          <w:sz w:val="18"/>
          <w:szCs w:val="18"/>
          <w:i w:val="1"/>
          <w:iCs w:val="1"/>
          <w:u w:val="single" w:color="auto"/>
          <w:color w:val="0000FF"/>
        </w:rPr>
        <w:t>Item 1A</w:t>
      </w:r>
      <w:r>
        <w:rPr>
          <w:rFonts w:ascii="Arial" w:cs="Arial" w:eastAsia="Arial" w:hAnsi="Arial"/>
          <w:sz w:val="18"/>
          <w:szCs w:val="18"/>
          <w:i w:val="1"/>
          <w:iCs w:val="1"/>
          <w:color w:val="auto"/>
        </w:rPr>
        <w:t>, “Risk Factors,” and “</w:t>
      </w:r>
      <w:r>
        <w:rPr>
          <w:rFonts w:ascii="Arial" w:cs="Arial" w:eastAsia="Arial" w:hAnsi="Arial"/>
          <w:sz w:val="18"/>
          <w:szCs w:val="18"/>
          <w:i w:val="1"/>
          <w:iCs w:val="1"/>
          <w:u w:val="single" w:color="auto"/>
          <w:color w:val="0000FF"/>
        </w:rPr>
        <w:t>Note Regarding Forward-Looking Statements</w:t>
      </w:r>
      <w:r>
        <w:rPr>
          <w:rFonts w:ascii="Arial" w:cs="Arial" w:eastAsia="Arial" w:hAnsi="Arial"/>
          <w:sz w:val="18"/>
          <w:szCs w:val="18"/>
          <w:i w:val="1"/>
          <w:iCs w:val="1"/>
          <w:color w:val="auto"/>
        </w:rPr>
        <w:t>” included elsewhere in this report. The following discussion and analysis of our financial condition and results of operations should be read in conjunction with our audited consolidated financial statements and related notes included elsewhere in this report.</w:t>
      </w:r>
    </w:p>
    <w:p>
      <w:pPr>
        <w:spacing w:after="0" w:line="12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i w:val="1"/>
          <w:iCs w:val="1"/>
          <w:color w:val="auto"/>
        </w:rPr>
        <w:t>Our Management’s Discussion and Analysis of Financial Condition and Results of Operations included in this document generally discusses 2023 and 2022 items and year-to-year comparisons between 2023 and 2022. Discussions of 2021 items and year-to-year comparisons between 2022 and 2021 that are not included in this document can be found in “Management’s Discussion and Analysis of Financial Condition and Results of Operations” in Part II, Item 7 of our Annual Report on Form 10-K for the fiscal year ended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39" w:lineRule="exact"/>
        <w:rPr>
          <w:sz w:val="20"/>
          <w:szCs w:val="20"/>
          <w:color w:val="auto"/>
        </w:rPr>
      </w:pPr>
    </w:p>
    <w:p>
      <w:pPr>
        <w:ind w:right="160" w:firstLine="318"/>
        <w:spacing w:after="0" w:line="258" w:lineRule="auto"/>
        <w:rPr>
          <w:sz w:val="20"/>
          <w:szCs w:val="20"/>
          <w:color w:val="auto"/>
        </w:rPr>
      </w:pPr>
      <w:r>
        <w:rPr>
          <w:rFonts w:ascii="Arial" w:cs="Arial" w:eastAsia="Arial" w:hAnsi="Arial"/>
          <w:sz w:val="18"/>
          <w:szCs w:val="18"/>
          <w:color w:val="auto"/>
        </w:rPr>
        <w:t>We sell a range of plant-based meat products across our three core platforms of beef, pork and poultry. As of December 2023, Beyond Meat branded products were available at approximately 133,000 retail and foodservice outlets in more than 65 countries worldwide, across mainstream grocery, mass merchandiser, club store and natural retailer channels, and various food-away-from-home channels, including restaurants, foodservice outlets and schools. The number of retail and foodservice outlets where Beyond Meat branded products are available was derived from rolling 52-week data as of December 2023 and excludes approximately 44,000 U.S. retail outlets unique to Beyond Meat Jerky or 2,300 outlets on a rolling 12-week basis. In 2023, we continued the process of renegotiating certain contracts and changing operating activities related to Beyond Meat Jerky and assumed the distribution responsibilities for Beyond Meat Jerky in the fourth quarter of 2023. As part of our Global Operations Review, we made the decision to discontinue the Beyond Meat Jerky product line.</w:t>
      </w:r>
    </w:p>
    <w:p>
      <w:pPr>
        <w:spacing w:after="0" w:line="141"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Net revenues decreased to $343.4 million in 2023 from $418.9 million in 2022, representing an 18.0% reduction. We have generated losses since inception. Net loss in 2023 and 2022 was $338.1 million and $366.1 million, respectively, as weak demand, driven by prolonged softness in demand in the category and for our products in certain channels and regions, increased competition and the lingering effects of COVID, among other things, resulted in declines in our net revenues that we were unable to offset with commensurate cost reductions. In 2023, our operating environment continued to be affected by uncertainty related to macroeconomic issues, including prolonged and further softening of demand in the plant-based meat category, high inflation, higher interest rates, and concerns about the likelihood of a recession, among other things, all of which have had and could continue to have unforeseen impacts on our actual realized results. Our net revenues, gross profit, gross margin, earnings and cash flows have been and may continue to be adversely impacted in 2024 and beyond by the following:</w:t>
      </w:r>
    </w:p>
    <w:p>
      <w:pPr>
        <w:spacing w:after="0" w:line="129" w:lineRule="exact"/>
        <w:rPr>
          <w:sz w:val="20"/>
          <w:szCs w:val="20"/>
          <w:color w:val="auto"/>
        </w:rPr>
      </w:pPr>
    </w:p>
    <w:p>
      <w:pPr>
        <w:jc w:val="both"/>
        <w:ind w:left="640" w:right="220" w:hanging="316"/>
        <w:spacing w:after="0" w:line="267"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changes in our product sales mix, including the launch of new products, which may carry lower margin profiles relative to existing products, increased sales to strategic QSR customers, generally carrying a lower selling price per pound as a percentage of our total sales, and changing demand for our core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4" w:lineRule="exact"/>
        <w:rPr>
          <w:sz w:val="20"/>
          <w:szCs w:val="20"/>
          <w:color w:val="auto"/>
        </w:rPr>
      </w:pPr>
    </w:p>
    <w:p>
      <w:pPr>
        <w:ind w:left="640" w:right="180" w:hanging="316"/>
        <w:spacing w:after="0" w:line="267"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weak demand and its resultant impact on our sales due to slower category growth, particularly for refrigerated plant-based meat, unfavorable changes in consumers’ perceptions about the health attributes of plant-based meats and increased competitive activity;</w:t>
      </w:r>
    </w:p>
    <w:p>
      <w:pPr>
        <w:spacing w:after="0" w:line="130" w:lineRule="exact"/>
        <w:rPr>
          <w:rFonts w:ascii="Arial" w:cs="Arial" w:eastAsia="Arial" w:hAnsi="Arial"/>
          <w:sz w:val="18"/>
          <w:szCs w:val="18"/>
          <w:color w:val="auto"/>
        </w:rPr>
      </w:pPr>
    </w:p>
    <w:p>
      <w:pPr>
        <w:ind w:left="640" w:right="360" w:hanging="316"/>
        <w:spacing w:after="0" w:line="290"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deceleration of the adoption of plant-based meat across Europe and our ability to successfully launch extended shelf-life products, which could negatively impact our ability to expand distribution of our products;</w:t>
      </w:r>
    </w:p>
    <w:p>
      <w:pPr>
        <w:spacing w:after="0" w:line="96" w:lineRule="exact"/>
        <w:rPr>
          <w:rFonts w:ascii="Arial" w:cs="Arial" w:eastAsia="Arial" w:hAnsi="Arial"/>
          <w:sz w:val="18"/>
          <w:szCs w:val="18"/>
          <w:color w:val="auto"/>
        </w:rPr>
      </w:pPr>
    </w:p>
    <w:p>
      <w:pPr>
        <w:ind w:left="640" w:right="40" w:hanging="316"/>
        <w:spacing w:after="0" w:line="27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high inflation and the plant-based meat sector’s premium pricing relative to animal protein, which have caused and could continue to cause consumers to trade down into cheaper forms of protein, including animal meat, beans and other non-animal meat protein sources;</w:t>
      </w:r>
    </w:p>
    <w:p>
      <w:pPr>
        <w:spacing w:after="0" w:line="109" w:lineRule="exact"/>
        <w:rPr>
          <w:rFonts w:ascii="Arial" w:cs="Arial" w:eastAsia="Arial" w:hAnsi="Arial"/>
          <w:sz w:val="18"/>
          <w:szCs w:val="18"/>
          <w:color w:val="auto"/>
        </w:rPr>
      </w:pPr>
    </w:p>
    <w:p>
      <w:pPr>
        <w:ind w:left="640" w:right="200" w:hanging="316"/>
        <w:spacing w:after="0" w:line="26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impacts on capacity utilization as a result of lower than anticipated revenues, which have in the past and could in the future give rise to increased costs per unit, underutilization fees and termination fees and other costs to exit certain supply chain arrangements and product lines, and/or the write-down or write-off of certain equipment, driving less leverage on fixed costs and delaying the speed at which cost savings initiatives positively impact our financial results;</w:t>
      </w:r>
    </w:p>
    <w:p>
      <w:pPr>
        <w:spacing w:after="0" w:line="132" w:lineRule="exact"/>
        <w:rPr>
          <w:rFonts w:ascii="Arial" w:cs="Arial" w:eastAsia="Arial" w:hAnsi="Arial"/>
          <w:sz w:val="18"/>
          <w:szCs w:val="18"/>
          <w:color w:val="auto"/>
        </w:rPr>
      </w:pPr>
    </w:p>
    <w:p>
      <w:pPr>
        <w:ind w:left="640" w:right="280" w:hanging="316"/>
        <w:spacing w:after="0" w:line="290"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forecasted demand, including for our core products—namely Beyond Burger, Beyond Beef, and Beyond Sausage—and others;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operating and distribution activities related to Beyond Meat Jerky, including the impact of discontinuing the product line;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inventory levels, including sales to liquidation channels and the level of inventory provision;</w:t>
      </w:r>
    </w:p>
    <w:p>
      <w:pPr>
        <w:spacing w:after="0" w:line="177"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pricing strategy, including actions intended to improve our price competitiveness relative to competing products or to improve profitability;</w:t>
      </w:r>
    </w:p>
    <w:p>
      <w:pPr>
        <w:spacing w:after="0" w:line="123" w:lineRule="exact"/>
        <w:rPr>
          <w:rFonts w:ascii="Arial" w:cs="Arial" w:eastAsia="Arial" w:hAnsi="Arial"/>
          <w:sz w:val="18"/>
          <w:szCs w:val="18"/>
          <w:color w:val="auto"/>
        </w:rPr>
      </w:pPr>
    </w:p>
    <w:p>
      <w:pPr>
        <w:ind w:left="640" w:right="60" w:hanging="316"/>
        <w:spacing w:after="0" w:line="27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unit cost of goods sold due to lower production volumes in response to weaker demand, which has and may continue in the future to adversely impact coverage of fixed production costs within our manufacturing facilities;</w:t>
      </w:r>
    </w:p>
    <w:p>
      <w:pPr>
        <w:spacing w:after="0" w:line="123" w:lineRule="exact"/>
        <w:rPr>
          <w:rFonts w:ascii="Arial" w:cs="Arial" w:eastAsia="Arial" w:hAnsi="Arial"/>
          <w:sz w:val="18"/>
          <w:szCs w:val="18"/>
          <w:color w:val="auto"/>
        </w:rPr>
      </w:pPr>
    </w:p>
    <w:p>
      <w:pPr>
        <w:ind w:left="640" w:right="300" w:hanging="316"/>
        <w:spacing w:after="0" w:line="290"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unit cost of goods sold due to input cost inflation, including higher transportation, raw materials, energy, labor and supply chain costs;</w:t>
      </w:r>
    </w:p>
    <w:p>
      <w:pPr>
        <w:spacing w:after="0" w:line="96" w:lineRule="exact"/>
        <w:rPr>
          <w:rFonts w:ascii="Arial" w:cs="Arial" w:eastAsia="Arial" w:hAnsi="Arial"/>
          <w:sz w:val="18"/>
          <w:szCs w:val="18"/>
          <w:color w:val="auto"/>
        </w:rPr>
      </w:pPr>
    </w:p>
    <w:p>
      <w:pPr>
        <w:ind w:left="640" w:right="220" w:hanging="316"/>
        <w:spacing w:after="0" w:line="27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promotional programs and trade discounts or a failure or reduction in the efficacy of such programs to our retail and foodservice customers, including to bolster support for our core products, and shifts in product and channel mix resulting in negative impacts on our gross margins;</w:t>
      </w:r>
    </w:p>
    <w:p>
      <w:pPr>
        <w:spacing w:after="0" w:line="109" w:lineRule="exact"/>
        <w:rPr>
          <w:rFonts w:ascii="Arial" w:cs="Arial" w:eastAsia="Arial" w:hAnsi="Arial"/>
          <w:sz w:val="18"/>
          <w:szCs w:val="18"/>
          <w:color w:val="auto"/>
        </w:rPr>
      </w:pPr>
    </w:p>
    <w:p>
      <w:pPr>
        <w:ind w:left="640" w:right="560" w:hanging="316"/>
        <w:spacing w:after="0" w:line="290"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disruption to our supply chain generally caused by distribution and other logistical issues, including the impact of cyber incidents at suppliers and vendors; and</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labor needs at the Company, as well as in the supply chain and at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Cost-Reduction Initiatives and Global Operations Review</w:t>
      </w:r>
    </w:p>
    <w:p>
      <w:pPr>
        <w:spacing w:after="0" w:line="166"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In response to the current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strategic key long-term partners and opportunities. Based on cost reduction initiatives intended to reduce operating expenses, in August 2022 and October 2022, we implemented reductions in force affecting approximately 4% and 19%, respectively, of our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810260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0" w:name="page71"/>
    <w:bookmarkEnd w:id="70"/>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To further reduce operating expenses, in November 2023, we announced that we were initiating a review of our global operations (the “Global Operations Review”), narrowing our commercial focus to certain growth opportunities, and accelerating activities that prioritize gross margin expansion and cash generation. These efforts may include the exit or discontinuation of select product lines such as Beyond Meat Jerky; changes to our pricing architecture within certain channels; accelerated, cash-accretive inventory reduction initiatives; further optimization of our manufacturing capacity and real estate footprint; and the continued review of our operations in China. As part of this review, on November 1, 2023, our board of directors approved a plan to reduce our workforce by approximately 65 employees, representing approximately 19% of our global non-production workforce (or approximately 8% of our total global workforce).</w:t>
      </w:r>
    </w:p>
    <w:p>
      <w:pPr>
        <w:spacing w:after="0" w:line="140"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The following table summarizes the non-cash charges recorded in our consolidated statement of operations for the year ended December 31, 2023 as a result of our Global Operations Review: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7"/>
              </w:rPr>
              <w:t>(in thousands)</w:t>
            </w:r>
          </w:p>
        </w:tc>
        <w:tc>
          <w:tcPr>
            <w:tcW w:w="80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Non-cash charges recorded in cost of goods sold:</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18"/>
                <w:szCs w:val="18"/>
                <w:color w:val="auto"/>
              </w:rPr>
              <w:t>Incremental provision for excess and obsolete inventory</w:t>
            </w:r>
            <w:r>
              <w:rPr>
                <w:rFonts w:ascii="Arial" w:cs="Arial" w:eastAsia="Arial" w:hAnsi="Arial"/>
                <w:sz w:val="22"/>
                <w:szCs w:val="22"/>
                <w:color w:val="auto"/>
                <w:vertAlign w:val="superscript"/>
              </w:rPr>
              <w:t>(1)</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38,045</w:t>
            </w:r>
          </w:p>
        </w:tc>
      </w:tr>
      <w:tr>
        <w:trPr>
          <w:trHeight w:val="225"/>
        </w:trPr>
        <w:tc>
          <w:tcPr>
            <w:tcW w:w="20" w:type="dxa"/>
            <w:vAlign w:val="bottom"/>
          </w:tcPr>
          <w:p>
            <w:pPr>
              <w:spacing w:after="0"/>
              <w:rPr>
                <w:sz w:val="19"/>
                <w:szCs w:val="19"/>
                <w:color w:val="auto"/>
              </w:rPr>
            </w:pPr>
          </w:p>
        </w:tc>
        <w:tc>
          <w:tcPr>
            <w:tcW w:w="9100" w:type="dxa"/>
            <w:vAlign w:val="bottom"/>
            <w:gridSpan w:val="2"/>
          </w:tcPr>
          <w:p>
            <w:pPr>
              <w:ind w:left="160"/>
              <w:spacing w:after="0" w:line="225" w:lineRule="exact"/>
              <w:rPr>
                <w:sz w:val="20"/>
                <w:szCs w:val="20"/>
                <w:color w:val="auto"/>
              </w:rPr>
            </w:pPr>
            <w:r>
              <w:rPr>
                <w:rFonts w:ascii="Arial" w:cs="Arial" w:eastAsia="Arial" w:hAnsi="Arial"/>
                <w:sz w:val="18"/>
                <w:szCs w:val="18"/>
                <w:color w:val="auto"/>
              </w:rPr>
              <w:t>Accelerated depreciation on planned write-offs or disposals of fixed assets</w:t>
            </w:r>
            <w:r>
              <w:rPr>
                <w:rFonts w:ascii="Arial" w:cs="Arial" w:eastAsia="Arial" w:hAnsi="Arial"/>
                <w:sz w:val="22"/>
                <w:szCs w:val="22"/>
                <w:color w:val="auto"/>
                <w:vertAlign w:val="superscript"/>
              </w:rPr>
              <w:t>(2)</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23,860</w:t>
            </w:r>
          </w:p>
        </w:tc>
      </w:tr>
      <w:tr>
        <w:trPr>
          <w:trHeight w:val="225"/>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Write-off of prepaid raw materials cost</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8"/>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non-cash charges recorded in cost of goods sold</w:t>
            </w: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66,905</w:t>
            </w:r>
          </w:p>
        </w:tc>
      </w:tr>
      <w:tr>
        <w:trPr>
          <w:trHeight w:val="192"/>
        </w:trPr>
        <w:tc>
          <w:tcPr>
            <w:tcW w:w="20" w:type="dxa"/>
            <w:vAlign w:val="bottom"/>
            <w:shd w:val="clear" w:color="auto" w:fill="CCEEFF"/>
          </w:tcPr>
          <w:p>
            <w:pPr>
              <w:spacing w:after="0"/>
              <w:rPr>
                <w:sz w:val="16"/>
                <w:szCs w:val="16"/>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charges recorded in operating expenses :</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9100" w:type="dxa"/>
            <w:vAlign w:val="bottom"/>
            <w:gridSpan w:val="2"/>
          </w:tcPr>
          <w:p>
            <w:pPr>
              <w:ind w:left="160"/>
              <w:spacing w:after="0"/>
              <w:rPr>
                <w:sz w:val="20"/>
                <w:szCs w:val="20"/>
                <w:color w:val="auto"/>
              </w:rPr>
            </w:pPr>
            <w:r>
              <w:rPr>
                <w:rFonts w:ascii="Arial" w:cs="Arial" w:eastAsia="Arial" w:hAnsi="Arial"/>
                <w:sz w:val="16"/>
                <w:szCs w:val="16"/>
                <w:color w:val="auto"/>
              </w:rPr>
              <w:t>Accelerated depreciation on planned write-offs or disposals of fixed assets recorded in research and development expenses</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5"/>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Loss on sale and write-down of fixed assets recorded in SG&amp;A expenses to fair value</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r>
      <w:tr>
        <w:trPr>
          <w:trHeight w:val="218"/>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non-cash charges recorded in operating expenses</w:t>
            </w: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67" w:lineRule="exact"/>
        <w:rPr>
          <w:sz w:val="20"/>
          <w:szCs w:val="20"/>
          <w:color w:val="auto"/>
        </w:rPr>
      </w:pPr>
    </w:p>
    <w:p>
      <w:pPr>
        <w:ind w:left="320" w:right="480" w:hanging="314"/>
        <w:spacing w:after="0" w:line="285" w:lineRule="auto"/>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$16.5 million associated with Beyond Meat Jerky. As part of our ongoing Global Operations Review, we made the decision to discontinue the Beyond Meat Jerky product line.</w:t>
      </w:r>
    </w:p>
    <w:p>
      <w:pPr>
        <w:ind w:left="240" w:hanging="234"/>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$3.6 million associated with Beyond Meat Jerky fixed assets.</w:t>
      </w:r>
    </w:p>
    <w:p>
      <w:pPr>
        <w:spacing w:after="0" w:line="343" w:lineRule="exact"/>
        <w:rPr>
          <w:sz w:val="20"/>
          <w:szCs w:val="20"/>
          <w:color w:val="auto"/>
        </w:rPr>
      </w:pPr>
    </w:p>
    <w:p>
      <w:pPr>
        <w:ind w:right="80" w:firstLine="318"/>
        <w:spacing w:after="0" w:line="280" w:lineRule="auto"/>
        <w:rPr>
          <w:sz w:val="20"/>
          <w:szCs w:val="20"/>
          <w:color w:val="auto"/>
        </w:rPr>
      </w:pPr>
      <w:r>
        <w:rPr>
          <w:rFonts w:ascii="Arial" w:cs="Arial" w:eastAsia="Arial" w:hAnsi="Arial"/>
          <w:sz w:val="17"/>
          <w:szCs w:val="17"/>
          <w:color w:val="auto"/>
        </w:rPr>
        <w:t xml:space="preserve">We may not be able to fully realize the cost savings and benefits initially anticipated from our cost-reduction initiatives and Global Operations Review, and the realized costs may be greater than expected. See Part I,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 Risks Related to Our Business—</w:t>
      </w:r>
    </w:p>
    <w:p>
      <w:pPr>
        <w:spacing w:after="0" w:line="1"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i w:val="1"/>
          <w:iCs w:val="1"/>
          <w:color w:val="auto"/>
        </w:rPr>
        <w:t>Our strategic initiatives to improve our cost structure could have long-term adverse effects on our business, and we may not realize the operational or financial benefits from such actions, including achieving and/or sustaining cash flow positive operations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store and natural retailer channels, and various food-away-from-home channels, including restaurants, foodservice outlets and schools, mainly in the United States and the EU.</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65"/>
        </w:trPr>
        <w:tc>
          <w:tcPr>
            <w:tcW w:w="3340" w:type="dxa"/>
            <w:vAlign w:val="bottom"/>
            <w:tcBorders>
              <w:top w:val="single" w:sz="8" w:color="auto"/>
            </w:tcBorders>
            <w:shd w:val="clear" w:color="auto" w:fill="CCEEFF"/>
          </w:tcPr>
          <w:p>
            <w:pPr>
              <w:ind w:left="20"/>
              <w:spacing w:after="0" w:line="165" w:lineRule="exact"/>
              <w:rPr>
                <w:sz w:val="20"/>
                <w:szCs w:val="20"/>
                <w:color w:val="auto"/>
              </w:rPr>
            </w:pPr>
            <w:r>
              <w:rPr>
                <w:rFonts w:ascii="Arial" w:cs="Arial" w:eastAsia="Arial" w:hAnsi="Arial"/>
                <w:sz w:val="18"/>
                <w:szCs w:val="18"/>
                <w:color w:val="auto"/>
              </w:rPr>
              <w:t>U.S. Retail</w:t>
            </w:r>
          </w:p>
        </w:tc>
        <w:tc>
          <w:tcPr>
            <w:tcW w:w="160" w:type="dxa"/>
            <w:vAlign w:val="bottom"/>
            <w:tcBorders>
              <w:top w:val="single" w:sz="8" w:color="CCEEFF"/>
            </w:tcBorders>
            <w:shd w:val="clear" w:color="auto" w:fill="CCEEFF"/>
          </w:tcPr>
          <w:p>
            <w:pPr>
              <w:spacing w:after="0"/>
              <w:rPr>
                <w:sz w:val="14"/>
                <w:szCs w:val="14"/>
                <w:color w:val="auto"/>
              </w:rPr>
            </w:pPr>
          </w:p>
        </w:tc>
        <w:tc>
          <w:tcPr>
            <w:tcW w:w="7740" w:type="dxa"/>
            <w:vAlign w:val="bottom"/>
            <w:tcBorders>
              <w:top w:val="single" w:sz="8" w:color="auto"/>
            </w:tcBorders>
            <w:shd w:val="clear" w:color="auto" w:fill="CCEEFF"/>
          </w:tcPr>
          <w:p>
            <w:pPr>
              <w:ind w:left="20"/>
              <w:spacing w:after="0" w:line="165" w:lineRule="exact"/>
              <w:rPr>
                <w:sz w:val="20"/>
                <w:szCs w:val="20"/>
                <w:color w:val="auto"/>
              </w:rPr>
            </w:pPr>
            <w:r>
              <w:rPr>
                <w:rFonts w:ascii="Arial" w:cs="Arial" w:eastAsia="Arial" w:hAnsi="Arial"/>
                <w:sz w:val="18"/>
                <w:szCs w:val="18"/>
                <w:color w:val="auto"/>
              </w:rPr>
              <w:t>Net revenues from retail sales to the U.S. market and, sales to TPP, our joint venture with</w:t>
            </w:r>
          </w:p>
        </w:tc>
      </w:tr>
      <w:tr>
        <w:trPr>
          <w:trHeight w:val="239"/>
        </w:trPr>
        <w:tc>
          <w:tcPr>
            <w:tcW w:w="3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740" w:type="dxa"/>
            <w:vAlign w:val="bottom"/>
            <w:shd w:val="clear" w:color="auto" w:fill="CCEEFF"/>
          </w:tcPr>
          <w:p>
            <w:pPr>
              <w:ind w:left="20"/>
              <w:spacing w:after="0" w:line="239" w:lineRule="exact"/>
              <w:rPr>
                <w:sz w:val="20"/>
                <w:szCs w:val="20"/>
                <w:color w:val="auto"/>
              </w:rPr>
            </w:pPr>
            <w:r>
              <w:rPr>
                <w:rFonts w:ascii="Arial" w:cs="Arial" w:eastAsia="Arial" w:hAnsi="Arial"/>
                <w:sz w:val="18"/>
                <w:szCs w:val="18"/>
                <w:color w:val="auto"/>
              </w:rPr>
              <w:t>PepsiCo, Inc.</w:t>
            </w:r>
            <w:r>
              <w:rPr>
                <w:rFonts w:ascii="Arial" w:cs="Arial" w:eastAsia="Arial" w:hAnsi="Arial"/>
                <w:sz w:val="22"/>
                <w:szCs w:val="22"/>
                <w:color w:val="auto"/>
                <w:vertAlign w:val="superscript"/>
              </w:rPr>
              <w:t>(1)</w:t>
            </w:r>
          </w:p>
        </w:tc>
      </w:tr>
      <w:tr>
        <w:trPr>
          <w:trHeight w:val="199"/>
        </w:trPr>
        <w:tc>
          <w:tcPr>
            <w:tcW w:w="35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U.S. Foodservice</w:t>
            </w:r>
          </w:p>
        </w:tc>
        <w:tc>
          <w:tcPr>
            <w:tcW w:w="7740" w:type="dxa"/>
            <w:vAlign w:val="bottom"/>
          </w:tcPr>
          <w:p>
            <w:pPr>
              <w:ind w:left="20"/>
              <w:spacing w:after="0" w:line="199" w:lineRule="exact"/>
              <w:rPr>
                <w:sz w:val="20"/>
                <w:szCs w:val="20"/>
                <w:color w:val="auto"/>
              </w:rPr>
            </w:pPr>
            <w:r>
              <w:rPr>
                <w:rFonts w:ascii="Arial" w:cs="Arial" w:eastAsia="Arial" w:hAnsi="Arial"/>
                <w:sz w:val="18"/>
                <w:szCs w:val="18"/>
                <w:color w:val="auto"/>
              </w:rPr>
              <w:t>Net revenues from restaurant and foodservice sales to the U.S. market</w:t>
            </w:r>
          </w:p>
        </w:tc>
      </w:tr>
      <w:tr>
        <w:trPr>
          <w:trHeight w:val="199"/>
        </w:trPr>
        <w:tc>
          <w:tcPr>
            <w:tcW w:w="35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International Retail</w:t>
            </w:r>
          </w:p>
        </w:tc>
        <w:tc>
          <w:tcPr>
            <w:tcW w:w="774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32"/>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7740" w:type="dxa"/>
            <w:vAlign w:val="bottom"/>
          </w:tcPr>
          <w:p>
            <w:pPr>
              <w:ind w:left="20"/>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_____________</w:t>
            </w:r>
          </w:p>
        </w:tc>
        <w:tc>
          <w:tcPr>
            <w:tcW w:w="160" w:type="dxa"/>
            <w:vAlign w:val="bottom"/>
          </w:tcPr>
          <w:p>
            <w:pPr>
              <w:spacing w:after="0"/>
              <w:rPr>
                <w:sz w:val="20"/>
                <w:szCs w:val="20"/>
                <w:color w:val="auto"/>
              </w:rPr>
            </w:pPr>
          </w:p>
        </w:tc>
        <w:tc>
          <w:tcPr>
            <w:tcW w:w="7740" w:type="dxa"/>
            <w:vAlign w:val="bottom"/>
          </w:tcPr>
          <w:p>
            <w:pPr>
              <w:spacing w:after="0"/>
              <w:rPr>
                <w:sz w:val="20"/>
                <w:szCs w:val="20"/>
                <w:color w:val="auto"/>
              </w:rPr>
            </w:pPr>
          </w:p>
        </w:tc>
      </w:tr>
    </w:tbl>
    <w:p>
      <w:pPr>
        <w:ind w:left="320" w:right="180" w:hanging="314"/>
        <w:spacing w:after="0" w:line="254" w:lineRule="auto"/>
        <w:tabs>
          <w:tab w:leader="none" w:pos="3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There were no net revenues associated with Beyond Meat Jerky sold to TPP in the second half of 2023 as we assumed distribution responsibilities in the fourth quarter of 2023. As part of our Global Operations Review, we made the decision to discontinue the Beyond Meat Jerky product line.</w:t>
      </w:r>
    </w:p>
    <w:p>
      <w:pPr>
        <w:spacing w:after="0" w:line="321" w:lineRule="exact"/>
        <w:rPr>
          <w:sz w:val="20"/>
          <w:szCs w:val="20"/>
          <w:color w:val="auto"/>
        </w:rPr>
      </w:pPr>
    </w:p>
    <w:p>
      <w:pPr>
        <w:ind w:right="280" w:firstLine="318"/>
        <w:spacing w:after="0" w:line="274" w:lineRule="auto"/>
        <w:rPr>
          <w:sz w:val="20"/>
          <w:szCs w:val="20"/>
          <w:color w:val="auto"/>
        </w:rPr>
      </w:pPr>
      <w:r>
        <w:rPr>
          <w:rFonts w:ascii="Arial" w:cs="Arial" w:eastAsia="Arial" w:hAnsi="Arial"/>
          <w:sz w:val="18"/>
          <w:szCs w:val="18"/>
          <w:color w:val="auto"/>
        </w:rPr>
        <w:t>The following factors and trends in our business have driven net revenue growth over prior periods and are expected to be key drivers of our net revenue growth over time, subject to the challenges discussed above:</w:t>
      </w:r>
    </w:p>
    <w:p>
      <w:pPr>
        <w:spacing w:after="0" w:line="124" w:lineRule="exact"/>
        <w:rPr>
          <w:sz w:val="20"/>
          <w:szCs w:val="20"/>
          <w:color w:val="auto"/>
        </w:rPr>
      </w:pPr>
    </w:p>
    <w:p>
      <w:pPr>
        <w:ind w:left="640" w:right="520" w:hanging="316"/>
        <w:spacing w:after="0" w:line="290"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increased penetration across our retail channel, including mainstream grocery, mass merchandiser, club store and natural retailer channels, and our foodservice channel, including increased desire by foodservice establishments, including large Full Service Restaurant and/or global QSR customers, to add plant-based products to their menus and to highlight and retain these offerings;</w:t>
      </w:r>
    </w:p>
    <w:p>
      <w:pPr>
        <w:spacing w:after="0" w:line="112" w:lineRule="exact"/>
        <w:rPr>
          <w:rFonts w:ascii="Arial" w:cs="Arial" w:eastAsia="Arial" w:hAnsi="Arial"/>
          <w:sz w:val="17"/>
          <w:szCs w:val="17"/>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177" w:lineRule="exact"/>
        <w:rPr>
          <w:rFonts w:ascii="Arial" w:cs="Arial" w:eastAsia="Arial" w:hAnsi="Arial"/>
          <w:sz w:val="18"/>
          <w:szCs w:val="18"/>
          <w:color w:val="auto"/>
        </w:rPr>
      </w:pPr>
    </w:p>
    <w:p>
      <w:pPr>
        <w:ind w:left="640" w:right="60" w:hanging="316"/>
        <w:spacing w:after="0" w:line="267"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pivot to focus on sustainable long-term growth, including focusing on near-term retail and foodservice growth drivers while supporting strategic key long-term partners and opportunities, and intensifying focus on channels and geographies that are exhibiting revenue growth;</w:t>
      </w:r>
    </w:p>
    <w:p>
      <w:pPr>
        <w:spacing w:after="0" w:line="130" w:lineRule="exact"/>
        <w:rPr>
          <w:rFonts w:ascii="Arial" w:cs="Arial" w:eastAsia="Arial" w:hAnsi="Arial"/>
          <w:sz w:val="18"/>
          <w:szCs w:val="18"/>
          <w:color w:val="auto"/>
        </w:rPr>
      </w:pPr>
    </w:p>
    <w:p>
      <w:pPr>
        <w:ind w:left="640" w:right="200" w:hanging="316"/>
        <w:spacing w:after="0" w:line="267"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repeat purchases, buying rates (amount spent per buyer) and purchase frequency across our channels, including the success of promotional programs at attracting new users to the plant-based meat category;</w:t>
      </w:r>
    </w:p>
    <w:p>
      <w:pPr>
        <w:spacing w:after="0" w:line="130"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seek to expand the breadth and depth of our international distribution and grow our numbers of international customers;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77" w:lineRule="exact"/>
        <w:rPr>
          <w:rFonts w:ascii="Arial" w:cs="Arial" w:eastAsia="Arial" w:hAnsi="Arial"/>
          <w:sz w:val="18"/>
          <w:szCs w:val="18"/>
          <w:color w:val="auto"/>
        </w:rPr>
      </w:pPr>
    </w:p>
    <w:p>
      <w:pPr>
        <w:ind w:left="640" w:right="180" w:hanging="316"/>
        <w:spacing w:after="0" w:line="267"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such as the recent announcement of our Beyond IV generation of products, and introducing new products across our plant-based platforms that appeal to a broad range of consumers, specifically those who typically eat animal-based meat;</w:t>
      </w:r>
    </w:p>
    <w:p>
      <w:pPr>
        <w:spacing w:after="0" w:line="130"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enhanced marketing efforts and the success thereof, as we continue to build our brand, use our portfolio and marketing to directly counter misinformation about our products and category, amplify our value proposition around taste, health and planet, serve as a best-in-class partner to both retail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foodservice customers to support product development and category management, and drive consumer adoption of our products;</w:t>
      </w:r>
    </w:p>
    <w:p>
      <w:pPr>
        <w:spacing w:after="0" w:line="177" w:lineRule="exact"/>
        <w:rPr>
          <w:sz w:val="20"/>
          <w:szCs w:val="20"/>
          <w:color w:val="auto"/>
        </w:rPr>
      </w:pPr>
    </w:p>
    <w:p>
      <w:pPr>
        <w:ind w:left="640" w:right="220" w:hanging="316"/>
        <w:spacing w:after="0" w:line="27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in in-store execution and field resources focused on shelf availability and presentation, particularly in the U.S. refrigerated meat case, to drive increased sales;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market trends, including consumer awareness and demand for nutritious, convenient and high protein plant-based foods; and</w:t>
      </w:r>
    </w:p>
    <w:p>
      <w:pPr>
        <w:spacing w:after="0" w:line="177"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localized production and third party partnerships to improve our cost of production and increase the availability, accessibility and speed with which we can get our products to customers internationally.</w:t>
      </w:r>
    </w:p>
    <w:p>
      <w:pPr>
        <w:spacing w:after="0" w:line="12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As we seek to grow our net revenues, we continue to face several challenges, including prolonged, weakened demand within the plant-based meat category overall, broad macroeconomic headwinds, including elevated levels of inflation, higher interest rates, waning consumer confidence and recessionary concerns, adverse changes in consumers’ perceptions about the health attributes of our products, increased competitive activity in the plant-based meat category, and global events such as the war in Ukraine and the conflict in Israel, Gaza and surrounding areas and their potential impact on availability of raw materials and/or distribution of our products.</w:t>
      </w:r>
    </w:p>
    <w:p>
      <w:pPr>
        <w:spacing w:after="0" w:line="120" w:lineRule="exact"/>
        <w:rPr>
          <w:sz w:val="20"/>
          <w:szCs w:val="20"/>
          <w:color w:val="auto"/>
        </w:rPr>
      </w:pPr>
    </w:p>
    <w:p>
      <w:pPr>
        <w:ind w:right="100" w:firstLine="318"/>
        <w:spacing w:after="0" w:line="259"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We anticipate that over time we will need to continue to offer more trade and promotion discounts to both our retail and foodservice customers, to drive increased consumer trials and in response to changing consumer and customer behavior and increased competition and pressure on the plant-based meat category.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$6.9 million and $4.6 million as of December 31, 2023 and 2022, respectively. We continue to face increasing competition across all channels, especially if consumers continue to trade down among proteins in the context of significant inflationary pressure.</w:t>
      </w:r>
    </w:p>
    <w:p>
      <w:pPr>
        <w:spacing w:after="0" w:line="136"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has varied and will vary in the future, from period to period depending on the volume, timing and the channels through which our products are sold, and the impact of customer orders ahead of holidays, causing variability in our results. Similarly, the timing of retail shelf resets are not within our control, and to the extent that retail customers change the timing of such events, variability of our results may also increase. Lower customer orders ahead of holidays, shifts in customer shelf reset activity and changes in order patterns of one or more of our large retail customers could cause a significant fluctuation in our quarterly results and could have a disproportionate effect on our results of operations for the entire fiscal year.</w:t>
      </w:r>
    </w:p>
    <w:p>
      <w:pPr>
        <w:spacing w:after="0" w:line="140" w:lineRule="exact"/>
        <w:rPr>
          <w:sz w:val="20"/>
          <w:szCs w:val="20"/>
          <w:color w:val="auto"/>
        </w:rPr>
      </w:pPr>
    </w:p>
    <w:p>
      <w:pPr>
        <w:ind w:right="200" w:firstLine="318"/>
        <w:spacing w:after="0" w:line="267" w:lineRule="auto"/>
        <w:rPr>
          <w:sz w:val="20"/>
          <w:szCs w:val="20"/>
          <w:color w:val="auto"/>
        </w:rPr>
      </w:pPr>
      <w:r>
        <w:rPr>
          <w:rFonts w:ascii="Arial" w:cs="Arial" w:eastAsia="Arial" w:hAnsi="Arial"/>
          <w:sz w:val="18"/>
          <w:szCs w:val="18"/>
          <w:color w:val="auto"/>
        </w:rPr>
        <w:t>Our financial performance also depends on our operational effectiveness and ability to fulfill orders in full and on time. Disruptions in our supply chain could affect customer demand, orders that may not materialize due to delayed deliveries and subsequent lost sales that we may not be able to recover in full, or at all.</w:t>
      </w:r>
    </w:p>
    <w:p>
      <w:pPr>
        <w:spacing w:after="0" w:line="131" w:lineRule="exact"/>
        <w:rPr>
          <w:sz w:val="20"/>
          <w:szCs w:val="20"/>
          <w:color w:val="auto"/>
        </w:rPr>
      </w:pPr>
    </w:p>
    <w:p>
      <w:pPr>
        <w:ind w:right="360" w:firstLine="318"/>
        <w:spacing w:after="0" w:line="290" w:lineRule="auto"/>
        <w:rPr>
          <w:sz w:val="20"/>
          <w:szCs w:val="20"/>
          <w:color w:val="auto"/>
        </w:rPr>
      </w:pPr>
      <w:r>
        <w:rPr>
          <w:rFonts w:ascii="Arial" w:cs="Arial" w:eastAsia="Arial" w:hAnsi="Arial"/>
          <w:sz w:val="17"/>
          <w:szCs w:val="17"/>
          <w:color w:val="auto"/>
        </w:rPr>
        <w:t>Further, we may not be able to recapture missed opportunities in later periods, for example if the opportunity is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Generally, we expect to experience greater demand for certain of our products during the U.S. summer grilling season. In 2023, 2022 and 2021, U.S. retail channel net revenues during the second quarter were 10%, 16% and 21% higher than the first quarter, respectively. While we expected to continue to see additional seasonality effects in 2023, as compared to 2022 and 2021, we saw more muted effects from seasonality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1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third and fourth quarters of 2023 as compared to the prior-year period and the second quarter of 2023, primarily reflecting weak category demand and pricing actions.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recessionary and inflationary pressures, prolonged weakness in the plant-based meat category, competition and other factors impacting our business, we are unable to assess the ultimate impact on the demand for our products as a result of seasonality.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ind w:right="160" w:firstLine="318"/>
        <w:spacing w:after="0" w:line="276" w:lineRule="auto"/>
        <w:rPr>
          <w:sz w:val="20"/>
          <w:szCs w:val="20"/>
          <w:color w:val="auto"/>
        </w:rPr>
      </w:pPr>
      <w:r>
        <w:rPr>
          <w:rFonts w:ascii="Arial" w:cs="Arial" w:eastAsia="Arial" w:hAnsi="Arial"/>
          <w:sz w:val="17"/>
          <w:szCs w:val="17"/>
          <w:color w:val="auto"/>
        </w:rPr>
        <w:t xml:space="preserve">Gross profit consists of our net revenues less cost of goods sold. Gross margin is gross profit expressed as a percentage of our net revenues. Our cost of goods sold primarily consists of the cost of raw materials including ingredients and packaging, co-manufacturing fees, direct and indirect labor and certain supply costs, inbound and internal shipping and handling costs incurred in manufacturing our products, warehouse storage fees, plant and equipment overhead, depreciation and amortization expense, provision for excess and obsolete inventory, and accelerated depreciation on write-offs and disposals of certain fixed assets. Under certain circumstances, our cost of goods sold may also include underutilization and/or termination fees associated with our co-manufacturing agreements. Gross profit and gross margin in the year ended December 31, 2023 as compared to the prior-year periods were positively impacted by lower manufacturing costs including lower depreciation expense resulting from a change in the estimated useful lives of certain of our large manufacturing equipment. See </w:t>
      </w:r>
      <w:r>
        <w:rPr>
          <w:rFonts w:ascii="Arial" w:cs="Arial" w:eastAsia="Arial" w:hAnsi="Arial"/>
          <w:sz w:val="17"/>
          <w:szCs w:val="17"/>
          <w:u w:val="single" w:color="auto"/>
          <w:color w:val="0000FF"/>
        </w:rPr>
        <w:t>Note 6</w:t>
      </w:r>
      <w:r>
        <w:rPr>
          <w:rFonts w:ascii="Arial" w:cs="Arial" w:eastAsia="Arial" w:hAnsi="Arial"/>
          <w:sz w:val="17"/>
          <w:szCs w:val="17"/>
          <w:color w:val="auto"/>
        </w:rPr>
        <w:t>, Property, Plant and Equipment, to the Notes to Consolidated Financial Statements included elsewhere in this report.</w:t>
      </w:r>
    </w:p>
    <w:p>
      <w:pPr>
        <w:spacing w:after="0" w:line="123"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Subject to the recessionary and inflationary pressures, competition, prolonged weakness in the plant-based meat category and other factors impacting our business, which are discussed above, we continue to expect that long-term gross profit and gross margin improvements will be delivered primarily through:</w:t>
      </w:r>
    </w:p>
    <w:p>
      <w:pPr>
        <w:spacing w:after="0" w:line="117"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implementation of lean value streams across our beef, pork and poultry platforms;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adjusting our pricing architecture within certain channels;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exiting select product lines in order to eliminate margin-dilutive products or to streamline our supply chain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improved volume leverage and throughput;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manufacturing conversion costs driven in part by network consolidation and optimization of our production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greater internalization and geographic localization of our manufacturing footprint;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finished goods, materials and packaging input cost reductions and scale of purchasing;</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end-to-end production processes across a greater proportion of our manufacturing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scale-driven efficiencies in procurement and fixed cost absorption;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and process innovations and reformulations;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improved supply chain logistics and distribution costs.</w:t>
      </w:r>
    </w:p>
    <w:p>
      <w:pPr>
        <w:spacing w:after="0" w:line="17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Gross margin improvement may, however, continue to be negatively impacted by reduced capacity utilization if demand for our products continues to decline, investments in our production infrastructure across the U.S., EU and China in advance of anticipated demand, which may not materialize within the expected timeframe, investing in production personnel, partnerships and product pipeline, aggressive pricing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increased discounting, increases in inventory provision, write-down or write-off of obsolete inventory and potentially increased sales to liquidation channels at lower prices, changes in our product and customer sales mix, expansion into new geographies and markets where cost and pricing structures may differ from our existing markets, and underutilization fees, termination fees and other costs to exit certain supply chain arrangements and product lines. Gross margin improvement may also be negatively impacted by the impact of inflation, increasing labor costs, materials costs and transportation costs.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share-based compensation, scale-up expenses, depreciation and amortization expenses on research and development assets, and facility lease costs. Our research and development efforts are focused on enhancements to our existing product formulations and production processes in addition to the development of new products. We expect to continue to invest in research and development over time, as research and development and innovation are core elements of our business strategy, and we believe they represent a critical competitive advantage for us. We believe that we need to continue to innovate in order to capture a larger share of consumers who typically eat animal-based meats. We decreased our research and development expenses in 2023 and expect research and development expenses in 2024 to decrease further from the levels in 2023 primarily as a result of the reduction-in-force implemented in November 2023 and as we focus on reducing and optimizing operating expenses more broadly.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and non -research and development assets, charges related to asset write-offs including loss on sale and write-down of fixed assets, consulting fees and other non-production operating expenses. Marketing and selling expenses include advertising costs, share-based compensation awards to brand ambassadors, costs associated with consumer promotions, product donations, product samples and sales aids incurred to acquire new customers, retain existing customers and build our brand awareness. Administrative expenses include expenses related to management, accounting, legal, IT and other office functions. We decreased SG&amp;A expenses in 2023 and expect SG&amp;A expenses in 2024 to decrease further from the levels in 2023, as we focus on reducing and optimizing operating expenses more broadly, including as part of the implementation of lean value streams across our beef, pork and poultry platforms.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Reduction-In-Force</w:t>
      </w:r>
    </w:p>
    <w:p>
      <w:pPr>
        <w:spacing w:after="0" w:line="164" w:lineRule="exact"/>
        <w:rPr>
          <w:sz w:val="20"/>
          <w:szCs w:val="20"/>
          <w:color w:val="auto"/>
        </w:rPr>
      </w:pPr>
    </w:p>
    <w:p>
      <w:pPr>
        <w:ind w:right="240" w:firstLine="318"/>
        <w:spacing w:after="0" w:line="283" w:lineRule="auto"/>
        <w:rPr>
          <w:sz w:val="20"/>
          <w:szCs w:val="20"/>
          <w:color w:val="auto"/>
        </w:rPr>
      </w:pPr>
      <w:r>
        <w:rPr>
          <w:rFonts w:ascii="Arial" w:cs="Arial" w:eastAsia="Arial" w:hAnsi="Arial"/>
          <w:sz w:val="17"/>
          <w:szCs w:val="17"/>
          <w:color w:val="auto"/>
        </w:rPr>
        <w:t>On November 1, 2023, our board of directors approved a plan to reduce our workforce by approximately 65 employees, representing approximately 19% of our global non-production workforce (or approximately 8% of our total global workforce). This decision was based on cost-reduction initiatives intended to reduce operating expenses. In 2023, we incurred one-time cash charges of approximately $1.8 million in connection with the reduction-in-force, primarily consisting of notice period and severance payments, employee benefits and related costs. These charges were incurred in the fourth quarter of 2023, and the reduction-in-force was substantially complete by the end of 2023.</w:t>
      </w:r>
    </w:p>
    <w:p>
      <w:pPr>
        <w:spacing w:after="0" w:line="106" w:lineRule="exact"/>
        <w:rPr>
          <w:sz w:val="20"/>
          <w:szCs w:val="20"/>
          <w:color w:val="auto"/>
        </w:rPr>
      </w:pPr>
    </w:p>
    <w:p>
      <w:pPr>
        <w:ind w:right="60" w:firstLine="318"/>
        <w:spacing w:after="0" w:line="283" w:lineRule="auto"/>
        <w:rPr>
          <w:sz w:val="20"/>
          <w:szCs w:val="20"/>
          <w:color w:val="auto"/>
        </w:rPr>
      </w:pPr>
      <w:r>
        <w:rPr>
          <w:rFonts w:ascii="Arial" w:cs="Arial" w:eastAsia="Arial" w:hAnsi="Arial"/>
          <w:sz w:val="17"/>
          <w:szCs w:val="17"/>
          <w:color w:val="auto"/>
        </w:rPr>
        <w:t xml:space="preserve">In aggregate, in 2024, the reduction-in-force, combined with the elimination of certain open positions, is expected to result in approximately $9.5 million to $10.5 million in cash operating expense savings, and an additional approximately $1.0 million to $2.0 million in non-cash savings related to previously granted, unvested stock-based compensation which would have vested in 2024. See Part I,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 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Business—Our strategic initiatives to improve our cost structure could have long-term adverse effects on our business, and we may not realize the operational or financial benefits from such actions, including achieving and/or sustaining cash flow positive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797560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64" w:lineRule="exact"/>
        <w:rPr>
          <w:sz w:val="20"/>
          <w:szCs w:val="20"/>
          <w:color w:val="auto"/>
        </w:rPr>
      </w:pPr>
    </w:p>
    <w:p>
      <w:pPr>
        <w:ind w:right="100" w:firstLine="318"/>
        <w:spacing w:after="0" w:line="265" w:lineRule="auto"/>
        <w:rPr>
          <w:sz w:val="20"/>
          <w:szCs w:val="20"/>
          <w:color w:val="auto"/>
        </w:rPr>
      </w:pPr>
      <w:r>
        <w:rPr>
          <w:rFonts w:ascii="Arial" w:cs="Arial" w:eastAsia="Arial" w:hAnsi="Arial"/>
          <w:sz w:val="18"/>
          <w:szCs w:val="18"/>
          <w:color w:val="auto"/>
        </w:rPr>
        <w:t xml:space="preserve">In May 2017, management approved a plan to terminate an exclusive supply agreement with one of our co-manufacturers. On October 18, 2022, the parties entered into a confidential written settlement agreement and mutual release in connection with this matter.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10</w:t>
      </w:r>
      <w:r>
        <w:rPr>
          <w:rFonts w:ascii="Arial" w:cs="Arial" w:eastAsia="Arial" w:hAnsi="Arial"/>
          <w:sz w:val="18"/>
          <w:szCs w:val="18"/>
          <w:color w:val="auto"/>
        </w:rPr>
        <w:t>,</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Notes to Consolidated Financial Statements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respective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65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1160" w:type="dxa"/>
            <w:vAlign w:val="bottom"/>
          </w:tcPr>
          <w:p>
            <w:pPr>
              <w:jc w:val="right"/>
              <w:ind w:right="49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3"/>
              <w:spacing w:after="0" w:line="16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3"/>
              <w:spacing w:after="0" w:line="16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464,700</w:t>
            </w:r>
          </w:p>
        </w:tc>
      </w:tr>
      <w:tr>
        <w:trPr>
          <w:trHeight w:val="225"/>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347,419</w:t>
            </w:r>
          </w:p>
        </w:tc>
      </w:tr>
      <w:tr>
        <w:trPr>
          <w:trHeight w:val="218"/>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117,281</w:t>
            </w:r>
          </w:p>
        </w:tc>
      </w:tr>
      <w:tr>
        <w:trPr>
          <w:trHeight w:val="218"/>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66,946</w:t>
            </w:r>
          </w:p>
        </w:tc>
      </w:tr>
      <w:tr>
        <w:trPr>
          <w:trHeight w:val="225"/>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209,474</w:t>
            </w:r>
          </w:p>
        </w:tc>
      </w:tr>
      <w:tr>
        <w:trPr>
          <w:trHeight w:val="225"/>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r>
      <w:tr>
        <w:trPr>
          <w:trHeight w:val="218"/>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292,214</w:t>
            </w:r>
          </w:p>
        </w:tc>
      </w:tr>
      <w:tr>
        <w:trPr>
          <w:trHeight w:val="218"/>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ind w:right="40" w:firstLine="318"/>
        <w:spacing w:after="0" w:line="274" w:lineRule="auto"/>
        <w:rPr>
          <w:sz w:val="20"/>
          <w:szCs w:val="20"/>
          <w:color w:val="auto"/>
        </w:rPr>
      </w:pPr>
      <w:r>
        <w:rPr>
          <w:rFonts w:ascii="Arial" w:cs="Arial" w:eastAsia="Arial" w:hAnsi="Arial"/>
          <w:sz w:val="18"/>
          <w:szCs w:val="18"/>
          <w:color w:val="auto"/>
        </w:rPr>
        <w:t>The following table presents selected items in our consolidated statements of operations as a percentage of net revenues for the respective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740" w:type="dxa"/>
            <w:vAlign w:val="bottom"/>
            <w:tcBorders>
              <w:bottom w:val="single" w:sz="8" w:color="auto"/>
            </w:tcBorders>
            <w:gridSpan w:val="5"/>
          </w:tcPr>
          <w:p>
            <w:pPr>
              <w:ind w:left="152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r>
      <w:tr>
        <w:trPr>
          <w:trHeight w:val="205"/>
        </w:trPr>
        <w:tc>
          <w:tcPr>
            <w:tcW w:w="62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74.8</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25.2</w:t>
            </w:r>
          </w:p>
        </w:tc>
      </w:tr>
      <w:tr>
        <w:trPr>
          <w:trHeight w:val="219"/>
        </w:trPr>
        <w:tc>
          <w:tcPr>
            <w:tcW w:w="62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14.4</w:t>
            </w:r>
          </w:p>
        </w:tc>
      </w:tr>
      <w:tr>
        <w:trPr>
          <w:trHeight w:val="225"/>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45.1</w:t>
            </w: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5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w:t>
            </w:r>
          </w:p>
        </w:tc>
      </w:tr>
      <w:tr>
        <w:trPr>
          <w:trHeight w:val="21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62.9</w:t>
            </w:r>
          </w:p>
        </w:tc>
      </w:tr>
      <w:tr>
        <w:trPr>
          <w:trHeight w:val="218"/>
        </w:trPr>
        <w:tc>
          <w:tcPr>
            <w:tcW w:w="6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6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05"/>
        </w:trPr>
        <w:tc>
          <w:tcPr>
            <w:tcW w:w="6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4"/>
              <w:spacing w:after="0" w:line="16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3"/>
              <w:spacing w:after="0" w:line="16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155,240</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234,744</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(79,504)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8"/>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net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(32.3)%</w:t>
            </w: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61,723</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60,907</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18"/>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International net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19.7 %</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ind w:right="120" w:firstLine="318"/>
        <w:spacing w:after="0" w:line="258" w:lineRule="auto"/>
        <w:rPr>
          <w:sz w:val="20"/>
          <w:szCs w:val="20"/>
          <w:color w:val="auto"/>
        </w:rPr>
      </w:pPr>
      <w:r>
        <w:rPr>
          <w:rFonts w:ascii="Arial" w:cs="Arial" w:eastAsia="Arial" w:hAnsi="Arial"/>
          <w:sz w:val="18"/>
          <w:szCs w:val="18"/>
          <w:color w:val="auto"/>
        </w:rPr>
        <w:t>Net revenues in 2023 decreased $75.6 million, or 18.0%, as compared to the prior year driven by a 10.8% decrease in net revenue per pound and an 8.1% decrease in volume of products sold. The decrease in net revenue per pound was primarily driven by changes in product sales mix and increased trade discounts, partially offset by pricing changes and favorable changes in foreign currency exchange rates. The decrease in volume of products sold primarily reflected weak category demand and the cycling of significant sell-in of Beyond Meat Jerky to TPP in 2022. Net revenues from sales of Beyond Meat Jerky to TPP were $5.3 million in 2023, as compared to $33.5 million in 2022. Net revenues from retail channel sales decreased 26.6% primarily due to higher trade discounts and reduced pricing, and lower overall demand as a result of a deceleration in growth of the plant-based meat category. Net revenues from foodservice channel sales increased 2.5%, primarily from international foodservice channel sales.</w:t>
      </w:r>
    </w:p>
    <w:p>
      <w:pPr>
        <w:spacing w:after="0" w:line="141"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Net revenues from U.S. retail sales in 2023 decreased $79.5 million, or 33.9%, as compared to the prior year. Total volume of products sold decreased 26.4%, primarily reflecting weak category demand and the cycling of significant sell-in of Beyond Meat Jerky to TPP in 2022. Net revenue per pound decreased 10.1%. The decrease in net revenue per pound was primarily driven by higher trade discounts and changes in product sales mix, partially offset by changes in product pricing. By product, the decrease in U.S. retail channel net revenues was primarily due to decreased sales of Beyond Meat Jerky to TPP, Beyond Burger, Beyond Sausage and Beyond Breakfast Sausage, partially offset by increased revenues from sales of Beyond Steak and Beyond Chicken products. Beyond Meat branded products were available at approximately 32,000 U.S. retail outlets as of December 2023, excluding outlets unique to Beyond Meat Jerky.</w:t>
      </w:r>
    </w:p>
    <w:p>
      <w:pPr>
        <w:spacing w:after="0" w:line="140"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Net revenues from U.S. foodservice sales in 2023 decreased $ 18.6 million, or 26.9%, as compared to the prior year primarily due to a 30.2% decrease in volume of products sold, primarily reflecting the cycling of sales to a large QSR customer for a limited time offering in the prior year which did not repeat in 2023, partially offset by a 4.8% increase in net revenue per pound. The increase in net revenue per pound was primarily due to changes in product sales mix, partially offset by higher trade discounts. By product, the decrease in U.S. foodservice channel sales was primarily due to decreased sales of certain chicken products, which included the impact from a limited time offering at a large QSR customer in 2022 that ended in early 2023, and Beyond Burger. Beyond Meat branded products were available at approximately 41,000 U.S. foodservice outlets as of December 2023.</w:t>
      </w:r>
    </w:p>
    <w:p>
      <w:pPr>
        <w:spacing w:after="0" w:line="138"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Net revenues from international retail channel sales in 2023 increased $0.8 million, or 1.3%, as compared to the prior year primarily due to a 3.5% increase in volume of products sold, primarily reflecting strong sales from new product introductions and the lapping of a weak year-ago comparison, partially offset by a 2.0% decrease in net revenue per pound. The decrease in net revenue per pound was primarily due to higher trade discounts and pricing changes, partially offset by favorable changes in foreign currency exchange rates.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805815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4" w:lineRule="exact"/>
        <w:rPr>
          <w:sz w:val="20"/>
          <w:szCs w:val="20"/>
          <w:color w:val="auto"/>
        </w:rPr>
      </w:pPr>
    </w:p>
    <w:p>
      <w:pPr>
        <w:jc w:val="both"/>
        <w:ind w:right="80"/>
        <w:spacing w:after="0" w:line="267" w:lineRule="auto"/>
        <w:rPr>
          <w:sz w:val="20"/>
          <w:szCs w:val="20"/>
          <w:color w:val="auto"/>
        </w:rPr>
      </w:pPr>
      <w:r>
        <w:rPr>
          <w:rFonts w:ascii="Arial" w:cs="Arial" w:eastAsia="Arial" w:hAnsi="Arial"/>
          <w:sz w:val="18"/>
          <w:szCs w:val="18"/>
          <w:color w:val="auto"/>
        </w:rPr>
        <w:t>product, the increase in net revenues was primarily due to increased sales of certain chicken products, including Beyond Chicken Tenders, and Beyond Beef, partially offset by the decreased sales of Beyond Sausage and Beyond Burger. Beyond Meat branded products were available at approximately 36,000 international retail outlets as of December 2023.</w:t>
      </w:r>
    </w:p>
    <w:p>
      <w:pPr>
        <w:spacing w:after="0" w:line="131" w:lineRule="exact"/>
        <w:rPr>
          <w:sz w:val="20"/>
          <w:szCs w:val="20"/>
          <w:color w:val="auto"/>
        </w:rPr>
      </w:pPr>
    </w:p>
    <w:p>
      <w:pPr>
        <w:ind w:right="180" w:firstLine="318"/>
        <w:spacing w:after="0" w:line="278" w:lineRule="auto"/>
        <w:rPr>
          <w:sz w:val="20"/>
          <w:szCs w:val="20"/>
          <w:color w:val="auto"/>
        </w:rPr>
      </w:pPr>
      <w:r>
        <w:rPr>
          <w:rFonts w:ascii="Arial" w:cs="Arial" w:eastAsia="Arial" w:hAnsi="Arial"/>
          <w:sz w:val="17"/>
          <w:szCs w:val="17"/>
          <w:color w:val="auto"/>
        </w:rPr>
        <w:t>Net revenues from international foodservice channel sales in 2023 increased $21.8 million, or 40.3%, as compared to the prior year primarily due to a 59.6% increase in volume of products sold, partially offset by a 12.1% decrease in net revenue per pound. The decrease in net revenue per pound was mainly due to higher trade discounts and changes in product sales mix, partially offset by the impact of favorable foreign currency exchange rates. By product, the increase in net revenues was primarily due to increases in sales of certain chicken products, including sales to a large QSR customer, and Beyond Burger, partially offset by decreased sales of Beyond Sausage and Beyond Beef Crumble. Beyond Meat branded products were available at approximately 24,000 international foodservice outlets as of December 2023.</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consolidated volume of our products sold in pounds for the respective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60" w:type="dxa"/>
            <w:vAlign w:val="bottom"/>
            <w:gridSpan w:val="4"/>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2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20" w:type="dxa"/>
            <w:vAlign w:val="bottom"/>
            <w:tcBorders>
              <w:top w:val="single" w:sz="8" w:color="auto"/>
            </w:tcBorders>
          </w:tcPr>
          <w:p>
            <w:pPr>
              <w:jc w:val="right"/>
              <w:ind w:right="454"/>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453"/>
              <w:spacing w:after="0" w:line="16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1780" w:type="dxa"/>
            <w:vAlign w:val="bottom"/>
            <w:tcBorders>
              <w:top w:val="single" w:sz="8" w:color="auto"/>
            </w:tcBorders>
            <w:gridSpan w:val="3"/>
          </w:tcPr>
          <w:p>
            <w:pPr>
              <w:ind w:left="300"/>
              <w:spacing w:after="0" w:line="16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24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tcPr>
          <w:p>
            <w:pPr>
              <w:jc w:val="right"/>
              <w:spacing w:after="0"/>
              <w:rPr>
                <w:sz w:val="20"/>
                <w:szCs w:val="20"/>
                <w:color w:val="auto"/>
              </w:rPr>
            </w:pPr>
            <w:r>
              <w:rPr>
                <w:rFonts w:ascii="Arial" w:cs="Arial" w:eastAsia="Arial" w:hAnsi="Arial"/>
                <w:sz w:val="18"/>
                <w:szCs w:val="18"/>
                <w:color w:val="auto"/>
              </w:rPr>
              <w:t>32,971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44,784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5"/>
        </w:trPr>
        <w:tc>
          <w:tcPr>
            <w:tcW w:w="2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59.6 %</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of products sold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8"/>
              <w:spacing w:after="0" w:line="16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line="16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35" w:lineRule="exact"/>
        <w:rPr>
          <w:sz w:val="20"/>
          <w:szCs w:val="20"/>
          <w:color w:val="auto"/>
        </w:rPr>
      </w:pPr>
    </w:p>
    <w:p>
      <w:pPr>
        <w:ind w:right="80" w:firstLine="318"/>
        <w:spacing w:after="0" w:line="274" w:lineRule="auto"/>
        <w:rPr>
          <w:sz w:val="20"/>
          <w:szCs w:val="20"/>
          <w:color w:val="auto"/>
        </w:rPr>
      </w:pPr>
      <w:r>
        <w:rPr>
          <w:rFonts w:ascii="Arial" w:cs="Arial" w:eastAsia="Arial" w:hAnsi="Arial"/>
          <w:sz w:val="17"/>
          <w:szCs w:val="17"/>
          <w:color w:val="auto"/>
        </w:rPr>
        <w:t xml:space="preserve">Cost of goods sold decreased by $16.6 million, or 3.8%, to $426.0 million in 2023 as compared to the prior year. As a percentage of net revenues, cost of goods sold increased to 124.1% of net revenues in 2023 from 105.7% of net revenues in the prior year. The decrease in cost of goods sold was primarily due to lower volume of products sold and, to a lesser extent, increased cost per pound. On a per pound basis, cost of goods sold was impacted by higher provision for excess and obsolete inventory and accelerated depreciation on planned write-offs and disposals of certain fixed assets, partially offset by lower logistics costs, lower manufacturing costs and lower materials costs. The introduction of Beyond Meat Jerky in the first quarter of 2022 negatively impacted cost per pound in 2022 but had a substantially lower impact in 2023 as a result of meaningfully reduced sales of Beyond Meat Jerky to TPP in 2023 as compared to 2022. In the year ended December 31, 2023, depreciation expense benefited by $19.0 million as a result of a change in the estimated useful lives of certain of our large manufacturing equipment, relative to depreciation expense utilizing our previous estimated useful lives.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to the Notes to Consolidated Financial Statements, included elsewhere in this report. Cost of goods sold in 2022 included $22.6 million in write-offs of excess and obsolete inventories and $1.0 million in write-down of inventory to lower of cost or net realizable value.</w:t>
      </w:r>
    </w:p>
    <w:p>
      <w:pPr>
        <w:spacing w:after="0" w:line="129" w:lineRule="exact"/>
        <w:rPr>
          <w:sz w:val="20"/>
          <w:szCs w:val="20"/>
          <w:color w:val="auto"/>
        </w:rPr>
      </w:pPr>
    </w:p>
    <w:p>
      <w:pPr>
        <w:ind w:right="180" w:firstLine="318"/>
        <w:spacing w:after="0" w:line="267" w:lineRule="auto"/>
        <w:rPr>
          <w:sz w:val="20"/>
          <w:szCs w:val="20"/>
          <w:color w:val="auto"/>
        </w:rPr>
      </w:pPr>
      <w:r>
        <w:rPr>
          <w:rFonts w:ascii="Arial" w:cs="Arial" w:eastAsia="Arial" w:hAnsi="Arial"/>
          <w:sz w:val="18"/>
          <w:szCs w:val="18"/>
          <w:color w:val="auto"/>
        </w:rPr>
        <w:t>Cost of goods sold in 2023 included $66.9 million in costs resulting from our Global Operations Review including incremental provision for excess and obsolete inventory, accelerated depreciation on planned write-offs or disposals of fixed assets, and write-off of prepaid raw materials cost. In addition, cost of goods sold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804545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1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2023 included contract termination costs associated with certain co-manufacturing agreements in the amount of $4.4 million and additional specific provision, primarily for inventory associated with a large QSR customer in the amount of $ 6.1 million. Cost of goods sold in 2022 included contract termination and underutilization fees associated with a certain co-manufacturing agreement in the amounts of $4.1 million and $5.0 million, respectively.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(Loss) Profit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4"/>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580" w:type="dxa"/>
            <w:vAlign w:val="bottom"/>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1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96"/>
              <w:spacing w:after="0" w:line="165" w:lineRule="exact"/>
              <w:rPr>
                <w:sz w:val="20"/>
                <w:szCs w:val="20"/>
                <w:color w:val="auto"/>
              </w:rPr>
            </w:pPr>
            <w:r>
              <w:rPr>
                <w:rFonts w:ascii="Arial" w:cs="Arial" w:eastAsia="Arial" w:hAnsi="Arial"/>
                <w:sz w:val="16"/>
                <w:szCs w:val="16"/>
                <w:b w:val="1"/>
                <w:bCs w:val="1"/>
                <w:color w:val="auto"/>
              </w:rPr>
              <w:t>2023</w:t>
            </w:r>
          </w:p>
        </w:tc>
        <w:tc>
          <w:tcPr>
            <w:tcW w:w="4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35"/>
              <w:spacing w:after="0" w:line="16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796"/>
              <w:spacing w:after="0" w:line="16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5"/>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(82,655)</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(23,743)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(58,912)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248.1 %</w:t>
            </w:r>
          </w:p>
        </w:tc>
      </w:tr>
      <w:tr>
        <w:trPr>
          <w:trHeight w:val="232"/>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496"/>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 in 2023 was a loss of $82.7 million, as compared to a loss of $23.7 million, in the prior year, a decline of $58.9 million or</w:t>
      </w:r>
    </w:p>
    <w:p>
      <w:pPr>
        <w:spacing w:after="0" w:line="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248.1%. Gross margin in 2023 decreased to a negative gross margin of 24.1% from a negative gross margin of 5.7% in the prior year. Gross profit and gross margin decreased primarily due to a 10.8% decrease in net revenue per pound, a 8.1% decrease in total volume of products sold, and a 4.8% increase in cost per pound in 2023 compared to the prior year.</w:t>
      </w:r>
    </w:p>
    <w:p>
      <w:pPr>
        <w:spacing w:after="0" w:line="132"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 xml:space="preserve">Gross profit and gross margin in 2023 as compared to 2022 were negatively impacted by lower net revenues per pound, higher inventory provision per pound and higher manufacturing costs including depreciation, partially offset by lower logistics costs and lower materials costs per pound. The increase in inventory provision included $38.0 million in non-cash charges resulting from our Global Operations Review. In addition, gross profit and gross margin in 2023 included a $4.4 million in contract termination costs associated with a certain co-manufacturing agreement and $6.1 million in additional provision for inventory associated with a large QSR customer. In 2023, gross profit and gross margin benefited by $19.0 million and 23%, respectively, as a result of a change in the estimated useful lives of certain of our large manufacturing equipment, as compared to those same measures calculated using our previous estimated useful lives.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w:t>
      </w:r>
      <w:r>
        <w:rPr>
          <w:rFonts w:ascii="Arial" w:cs="Arial" w:eastAsia="Arial" w:hAnsi="Arial"/>
          <w:sz w:val="18"/>
          <w:szCs w:val="18"/>
          <w:color w:val="auto"/>
        </w:rPr>
        <w:t>, to the Notes to Consolidated Financial Statements included elsewhere in this report.</w:t>
      </w:r>
    </w:p>
    <w:p>
      <w:pPr>
        <w:spacing w:after="0" w:line="127" w:lineRule="exact"/>
        <w:rPr>
          <w:sz w:val="20"/>
          <w:szCs w:val="20"/>
          <w:color w:val="auto"/>
        </w:rPr>
      </w:pPr>
    </w:p>
    <w:p>
      <w:pPr>
        <w:jc w:val="both"/>
        <w:ind w:right="140" w:firstLine="318"/>
        <w:spacing w:after="0" w:line="265" w:lineRule="auto"/>
        <w:rPr>
          <w:sz w:val="20"/>
          <w:szCs w:val="20"/>
          <w:color w:val="auto"/>
        </w:rPr>
      </w:pPr>
      <w:r>
        <w:rPr>
          <w:rFonts w:ascii="Arial" w:cs="Arial" w:eastAsia="Arial" w:hAnsi="Arial"/>
          <w:sz w:val="18"/>
          <w:szCs w:val="18"/>
          <w:color w:val="auto"/>
        </w:rPr>
        <w:t xml:space="preserve">As disclosed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 and Handling Costs</w:t>
      </w:r>
      <w:r>
        <w:rPr>
          <w:rFonts w:ascii="Arial" w:cs="Arial" w:eastAsia="Arial" w:hAnsi="Arial"/>
          <w:sz w:val="18"/>
          <w:szCs w:val="18"/>
          <w:color w:val="auto"/>
        </w:rPr>
        <w:t>, in the Notes to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8"/>
              <w:spacing w:after="0" w:line="16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line="16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bl>
    <w:p>
      <w:pPr>
        <w:spacing w:after="0" w:line="222"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Research and development expenses decreased $22.7 million, or 36.5%, in 2023, as compared to the prior year. Research and development expenses decreased primarily due to $17.4 million in lower scale-up expenses and $14.3 million in lower salaries and related expenses compared to the prior year, resulting from a lower headcount, partially offset by higher facility lease-related costs and approximately $1.0 million in incremental accelerated depreciation from planned write-offs and disposals of certain fixed assets associated with research and development resulting from our Global Operations Review.</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8"/>
              <w:spacing w:after="0" w:line="16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6"/>
              <w:spacing w:after="0" w:line="16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1384"/>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1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SG&amp;A expenses decreased by $19.2 million, or 8.0%, in 2023, to $220.3 million or 64.2% of net revenues as compared to the prior year. The decrease was primarily due to $15.6 million in lower salaries and related expenses resulting from a lower headcount, $14.0 million in lower marketing expenses including $5.4 million in lower advertising expenses, $6.8 million in lower outbound freight expenses, $4.8 million in lower share-based compensation expenses, $2.7 million in lower product donations and $2.1 million in lower legal fees, partially offset by $19.2 million in higher loss on sale and write-down of fixed assets to fair value, $3.8 million in write-off of an uncollectible note receivable that was previously recorded for assets sold and $2.5 million in higher consulting expenses. In 2023, SG&amp;A expenses included $16.6 million in non-cash charges from the loss on sale and write-down of fixed assets to fair value resulting from the Global Operations Review, which primarily included the write-down of assets held for sale to their estimated net realizable value less cost to sell.</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64"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a credit of $(0.6) million, primarily driven by a reversal of certain accruals in 2023 and restructuring expenses of $17.3 million in 2022, primarily related to legal and other expenses associated with the dispute. As of December 31, 2023 and 2022, there were $0 and $0.7 million, respectively, in accrued unpaid restructuring expenses. On October 18, 2022, the parties entered into a confidential written settlement agreement and mutual release pursuant to which the parties agreed to dismiss with prejudice all claims and cross-claims asserted in the associated cases filed in the Superior Court of the State of California for the County of Los Angeles and the United States District Court for the Central District of California.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64"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8"/>
          <w:szCs w:val="18"/>
          <w:color w:val="auto"/>
        </w:rPr>
        <w:t>Loss from operations in 2023 was $ 341.9 million compared to loss from operations of $342.8 million in the prior year. The decrease in loss from operations was primarily driven by the decline in gross profit, fully offset by lower SG&amp;A expenses, research and development expenses and restructuring expenses.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64"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Total other income (expense), net, in the year ended December 31, 2023 of $7.7 million consisted primarily of $10.8 million in interest income and $1.1 million in realized and unrealized foreign currency transaction gains due to favorable changes in foreign currency exchange rates of the Euro and Chinese Yuan, partially offset by $4.0 million in interest expense from the amortization of convertible debt issuance costs. Total other expense, net, in the year ended December 31, 2022 of $4.4 million consisted primarily of $4.0 million in interest expense from the amortization of convertible debt issuance costs and $4.9 million in realized and unrealized foreign currency transaction losses due to unfavorable changes in foreign currency exchange rates of the Euro and Chinese Yuan, partially offset by $4.5 million in interest income.</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4"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8"/>
          <w:szCs w:val="18"/>
          <w:color w:val="auto"/>
        </w:rPr>
        <w:t>For 2023 and 2022, we recorded an income tax expense of $5,000 and $32,000, respectively. These amounts primarily consist of income taxes for state jurisdictions which have minimum tax requirements. No tax benefit was provided for losses incurred because those losses were offset by a full valuation allowance.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w:t>
      </w:r>
    </w:p>
    <w:p>
      <w:pPr>
        <w:spacing w:after="0" w:line="164"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Net loss was $338.1 million in 2023 compared to $366.1 million in the prior year. This decrease in net loss was driven by the year-over-year decrease in operating expenses and increase in Other income, net, partially offset by the decrease in gross profit.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6"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We use the non-GAAP financial measures set forth below in assessing our operating performance and in our financial communications. Management believes these non-GAAP financial measures provide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1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39" w:lineRule="exact"/>
        <w:rPr>
          <w:sz w:val="20"/>
          <w:szCs w:val="20"/>
          <w:color w:val="auto"/>
        </w:rPr>
      </w:pPr>
    </w:p>
    <w:p>
      <w:pPr>
        <w:ind w:right="280" w:firstLine="318"/>
        <w:spacing w:after="0" w:line="267" w:lineRule="auto"/>
        <w:rPr>
          <w:sz w:val="20"/>
          <w:szCs w:val="20"/>
          <w:color w:val="auto"/>
        </w:rPr>
      </w:pPr>
      <w:r>
        <w:rPr>
          <w:rFonts w:ascii="Arial" w:cs="Arial" w:eastAsia="Arial" w:hAnsi="Arial"/>
          <w:sz w:val="18"/>
          <w:szCs w:val="18"/>
          <w:color w:val="auto"/>
        </w:rPr>
        <w:t>“Adjusted EBITDA” is defined as net loss adjusted to exclude, when applicable, income tax expense, interest expense, depreciation and amortization expense, restructuring expenses, share-based compensation expense, and Other, net, including interest income, loss on extinguishment of debt and foreign currency transaction gains and losses.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77"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measures. Some of these limitations are:</w:t>
      </w:r>
    </w:p>
    <w:p>
      <w:pPr>
        <w:spacing w:after="0" w:line="124" w:lineRule="exact"/>
        <w:rPr>
          <w:sz w:val="20"/>
          <w:szCs w:val="20"/>
          <w:color w:val="auto"/>
        </w:rPr>
      </w:pPr>
    </w:p>
    <w:p>
      <w:pPr>
        <w:ind w:left="640" w:right="500" w:hanging="316"/>
        <w:spacing w:after="0" w:line="290"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177"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interest income, loss on extinguishment of debt and foreign currency transaction gains and losses, that may increase or decrease cash available to us; and</w:t>
      </w:r>
    </w:p>
    <w:p>
      <w:pPr>
        <w:spacing w:after="0" w:line="123" w:lineRule="exact"/>
        <w:rPr>
          <w:rFonts w:ascii="Arial" w:cs="Arial" w:eastAsia="Arial" w:hAnsi="Arial"/>
          <w:sz w:val="18"/>
          <w:szCs w:val="18"/>
          <w:color w:val="auto"/>
        </w:rPr>
      </w:pPr>
    </w:p>
    <w:p>
      <w:pPr>
        <w:ind w:left="640" w:right="280" w:hanging="316"/>
        <w:spacing w:after="0" w:line="290"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114" w:lineRule="exact"/>
        <w:rPr>
          <w:sz w:val="20"/>
          <w:szCs w:val="20"/>
          <w:color w:val="auto"/>
        </w:rPr>
      </w:pPr>
    </w:p>
    <w:p>
      <w:pPr>
        <w:ind w:right="920" w:firstLine="318"/>
        <w:spacing w:after="0" w:line="290"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6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1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12"/>
              <w:spacing w:after="0" w:line="16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12"/>
              <w:spacing w:after="0" w:line="16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(366,137)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(182,105)</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60</w:t>
            </w:r>
          </w:p>
        </w:tc>
      </w:tr>
      <w:tr>
        <w:trPr>
          <w:trHeight w:val="225"/>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3,648</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48,094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21,663</w:t>
            </w:r>
          </w:p>
        </w:tc>
      </w:tr>
      <w:tr>
        <w:trPr>
          <w:trHeight w:val="225"/>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15,794</w:t>
            </w:r>
          </w:p>
        </w:tc>
      </w:tr>
      <w:tr>
        <w:trPr>
          <w:trHeight w:val="225"/>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29,098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33,857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27,698</w:t>
            </w:r>
          </w:p>
        </w:tc>
      </w:tr>
      <w:tr>
        <w:trPr>
          <w:trHeight w:val="225"/>
        </w:trPr>
        <w:tc>
          <w:tcPr>
            <w:tcW w:w="2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(2)(3)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(11,616)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487</w:t>
            </w:r>
          </w:p>
        </w:tc>
      </w:tr>
      <w:tr>
        <w:trPr>
          <w:trHeight w:val="192"/>
        </w:trPr>
        <w:tc>
          <w:tcPr>
            <w:tcW w:w="20" w:type="dxa"/>
            <w:vAlign w:val="bottom"/>
          </w:tcPr>
          <w:p>
            <w:pPr>
              <w:spacing w:after="0"/>
              <w:rPr>
                <w:sz w:val="16"/>
                <w:szCs w:val="16"/>
                <w:color w:val="auto"/>
              </w:rPr>
            </w:pPr>
          </w:p>
        </w:tc>
        <w:tc>
          <w:tcPr>
            <w:tcW w:w="6340" w:type="dxa"/>
            <w:vAlign w:val="bottom"/>
            <w:gridSpan w:val="2"/>
          </w:tcPr>
          <w:p>
            <w:pPr>
              <w:spacing w:after="0" w:line="192" w:lineRule="exact"/>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2"/>
              <w:spacing w:after="0" w:line="19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93"/>
              <w:spacing w:after="0" w:line="192" w:lineRule="exact"/>
              <w:rPr>
                <w:sz w:val="20"/>
                <w:szCs w:val="20"/>
                <w:color w:val="auto"/>
              </w:rPr>
            </w:pPr>
            <w:r>
              <w:rPr>
                <w:rFonts w:ascii="Arial" w:cs="Arial" w:eastAsia="Arial" w:hAnsi="Arial"/>
                <w:sz w:val="18"/>
                <w:szCs w:val="18"/>
                <w:color w:val="auto"/>
              </w:rPr>
              <w:t>(269,239)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2"/>
              <w:spacing w:after="0" w:line="192" w:lineRule="exact"/>
              <w:rPr>
                <w:sz w:val="20"/>
                <w:szCs w:val="20"/>
                <w:color w:val="auto"/>
              </w:rPr>
            </w:pPr>
            <w:r>
              <w:rPr>
                <w:rFonts w:ascii="Arial" w:cs="Arial" w:eastAsia="Arial" w:hAnsi="Arial"/>
                <w:sz w:val="18"/>
                <w:szCs w:val="18"/>
                <w:color w:val="auto"/>
              </w:rPr>
              <w:t>(278,021)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2"/>
              <w:spacing w:after="0" w:line="192" w:lineRule="exact"/>
              <w:rPr>
                <w:sz w:val="20"/>
                <w:szCs w:val="20"/>
                <w:color w:val="auto"/>
              </w:rPr>
            </w:pPr>
            <w:r>
              <w:rPr>
                <w:rFonts w:ascii="Arial" w:cs="Arial" w:eastAsia="Arial" w:hAnsi="Arial"/>
                <w:sz w:val="18"/>
                <w:szCs w:val="18"/>
                <w:color w:val="auto"/>
              </w:rPr>
              <w:t>(112,755)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a % of net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2"/>
        </w:trPr>
        <w:tc>
          <w:tcPr>
            <w:tcW w:w="20" w:type="dxa"/>
            <w:vAlign w:val="bottom"/>
          </w:tcPr>
          <w:p>
            <w:pPr>
              <w:spacing w:after="0"/>
              <w:rPr>
                <w:sz w:val="20"/>
                <w:szCs w:val="20"/>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Adjusted EBITDA as a % of net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108" w:lineRule="exact"/>
        <w:rPr>
          <w:sz w:val="20"/>
          <w:szCs w:val="20"/>
          <w:color w:val="auto"/>
        </w:rPr>
      </w:pPr>
    </w:p>
    <w:p>
      <w:pPr>
        <w:ind w:left="540" w:right="260" w:hanging="516"/>
        <w:spacing w:after="0" w:line="287" w:lineRule="auto"/>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Primarily comprised of legal and other expenses associated with the dispute with a co-manufacturer with whom an exclusive supply agreement was terminated in May 2017. On October 18, 2022, the parties to this dispute entered into a confidential written settlement agreement and mutual release related to this matter. In the year ended December 31, 2023, we recorded a credit of $(0.6) million, in restructuring expenses, primarily driven by a reversal of certain accruals. See </w:t>
      </w:r>
      <w:r>
        <w:rPr>
          <w:rFonts w:ascii="Arial" w:cs="Arial" w:eastAsia="Arial" w:hAnsi="Arial"/>
          <w:sz w:val="15"/>
          <w:szCs w:val="15"/>
          <w:u w:val="single" w:color="auto"/>
          <w:color w:val="0000FF"/>
        </w:rPr>
        <w:t>Note 3</w:t>
      </w:r>
      <w:r>
        <w:rPr>
          <w:rFonts w:ascii="Arial" w:cs="Arial" w:eastAsia="Arial" w:hAnsi="Arial"/>
          <w:sz w:val="15"/>
          <w:szCs w:val="15"/>
          <w:color w:val="auto"/>
        </w:rPr>
        <w:t xml:space="preserve">, </w:t>
      </w:r>
      <w:r>
        <w:rPr>
          <w:rFonts w:ascii="Arial" w:cs="Arial" w:eastAsia="Arial" w:hAnsi="Arial"/>
          <w:sz w:val="15"/>
          <w:szCs w:val="15"/>
          <w:i w:val="1"/>
          <w:iCs w:val="1"/>
          <w:color w:val="auto"/>
        </w:rPr>
        <w:t>Restructuring,</w:t>
      </w:r>
      <w:r>
        <w:rPr>
          <w:rFonts w:ascii="Arial" w:cs="Arial" w:eastAsia="Arial" w:hAnsi="Arial"/>
          <w:sz w:val="15"/>
          <w:szCs w:val="15"/>
          <w:color w:val="auto"/>
        </w:rPr>
        <w:t xml:space="preserve"> to the Notes to Consolidated Financial Statements included elsewhere in this report.</w:t>
      </w:r>
    </w:p>
    <w:p>
      <w:pPr>
        <w:spacing w:after="0" w:line="49" w:lineRule="exact"/>
        <w:rPr>
          <w:rFonts w:ascii="Arial" w:cs="Arial" w:eastAsia="Arial" w:hAnsi="Arial"/>
          <w:sz w:val="15"/>
          <w:szCs w:val="15"/>
          <w:color w:val="auto"/>
        </w:rPr>
      </w:pPr>
    </w:p>
    <w:p>
      <w:pPr>
        <w:ind w:left="540" w:right="500" w:hanging="516"/>
        <w:spacing w:after="0" w:line="293"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$1.1 million, $(4.9) million and $(0.2) million in net foreign currency transaction gains (losses) in 2023, 2022 and 2021, respectively. Also includes $1.0 million loss on extinguishment of debt associated with termination of the Company’s credit facility in 2021.</w:t>
      </w:r>
    </w:p>
    <w:p>
      <w:pPr>
        <w:spacing w:after="0" w:line="41" w:lineRule="exact"/>
        <w:rPr>
          <w:rFonts w:ascii="Arial" w:cs="Arial" w:eastAsia="Arial" w:hAnsi="Arial"/>
          <w:sz w:val="16"/>
          <w:szCs w:val="16"/>
          <w:color w:val="auto"/>
        </w:rPr>
      </w:pPr>
    </w:p>
    <w:p>
      <w:pPr>
        <w:ind w:left="540" w:hanging="5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$10.8 million, $4.5 million and $0.2 million in interest income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ATM Program</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On May 10, 2023, we filed an automatically effective shelf registration statement on Form S-3 with the SEC, which allows us to sell, from time to time, and at our discretion, subject to our compliance with applicable laws and the applicable requirements of the Equity Distribution Agreement (as defined below), shares of our common stock having an aggregate offering price of up to $200.0 million pursuant to an “at the market” offering program (the “ATM Program”). We intend to use the net proceeds, if any, from sales of our common stock issued under the ATM Program for general corporate and working capital purposes. The timing of any sales and the number of shares sold, if any, will depend on a variety of factors to be determined by us.</w:t>
      </w:r>
    </w:p>
    <w:p>
      <w:pPr>
        <w:spacing w:after="0" w:line="13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shares will be offered pursuant to an equity distribution agreement between us and Goldman Sachs and Co. LLC (“Goldman Sachs”), as sales agent (the “Equity Distribution Agreement”). We will pay Goldman Sachs a commission equal to 3.25% of the aggregate gross proceeds of any shares sold through Goldman Sachs pursuant to the Equity Distribution Agreement. We are not obligated to sell any shares under the Equity Distribution Agreement. As of December 31, 2023, no sales had been made under the Equity Distribution Agreement and the ATM Program’s full capacity remained available.</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4" w:lineRule="exact"/>
        <w:rPr>
          <w:sz w:val="20"/>
          <w:szCs w:val="20"/>
          <w:color w:val="auto"/>
        </w:rPr>
      </w:pPr>
    </w:p>
    <w:p>
      <w:pPr>
        <w:ind w:right="240" w:firstLine="318"/>
        <w:spacing w:after="0" w:line="298" w:lineRule="auto"/>
        <w:rPr>
          <w:sz w:val="20"/>
          <w:szCs w:val="20"/>
          <w:color w:val="auto"/>
        </w:rPr>
      </w:pPr>
      <w:r>
        <w:rPr>
          <w:rFonts w:ascii="Arial" w:cs="Arial" w:eastAsia="Arial" w:hAnsi="Arial"/>
          <w:sz w:val="17"/>
          <w:szCs w:val="17"/>
          <w:color w:val="auto"/>
        </w:rPr>
        <w:t xml:space="preserve">In 2021, we issued a total of $1.15 billion aggregate principal amount of 0% Convertible Senior Notes due 2027 (the “Notes”) in a private placement to qualified institutional buyers pursuant to Rule 144A under the Securities Act of 1933, as amended (the “Securities Act”). For a discussion about the Notes, see </w:t>
      </w:r>
      <w:r>
        <w:rPr>
          <w:rFonts w:ascii="Arial" w:cs="Arial" w:eastAsia="Arial" w:hAnsi="Arial"/>
          <w:sz w:val="17"/>
          <w:szCs w:val="17"/>
          <w:u w:val="single" w:color="auto"/>
          <w:color w:val="0000FF"/>
        </w:rPr>
        <w:t>Note 7</w:t>
      </w:r>
      <w:r>
        <w:rPr>
          <w:rFonts w:ascii="Arial" w:cs="Arial" w:eastAsia="Arial" w:hAnsi="Arial"/>
          <w:sz w:val="17"/>
          <w:szCs w:val="17"/>
          <w:color w:val="auto"/>
        </w:rPr>
        <w:t>, Debt, to the Notes to Consolidated Financial Statements included elsewhere in this report.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 xml:space="preserve">In 2024, our cash from operations could be affected by various risks and uncertainties, including, but not limited to, the risks detailed in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Regarding Forward-Looking Statements</w:t>
      </w:r>
      <w:r>
        <w:rPr>
          <w:rFonts w:ascii="Arial" w:cs="Arial" w:eastAsia="Arial" w:hAnsi="Arial"/>
          <w:sz w:val="18"/>
          <w:szCs w:val="18"/>
          <w:color w:val="auto"/>
        </w:rPr>
        <w:t xml:space="preserve"> included elsewhere in this report. In addition, inflation, rising and higher interest rates, overall economic conditions, concerns about the likelihood of a recession and hostilities in Eastern Europe and the Middle East, among other factors, have led to increased disruption and volatility in capital markets and credit markets generally, which could adversely affect our ability to access capital resources in the future and potentially harm our liquidity outlook.</w:t>
      </w:r>
    </w:p>
    <w:p>
      <w:pPr>
        <w:spacing w:after="0" w:line="120"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Our current business plan is to continue to reduce operating expenses and utilize inventory management to reduce working capital. To further reduce operating expenses, in the fourth quarter of 2023, we announced the initiation of our Global Operations Review, which involves narrowing our commercial focus to certain growth opportunities and accelerating activities that prioritize gross margin expansion and cash generation. These efforts have to date included, and may in the future include, the discontinuation of select product lines such as Beyond Meat Jerky; changes to our pricing architecture within certain channels (including our current plan to increase the prices of certain of our products); accelerated, cash-accretive inventory reduction initiatives; further optimization of our manufacturing capacity and real estate footprint; and the continued review of our operations in China.</w:t>
      </w:r>
    </w:p>
    <w:p>
      <w:pPr>
        <w:spacing w:after="0" w:line="14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Based on our current business plan, we believe that our existing cash balances, including our anticipated cash flow from operations, will be sufficient to finance our operations and meet our foreseeable cash requirements through at least the next twelve months. We anticipate that we will seek to raise additional capital in 2024, which may include the issuance of debt or equity securities, including through the ATM Program, subject to our compliance with applicable laws and the applicable requirements of the Equity Distribution Agreement, or securities convertible into or exchangeable for our common stock. Such financing and other potential financings may result in dilution to stockholders, reduction in the market price of our common stock, imposition of debt covenants and repayment obligations, or other restrictions that may adversely affect our business. In addition, we may seek additional capital due to favorable market conditions or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1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considerations even if we believe we have sufficient funds for our current or future operating plans. However, we may be unable to raise additional funds or enter into such other arrangements when needed, on favorable terms or at all. Our cash requirements under our significant contractual obligations and commitments are listed below in the section titled “</w:t>
      </w:r>
      <w:r>
        <w:rPr>
          <w:rFonts w:ascii="Arial" w:cs="Arial" w:eastAsia="Arial" w:hAnsi="Arial"/>
          <w:sz w:val="18"/>
          <w:szCs w:val="18"/>
          <w:i w:val="1"/>
          <w:iCs w:val="1"/>
          <w:color w:val="auto"/>
        </w:rPr>
        <w:t>Contractual Obligations and Commitment</w:t>
      </w:r>
      <w:r>
        <w:rPr>
          <w:rFonts w:ascii="Arial" w:cs="Arial" w:eastAsia="Arial" w:hAnsi="Arial"/>
          <w:sz w:val="18"/>
          <w:szCs w:val="18"/>
          <w:color w:val="auto"/>
        </w:rPr>
        <w:t>s.”</w:t>
      </w:r>
    </w:p>
    <w:p>
      <w:pPr>
        <w:spacing w:after="0" w:line="131" w:lineRule="exact"/>
        <w:rPr>
          <w:sz w:val="20"/>
          <w:szCs w:val="20"/>
          <w:color w:val="auto"/>
        </w:rPr>
      </w:pPr>
    </w:p>
    <w:p>
      <w:pPr>
        <w:ind w:firstLine="318"/>
        <w:spacing w:after="0" w:line="274" w:lineRule="auto"/>
        <w:rPr>
          <w:sz w:val="20"/>
          <w:szCs w:val="20"/>
          <w:color w:val="auto"/>
        </w:rPr>
      </w:pPr>
      <w:r>
        <w:rPr>
          <w:rFonts w:ascii="Arial" w:cs="Arial" w:eastAsia="Arial" w:hAnsi="Arial"/>
          <w:sz w:val="17"/>
          <w:szCs w:val="17"/>
          <w:color w:val="auto"/>
        </w:rPr>
        <w:t>Our future capital requirements may vary materially from those currently planned and will depend on many factors including, among others, demand in the plant-based meat category and for our products; our rate of revenue growth; the results of our review of our global operations and the successful implementation of our ongoing cost-reduction initiatives; timing to adjust our supply chain and cost structure in response to material fluctuations in product demand; the number and characteristics of any additional products or manufacturing processes we develop or acquire to serve new or existing markets; our investment in and build out of our Campus Headquarters, including the timing and success of subleasing excess space at our Campus Headquarters; the success of, and expenses associated with, our marketing initiatives; our investment in manufacturing and facilities to optimize our manufacturing and production capacity, including underutilization fees, termination fees and exit costs; our investments in real property and joint ventures; the costs required to fund domestic and international operations and growth; the scope, progress, results and costs of researching and developing future products or improvements to existing products or manufacturing processes; any lawsuits related to our products or commenced against us or our directors and officers; the expenses needed to attract and retain skilled personnel; variations in product selling prices and costs, the timing and success of changes to our pricing architecture within certain channels and the mix of products sold; the level of trade and promotional spending to support our products appropriately; the expenses associated with our sales force; our management of accounts receivable, inventory, accounts payable and other working capital accounts; the impact of foreign currency exchange fluctuations on our cash balances;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13" w:lineRule="exact"/>
        <w:rPr>
          <w:sz w:val="20"/>
          <w:szCs w:val="20"/>
          <w:color w:val="auto"/>
        </w:rPr>
      </w:pPr>
    </w:p>
    <w:p>
      <w:pPr>
        <w:jc w:val="both"/>
        <w:ind w:right="120" w:firstLine="318"/>
        <w:spacing w:after="0" w:line="277" w:lineRule="auto"/>
        <w:rPr>
          <w:sz w:val="20"/>
          <w:szCs w:val="20"/>
          <w:color w:val="auto"/>
        </w:rPr>
      </w:pPr>
      <w:r>
        <w:rPr>
          <w:rFonts w:ascii="Arial" w:cs="Arial" w:eastAsia="Arial" w:hAnsi="Arial"/>
          <w:sz w:val="17"/>
          <w:szCs w:val="17"/>
          <w:color w:val="auto"/>
        </w:rPr>
        <w:t>Our operating environment continues to be affected by uncertainty related to macroeconomic issues, including ongoing, further weakened demand in the plant-based meat category, high inflation, higher interest rates, and concerns about the likelihood of a recession, among other things, all of which have had and could continue to have unforeseen impacts on our actual realized results, including our liquidity outlook.</w:t>
      </w:r>
    </w:p>
    <w:p>
      <w:pPr>
        <w:spacing w:after="0" w:line="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Although in the third quarter of 2023 we met our previously stated target of achieving cash flow positive operations within the second half of 2023, this outcome included the benefit of certain transitory factors which abated and, as such, we did not sustain free cash flow positive operations in the fourth quarter of 2023. Our ability to make progress toward our goal of achieving sustained cash flow positive operations is dependent on a number of assumptions and uncertainties, including, without limitation, demand in the plant-based meat category and for our products; our ability to reduce costs and achieve positive gross margins; our ability to grow revenues and meet operating expense reduction targets, which may be subject to factors beyond our control; timing of capital expenditures; and our ability to monetize inventory and manage working capital.</w:t>
      </w:r>
    </w:p>
    <w:p>
      <w:pPr>
        <w:spacing w:after="0" w:line="142"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On November 1, 2023, our board of directors approved a plan to reduce our workforce by approximately 65 employees, representing approximately 19% of our global non-production workforce (or approximately 8% of our total global workforce). This decision was based on cost-reduction initiatives intended to reduce operating expenses. In 2023, we incurred one-time cash charges of approximately $1.8 million in connection with the reduction-in-force, primarily consisting of notice period and severance payments, employee benefits and related costs. These charges were incurred in the fourth quarter of 2023, and the reduction-in-force was substantially complete by the end of 2023, but local law and consultation requirements may extend the process beyond the end of 2023 in certain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4" w:name="page85"/>
    <w:bookmarkEnd w:id="84"/>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our business. We finance our operations primarily through sales of our products and existing cash.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at a public offering price of $25.00 per share and received approximately $ 252.4 million in net proceeds. In 2019, we completed a secondary public offering of our common stock in which we sold 250,000 shares and certain selling stockholders sold 3,487,500 shares. We sold 250,000 shares of our common stock at a public offering price of $160.00 per share and received approximately $37.4 million in net proceeds.</w:t>
      </w:r>
    </w:p>
    <w:p>
      <w:pPr>
        <w:spacing w:after="0" w:line="140"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 xml:space="preserve">In 2021, we issued a total of $1.15 billion in aggregate principal amount of Notes as discussed above.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Consolidated Financial Statements included elsewhere in this report. On May 10, 2023, we filed an automatically effective shelf registration statement on Form S-3, in connection with our ATM Program, discussed above. As of December 31, 2023, no sales had been made under the Equity Distribution Agreement and the ATM Program’s full capacity remained available.</w:t>
      </w:r>
    </w:p>
    <w:p>
      <w:pPr>
        <w:spacing w:after="0" w:line="119" w:lineRule="exact"/>
        <w:rPr>
          <w:sz w:val="20"/>
          <w:szCs w:val="20"/>
          <w:color w:val="auto"/>
        </w:rPr>
      </w:pPr>
    </w:p>
    <w:p>
      <w:pPr>
        <w:jc w:val="both"/>
        <w:ind w:right="40" w:firstLine="318"/>
        <w:spacing w:after="0" w:line="275" w:lineRule="auto"/>
        <w:rPr>
          <w:sz w:val="20"/>
          <w:szCs w:val="20"/>
          <w:color w:val="auto"/>
        </w:rPr>
      </w:pPr>
      <w:r>
        <w:rPr>
          <w:rFonts w:ascii="Arial" w:cs="Arial" w:eastAsia="Arial" w:hAnsi="Arial"/>
          <w:sz w:val="18"/>
          <w:szCs w:val="18"/>
          <w:color w:val="auto"/>
        </w:rPr>
        <w:t>As of December 31, 2023, we had $190.5 million in unrestricted cash and cash equivalents and $15.4 million in restricted cash, which was comprised of $12.6 million to secure the letter of credit to support the development and leasing of our Campus Headquarters and $2.8 million to secure a letter of credit associated with a third party contract manufacturer in Europe.</w:t>
      </w:r>
    </w:p>
    <w:p>
      <w:pPr>
        <w:spacing w:after="0" w:line="110"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We anticipate that we will seek to raise additional capital in 2024, which may include the issuance of debt or equity securities, including through our ATM Program, subject to our compliance with applicable laws and the applicable requirements of the Equity Distribution Agreement, or securities convertible into or exchangeable for our common stock.</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64" w:lineRule="exact"/>
        <w:rPr>
          <w:sz w:val="20"/>
          <w:szCs w:val="20"/>
          <w:color w:val="auto"/>
        </w:rPr>
      </w:pPr>
    </w:p>
    <w:p>
      <w:pPr>
        <w:ind w:right="220" w:firstLine="318"/>
        <w:spacing w:after="0" w:line="290"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67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4"/>
                <w:szCs w:val="14"/>
                <w:color w:val="auto"/>
              </w:rPr>
            </w:pPr>
          </w:p>
        </w:tc>
        <w:tc>
          <w:tcPr>
            <w:tcW w:w="1080" w:type="dxa"/>
            <w:vAlign w:val="bottom"/>
          </w:tcPr>
          <w:p>
            <w:pPr>
              <w:jc w:val="right"/>
              <w:ind w:right="435"/>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4"/>
              <w:spacing w:after="0" w:line="165" w:lineRule="exact"/>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4"/>
                <w:szCs w:val="14"/>
                <w:color w:val="auto"/>
              </w:rPr>
            </w:pPr>
          </w:p>
        </w:tc>
        <w:tc>
          <w:tcPr>
            <w:tcW w:w="1100" w:type="dxa"/>
            <w:vAlign w:val="bottom"/>
          </w:tcPr>
          <w:p>
            <w:pPr>
              <w:jc w:val="right"/>
              <w:ind w:right="474"/>
              <w:spacing w:after="0" w:line="16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Cash (used in) provided by:</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(107,825)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(320,244)</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(301,370)</w:t>
            </w:r>
          </w:p>
        </w:tc>
      </w:tr>
      <w:tr>
        <w:trPr>
          <w:trHeight w:val="225"/>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(87,527)</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(147,479)</w:t>
            </w:r>
          </w:p>
        </w:tc>
      </w:tr>
      <w:tr>
        <w:trPr>
          <w:trHeight w:val="232"/>
        </w:trPr>
        <w:tc>
          <w:tcPr>
            <w:tcW w:w="20" w:type="dxa"/>
            <w:vAlign w:val="bottom"/>
          </w:tcPr>
          <w:p>
            <w:pPr>
              <w:spacing w:after="0"/>
              <w:rPr>
                <w:sz w:val="20"/>
                <w:szCs w:val="20"/>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1,022,322</w:t>
            </w: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4" w:lineRule="exact"/>
        <w:rPr>
          <w:sz w:val="20"/>
          <w:szCs w:val="20"/>
          <w:color w:val="auto"/>
        </w:rPr>
      </w:pPr>
    </w:p>
    <w:p>
      <w:pPr>
        <w:ind w:right="20" w:firstLine="318"/>
        <w:spacing w:after="0" w:line="278" w:lineRule="auto"/>
        <w:rPr>
          <w:sz w:val="20"/>
          <w:szCs w:val="20"/>
          <w:color w:val="auto"/>
        </w:rPr>
      </w:pPr>
      <w:r>
        <w:rPr>
          <w:rFonts w:ascii="Arial" w:cs="Arial" w:eastAsia="Arial" w:hAnsi="Arial"/>
          <w:sz w:val="17"/>
          <w:szCs w:val="17"/>
          <w:color w:val="auto"/>
        </w:rPr>
        <w:t xml:space="preserve">In 2023, we incurred a net loss of $338.1 million, which was the primary reason for net cash used in operating activities of $107.8 million. Net cash inflows from changes in our operating assets and liabilities were $114.7 million, primarily due to a decrease in inventory balances, decrease in prepaid expenses and other assets, an increase in accounts payable and a decrease in accounts receivable balances, partially offset by cash outflows due to an increase in prepaid lease costs in the amount of $4.2 million associated with the Campus Lease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Consolidated Financial Statements included elsewhere in this report), a decrease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lease liabilities and a decrease in accrued expenses and other current liabilities. Net loss in 2023, included $ 115.7 million in non-cash expenses primarily comprised of depreciation and amortization expense, share-based compensation expense, loss on sale and write-down of fixed assets, non-cash lease expense, amortization of debt issuance costs, equity in losses in TPP and write-down of a note receivable.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4"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 xml:space="preserve">In 2022, we incurred a net loss of $366.1 million, which was the primary reason for net cash used in operating activities of $320.2 million. Net cash outflows from changes in operating assets and liabilities were primarily due to $55.1 million in cash outflows associated with the prepaid lease costs for the Campus Lease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 payments toward accounts payable and a decrease in accrued expenses. The net cash outflows were partially offset by a decrease in accounts receivable, prepaid expenses and other assets and a decrease in inventory. Net loss in 2022 included $100.1 million in non-cash expenses primarily comprised of share-based compensation expense, depreciation and amortization expense, non-cash lease expense, unrealized loss on foreign currency transactions and amortization of debt issuance costs.</w:t>
      </w:r>
    </w:p>
    <w:p>
      <w:pPr>
        <w:spacing w:after="0" w:line="140"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8"/>
          <w:szCs w:val="18"/>
          <w:color w:val="auto"/>
        </w:rPr>
        <w:t>Depreciation and amortization expense was $48.1 million and $32.6 million in 2023 and 2022, respectively. Depreciation expense in 2023 includes accelerated depreciation on planned write-offs and disposals of fixed assets primarily recorded in cost of good sold as a result of our Global Operations Review.</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64"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Net cash used in investing activities primarily relates to capital expenditures to support our investments in property, plant and equipment and investment in TPP, offset by proceeds from sales of certain fixed assets.</w:t>
      </w:r>
    </w:p>
    <w:p>
      <w:pPr>
        <w:spacing w:after="0" w:line="12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8"/>
          <w:szCs w:val="18"/>
          <w:color w:val="auto"/>
        </w:rPr>
        <w:t>In 2023, net cash used in investing activities was $9.5 million and consisted of $10.6 million in cash outflows to support maintenance and our investments in property, plant and equipment, and $3.3 million for investment in TPP that was previously committed, partially offset by $4.3 million in proceeds from sales of certain fixed assets.</w:t>
      </w:r>
    </w:p>
    <w:p>
      <w:pPr>
        <w:spacing w:after="0" w:line="131" w:lineRule="exact"/>
        <w:rPr>
          <w:sz w:val="20"/>
          <w:szCs w:val="20"/>
          <w:color w:val="auto"/>
        </w:rPr>
      </w:pPr>
    </w:p>
    <w:p>
      <w:pPr>
        <w:ind w:right="340" w:firstLine="318"/>
        <w:spacing w:after="0" w:line="267" w:lineRule="auto"/>
        <w:rPr>
          <w:sz w:val="20"/>
          <w:szCs w:val="20"/>
          <w:color w:val="auto"/>
        </w:rPr>
      </w:pPr>
      <w:r>
        <w:rPr>
          <w:rFonts w:ascii="Arial" w:cs="Arial" w:eastAsia="Arial" w:hAnsi="Arial"/>
          <w:sz w:val="18"/>
          <w:szCs w:val="18"/>
          <w:color w:val="auto"/>
        </w:rPr>
        <w:t>In 2022, net cash used in investing activities was $87.5 million and consisted of $70.5 million in cash outflows for purchases of property, plant and equipment, primarily driven by continued investments in production equipment and facilities related to our capacity expansion initiatives and international expansion, and $13.3 million for investment in TPP.</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64"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8"/>
          <w:szCs w:val="18"/>
          <w:color w:val="auto"/>
        </w:rPr>
        <w:t>In 2023, net cash used in financing activities was $0.6 million which consisted of $0.5 million in payments of minimum withholding taxes on net share settlement of equity awards and $0.2 million for payments under finance lease obligations, partially offset by $0.2 million in proceeds from stock option exercises.</w:t>
      </w:r>
    </w:p>
    <w:p>
      <w:pPr>
        <w:spacing w:after="0" w:line="131" w:lineRule="exact"/>
        <w:rPr>
          <w:sz w:val="20"/>
          <w:szCs w:val="20"/>
          <w:color w:val="auto"/>
        </w:rPr>
      </w:pPr>
    </w:p>
    <w:p>
      <w:pPr>
        <w:ind w:right="80" w:firstLine="318"/>
        <w:spacing w:after="0" w:line="267" w:lineRule="auto"/>
        <w:rPr>
          <w:sz w:val="20"/>
          <w:szCs w:val="20"/>
          <w:color w:val="auto"/>
        </w:rPr>
      </w:pPr>
      <w:r>
        <w:rPr>
          <w:rFonts w:ascii="Arial" w:cs="Arial" w:eastAsia="Arial" w:hAnsi="Arial"/>
          <w:sz w:val="18"/>
          <w:szCs w:val="18"/>
          <w:color w:val="auto"/>
        </w:rPr>
        <w:t>In 2022, net cash provided by financing activities was $0.3 million primarily from $ 1.6 million in proceeds from stock option exercises, partially offset by $1.1 million in payments of minimum withholding taxes on net share settlement of equity awards and $0.2 million in payments under finance lease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 xml:space="preserve">In March 2021, we issued a total of $ 1.15 billion aggregate principal amount of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38" w:lineRule="exact"/>
        <w:rPr>
          <w:sz w:val="20"/>
          <w:szCs w:val="20"/>
          <w:color w:val="auto"/>
        </w:rPr>
      </w:pPr>
    </w:p>
    <w:p>
      <w:pPr>
        <w:ind w:firstLine="318"/>
        <w:spacing w:after="0" w:line="263" w:lineRule="auto"/>
        <w:rPr>
          <w:sz w:val="20"/>
          <w:szCs w:val="20"/>
          <w:color w:val="auto"/>
        </w:rPr>
      </w:pPr>
      <w:r>
        <w:rPr>
          <w:rFonts w:ascii="Arial" w:cs="Arial" w:eastAsia="Arial" w:hAnsi="Arial"/>
          <w:sz w:val="18"/>
          <w:szCs w:val="18"/>
          <w:color w:val="auto"/>
        </w:rPr>
        <w:t>In 2021, we entered into the Campus Lease with HC Hornet Way, LLC, a Delaware limited liability company (the “Landlord”), to house our Campus Headquarters. Although we are involved in the design of the tenant improvements of the Campus Headquarters, we do not have title or possession of the assets during construction. In addition, we do not have the ability to control the leased Campus Headquarters until each phase of the tenant improvements is complete. We contributed $4.2 million and $55.1 million in payments towards the construction of the Campus Headquarters in the years ended December 31, 2023 and 2022, respectively. These payments are initially recorded in “Prepaid lease costs, non-current” in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4"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consolidated balance sheet and will ultimately be recorded as a component of a right-of-use asset upon lease commencement for each phase of the lease. As of December 31, 2023, the Company has recognized a right-of-use asset and lease liability for Phase 1-A and Phase 1-B in its consolidated balance sheet. Aggregate payments towards base rent over the initial lease term associated with the remaining phases not yet delivered to the Company are approximately $79.4 million.</w:t>
      </w:r>
    </w:p>
    <w:p>
      <w:pPr>
        <w:spacing w:after="0" w:line="13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Concurrent with our execution of the Campus Lease, as a security deposit, we delivered to the Landlord a letter of credit in the amount of $12.5 million, which amount will decrease to: (i) $6.3 million on the fifth (5th) anniversary of the Rent Commencement Date,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w:t>
      </w:r>
    </w:p>
    <w:p>
      <w:pPr>
        <w:spacing w:after="0" w:line="13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8"/>
          <w:szCs w:val="18"/>
          <w:color w:val="auto"/>
        </w:rPr>
        <w:t xml:space="preserve">The letter of credit is secured by a $12.6 million deposit reflected in our consolidated balance sheet as “Restricted cash, non-current” as of December 31, 2023 and 2022.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Leases, and </w:t>
      </w:r>
      <w:r>
        <w:rPr>
          <w:rFonts w:ascii="Arial" w:cs="Arial" w:eastAsia="Arial" w:hAnsi="Arial"/>
          <w:sz w:val="18"/>
          <w:szCs w:val="18"/>
          <w:u w:val="single" w:color="auto"/>
          <w:color w:val="0000FF"/>
        </w:rPr>
        <w:t>Note 10</w:t>
      </w:r>
      <w:r>
        <w:rPr>
          <w:rFonts w:ascii="Arial" w:cs="Arial" w:eastAsia="Arial" w:hAnsi="Arial"/>
          <w:sz w:val="18"/>
          <w:szCs w:val="18"/>
          <w:color w:val="auto"/>
        </w:rPr>
        <w:t>, Commitments and Contingencies, to the Notes to Consolidated Financial Statements included elsewhere in this report.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51"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In 2020, we and our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w:t>
      </w:r>
    </w:p>
    <w:p>
      <w:pPr>
        <w:spacing w:after="0" w:line="119" w:lineRule="exact"/>
        <w:rPr>
          <w:sz w:val="20"/>
          <w:szCs w:val="20"/>
          <w:color w:val="auto"/>
        </w:rPr>
      </w:pPr>
    </w:p>
    <w:p>
      <w:pPr>
        <w:ind w:right="20" w:firstLine="318"/>
        <w:spacing w:after="0" w:line="263" w:lineRule="auto"/>
        <w:rPr>
          <w:sz w:val="20"/>
          <w:szCs w:val="20"/>
          <w:color w:val="auto"/>
        </w:rPr>
      </w:pPr>
      <w:r>
        <w:rPr>
          <w:rFonts w:ascii="Arial" w:cs="Arial" w:eastAsia="Arial" w:hAnsi="Arial"/>
          <w:sz w:val="18"/>
          <w:szCs w:val="18"/>
          <w:color w:val="auto"/>
        </w:rPr>
        <w:t>During Phase 1, we agreed to invest $10.0 million as the registered capital of BYND JX in the JXEDZ through an intercompany investment in BYND JX and BYND JX agreed to lease a facility in the JXEDZ for a minimum of two years. In connection with such agreement, BYND JX entered into a factory leasing contract with an affiliate of the JX Committee, pursuant to which BYND JX agreed to lease and renovate a facility in the JXEDZ for a minimum of two years. In 2022, we amended the lease to extend the term for an additional five years without rent escalation. In the fourth quarter of 2021, BYND JX leased an approximately 12,000 square foot facility in Shanghai, China, for a period of eight years, which is used as a local research and development facility to support the local manufacturing operations.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2023, we had invested $22.0 million as the registered capital of BYND JX and advanced $20.0 million to BYND JX.</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Consolidated Financial Statements included elsewhere in this report.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64" w:lineRule="exact"/>
        <w:rPr>
          <w:sz w:val="20"/>
          <w:szCs w:val="20"/>
          <w:color w:val="auto"/>
        </w:rPr>
      </w:pPr>
    </w:p>
    <w:p>
      <w:pPr>
        <w:ind w:right="220" w:firstLine="318"/>
        <w:spacing w:after="0" w:line="278" w:lineRule="auto"/>
        <w:rPr>
          <w:sz w:val="20"/>
          <w:szCs w:val="20"/>
          <w:color w:val="auto"/>
        </w:rPr>
      </w:pPr>
      <w:r>
        <w:rPr>
          <w:rFonts w:ascii="Arial" w:cs="Arial" w:eastAsia="Arial" w:hAnsi="Arial"/>
          <w:sz w:val="17"/>
          <w:szCs w:val="17"/>
          <w:color w:val="auto"/>
        </w:rPr>
        <w:t xml:space="preserve">In 2021, we entered into TPP, a joint venture with PepsiCo, Inc., to develop, produce and market innovative snack products made from plant-based protein. In 2023 and 2022, we recognized our share of the net losses in TPP in the amount of $3.9 million and $18.9 million, respectively. For the years ended December 31, 2023 and 2022, we contributed our share of the investment in TPP of $3.3 million and $13.3 million, respectively. As of the year ended December 31, 2022, we had contributed our share of the investment in TPP in the amount of $24.3 million. In 2023, we contributed an additional $3.3 million as our share of an additional investment in TPP resulting in a total contribution of $27.6 million as of December 31, 2023.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to the Notes to Consolidated Financial Statements included elsewhere in this report.</w:t>
      </w:r>
    </w:p>
    <w:p>
      <w:pPr>
        <w:spacing w:after="0" w:line="12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In 2023, we continued the process of renegotiating certain contracts and changing operating activities related to Beyond Meat Jerky and assumed sales and distribution responsibilities associated with Beyond Meat Jerky in the fourth quarter of 2023. As part of our Global Operations Review, we made the decision to discontinue the Beyond Meat Jerky product line. For a discussion of the risks associated with our assumption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14"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 xml:space="preserve">the distribution responsibilities for Beyond Meat Jerky, see Part I, </w:t>
      </w:r>
      <w:r>
        <w:rPr>
          <w:rFonts w:ascii="Arial" w:cs="Arial" w:eastAsia="Arial" w:hAnsi="Arial"/>
          <w:sz w:val="18"/>
          <w:szCs w:val="18"/>
          <w:u w:val="single" w:color="auto"/>
          <w:color w:val="0000FF"/>
        </w:rPr>
        <w:t>Item 1A</w:t>
      </w:r>
      <w:r>
        <w:rPr>
          <w:rFonts w:ascii="Arial" w:cs="Arial" w:eastAsia="Arial" w:hAnsi="Arial"/>
          <w:sz w:val="18"/>
          <w:szCs w:val="18"/>
          <w:color w:val="auto"/>
        </w:rPr>
        <w:t>, “</w:t>
      </w:r>
      <w:r>
        <w:rPr>
          <w:rFonts w:ascii="Arial" w:cs="Arial" w:eastAsia="Arial" w:hAnsi="Arial"/>
          <w:sz w:val="18"/>
          <w:szCs w:val="18"/>
          <w:i w:val="1"/>
          <w:iCs w:val="1"/>
          <w:color w:val="auto"/>
        </w:rPr>
        <w:t>Risk Factors—Risks Related to Our Investments—Joint ventures</w:t>
      </w:r>
      <w:r>
        <w:rPr>
          <w:rFonts w:ascii="Arial" w:cs="Arial" w:eastAsia="Arial" w:hAnsi="Arial"/>
          <w:sz w:val="18"/>
          <w:szCs w:val="18"/>
          <w:color w:val="auto"/>
        </w:rPr>
        <w:t xml:space="preserve"> </w:t>
      </w:r>
      <w:r>
        <w:rPr>
          <w:rFonts w:ascii="Arial" w:cs="Arial" w:eastAsia="Arial" w:hAnsi="Arial"/>
          <w:sz w:val="18"/>
          <w:szCs w:val="18"/>
          <w:i w:val="1"/>
          <w:iCs w:val="1"/>
          <w:color w:val="auto"/>
        </w:rPr>
        <w:t>may not operate according to their business plans if our partners fail to fulfill their obligations, which may adversely affect our results of operations and compel us to dedicate additional resources to these joint ventures.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In 2022, we entered into a co-manufacturing agreement (“Agreement”) with a co- manufacturer to manufacture various products. The Agreement included a minimum order quantity commitment per month and an aggregate quantity over a five-year term. On November 21, 2023, we terminated the Agreement because the co-manufacturer failed to meet its obligations under the Agreement and recorded $4.4 million in termination-related charges. As of December 31, 2023 and December 31, 2022, we had $0 and $84.6 million, respectively, in fee commitments related to the Agreement.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139" w:lineRule="exact"/>
        <w:rPr>
          <w:sz w:val="20"/>
          <w:szCs w:val="20"/>
          <w:color w:val="auto"/>
        </w:rPr>
      </w:pPr>
    </w:p>
    <w:p>
      <w:pPr>
        <w:ind w:right="20" w:firstLine="318"/>
        <w:spacing w:after="0" w:line="278" w:lineRule="auto"/>
        <w:rPr>
          <w:sz w:val="20"/>
          <w:szCs w:val="20"/>
          <w:color w:val="auto"/>
        </w:rPr>
      </w:pPr>
      <w:r>
        <w:rPr>
          <w:rFonts w:ascii="Arial" w:cs="Arial" w:eastAsia="Arial" w:hAnsi="Arial"/>
          <w:sz w:val="17"/>
          <w:szCs w:val="17"/>
          <w:color w:val="auto"/>
        </w:rPr>
        <w:t xml:space="preserve">In 2022, we entered into an agreement to purchase certain property on a neighboring site to our manufacturing facility in Europe located in Enschede, the Netherlands, for cash consideration of approximately €6.3 million, of which a € 0.9 million deposit was made during 2022. Given our intention to reduce our overall operating expenses and cash expenditures, subsequent to the year ended December 31, 2023, on February 2, 2024, we terminated the purchase agreement and entered into a lease agreement with the subsequent purchaser of the property to lease the approximately 114,000 square foot property. The original security deposit was returned to us and was paid to the purchaser as a prepaid lease payment. See </w:t>
      </w:r>
      <w:r>
        <w:rPr>
          <w:rFonts w:ascii="Arial" w:cs="Arial" w:eastAsia="Arial" w:hAnsi="Arial"/>
          <w:sz w:val="17"/>
          <w:szCs w:val="17"/>
          <w:u w:val="single" w:color="auto"/>
          <w:color w:val="0000FF"/>
        </w:rPr>
        <w:t>Note 14</w:t>
      </w:r>
      <w:r>
        <w:rPr>
          <w:rFonts w:ascii="Arial" w:cs="Arial" w:eastAsia="Arial" w:hAnsi="Arial"/>
          <w:sz w:val="17"/>
          <w:szCs w:val="17"/>
          <w:color w:val="auto"/>
        </w:rPr>
        <w:t xml:space="preserve"> </w:t>
      </w:r>
      <w:r>
        <w:rPr>
          <w:rFonts w:ascii="Arial" w:cs="Arial" w:eastAsia="Arial" w:hAnsi="Arial"/>
          <w:sz w:val="17"/>
          <w:szCs w:val="17"/>
          <w:i w:val="1"/>
          <w:iCs w:val="1"/>
          <w:color w:val="auto"/>
        </w:rPr>
        <w:t>Subsequent Event</w:t>
      </w:r>
      <w:r>
        <w:rPr>
          <w:rFonts w:ascii="Arial" w:cs="Arial" w:eastAsia="Arial" w:hAnsi="Arial"/>
          <w:sz w:val="17"/>
          <w:szCs w:val="17"/>
          <w:color w:val="auto"/>
        </w:rPr>
        <w:t>, to the Notes to Consolidated Financial Statements included elsewhere in this report.</w:t>
      </w:r>
    </w:p>
    <w:p>
      <w:pPr>
        <w:spacing w:after="0" w:line="125"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On July 1, 2023, we and Roquette Frères entered into a second amendment (the “Second Amendment”) to our existing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we have committed to purchase pea protein inventory totaling $10.9 million in 2024 and $17.1 million in 2025. In 2023, as a result of our Global Operations Review, we wrote off $5.0 million in prepayments for an option to purchase pea protein inventory in the future that we estimated that we may not be able to use.</w:t>
      </w:r>
    </w:p>
    <w:p>
      <w:pPr>
        <w:spacing w:after="0" w:line="126"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In addition, as of December 31, 2023, we had approximately $9.2 million in outstanding purchase order commitments for capital expenditures primarily to purchase machinery and equipment. Payments for these purchases will be due within twelve months of December 31,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significant contractual obligations as of December 31,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6"/>
                <w:szCs w:val="16"/>
                <w:b w:val="1"/>
                <w:bCs w:val="1"/>
                <w:color w:val="auto"/>
                <w:w w:val="99"/>
              </w:rPr>
              <w:t>Payments Due by Period</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280" w:type="dxa"/>
            <w:vAlign w:val="bottom"/>
            <w:gridSpan w:val="2"/>
          </w:tcPr>
          <w:p>
            <w:pPr>
              <w:jc w:val="center"/>
              <w:ind w:right="340"/>
              <w:spacing w:after="0" w:line="152" w:lineRule="exact"/>
              <w:rPr>
                <w:sz w:val="20"/>
                <w:szCs w:val="20"/>
                <w:color w:val="auto"/>
              </w:rPr>
            </w:pPr>
            <w:r>
              <w:rPr>
                <w:rFonts w:ascii="Arial" w:cs="Arial" w:eastAsia="Arial" w:hAnsi="Arial"/>
                <w:sz w:val="16"/>
                <w:szCs w:val="16"/>
                <w:b w:val="1"/>
                <w:bCs w:val="1"/>
                <w:color w:val="auto"/>
                <w:w w:val="98"/>
              </w:rPr>
              <w:t>Less Than</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8"/>
              </w:rPr>
              <w:t>1-3 Years</w:t>
            </w:r>
          </w:p>
        </w:tc>
        <w:tc>
          <w:tcPr>
            <w:tcW w:w="24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13"/>
                <w:szCs w:val="13"/>
                <w:color w:val="auto"/>
              </w:rPr>
            </w:pPr>
          </w:p>
        </w:tc>
        <w:tc>
          <w:tcPr>
            <w:tcW w:w="1180" w:type="dxa"/>
            <w:vAlign w:val="bottom"/>
          </w:tcPr>
          <w:p>
            <w:pPr>
              <w:jc w:val="right"/>
              <w:ind w:right="214"/>
              <w:spacing w:after="0" w:line="152"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2"/>
        </w:trPr>
        <w:tc>
          <w:tcPr>
            <w:tcW w:w="38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72" w:lineRule="exact"/>
              <w:rPr>
                <w:sz w:val="20"/>
                <w:szCs w:val="20"/>
                <w:color w:val="auto"/>
              </w:rPr>
            </w:pPr>
            <w:r>
              <w:rPr>
                <w:rFonts w:ascii="Arial" w:cs="Arial" w:eastAsia="Arial" w:hAnsi="Arial"/>
                <w:sz w:val="16"/>
                <w:szCs w:val="16"/>
                <w:b w:val="1"/>
                <w:bCs w:val="1"/>
                <w:color w:val="auto"/>
                <w:w w:val="99"/>
              </w:rPr>
              <w:t>One Year</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14"/>
              <w:spacing w:after="0" w:line="172"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Financing lease obligations</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Convertible debt</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Purchase commitments—inventory</w:t>
            </w:r>
            <w:r>
              <w:rPr>
                <w:rFonts w:ascii="Arial" w:cs="Arial" w:eastAsia="Arial" w:hAnsi="Arial"/>
                <w:sz w:val="22"/>
                <w:szCs w:val="22"/>
                <w:color w:val="auto"/>
                <w:vertAlign w:val="superscript"/>
              </w:rPr>
              <w:t>(5)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Purchase commitments—assets</w:t>
            </w:r>
            <w:r>
              <w:rPr>
                <w:rFonts w:ascii="Arial" w:cs="Arial" w:eastAsia="Arial" w:hAnsi="Arial"/>
                <w:sz w:val="22"/>
                <w:szCs w:val="22"/>
                <w:color w:val="auto"/>
                <w:vertAlign w:val="superscript"/>
              </w:rPr>
              <w:t>(6)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Purchase commitment—Enschede facility</w:t>
            </w:r>
            <w:r>
              <w:rPr>
                <w:rFonts w:ascii="Arial" w:cs="Arial" w:eastAsia="Arial" w:hAnsi="Arial"/>
                <w:sz w:val="22"/>
                <w:szCs w:val="22"/>
                <w:color w:val="auto"/>
                <w:vertAlign w:val="superscript"/>
              </w:rPr>
              <w:t>(7)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___________________</w:t>
      </w:r>
    </w:p>
    <w:p>
      <w:pPr>
        <w:spacing w:after="0" w:line="68" w:lineRule="exact"/>
        <w:rPr>
          <w:sz w:val="20"/>
          <w:szCs w:val="20"/>
          <w:color w:val="auto"/>
        </w:rPr>
      </w:pPr>
    </w:p>
    <w:p>
      <w:pPr>
        <w:ind w:left="480" w:right="340" w:hanging="315"/>
        <w:spacing w:after="0" w:line="252" w:lineRule="auto"/>
        <w:tabs>
          <w:tab w:leader="none" w:pos="4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lease payments for our former Manhattan Beach Project Innovation Center, obligations under the Campus Lease relating to Phase 1-A and Phase 1-B, our manufacturing facilities in Columbia, Missouri and all other operating lease obligations.</w:t>
      </w:r>
    </w:p>
    <w:p>
      <w:pPr>
        <w:ind w:left="480" w:hanging="315"/>
        <w:spacing w:after="0" w:line="250" w:lineRule="auto"/>
        <w:tabs>
          <w:tab w:leader="none" w:pos="4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Excludes obligations under Campus Lease, except for those relating to Phase 1-A and Phase 1-B. See </w:t>
      </w:r>
      <w:r>
        <w:rPr>
          <w:rFonts w:ascii="Arial" w:cs="Arial" w:eastAsia="Arial" w:hAnsi="Arial"/>
          <w:sz w:val="16"/>
          <w:szCs w:val="16"/>
          <w:u w:val="single" w:color="auto"/>
          <w:color w:val="0000FF"/>
        </w:rPr>
        <w:t>Note 10</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Notes to Consolidated Financial Statements included elsewhere in this report.</w:t>
      </w:r>
    </w:p>
    <w:p>
      <w:pPr>
        <w:ind w:left="480" w:hanging="315"/>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payments under various financing leases for certain equipment.</w:t>
      </w:r>
    </w:p>
    <w:p>
      <w:pPr>
        <w:spacing w:after="0" w:line="9" w:lineRule="exact"/>
        <w:rPr>
          <w:rFonts w:ascii="Arial" w:cs="Arial" w:eastAsia="Arial" w:hAnsi="Arial"/>
          <w:sz w:val="16"/>
          <w:szCs w:val="16"/>
          <w:color w:val="auto"/>
        </w:rPr>
      </w:pPr>
    </w:p>
    <w:p>
      <w:pPr>
        <w:ind w:left="480" w:right="40" w:hanging="315"/>
        <w:spacing w:after="0" w:line="245" w:lineRule="auto"/>
        <w:tabs>
          <w:tab w:leader="none" w:pos="4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Includes principal amount under our Notes issued March 2021.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w:t>
      </w:r>
      <w:r>
        <w:rPr>
          <w:rFonts w:ascii="Arial" w:cs="Arial" w:eastAsia="Arial" w:hAnsi="Arial"/>
          <w:sz w:val="16"/>
          <w:szCs w:val="16"/>
          <w:i w:val="1"/>
          <w:iCs w:val="1"/>
          <w:color w:val="auto"/>
        </w:rPr>
        <w:t>Debt</w:t>
      </w:r>
      <w:r>
        <w:rPr>
          <w:rFonts w:ascii="Arial" w:cs="Arial" w:eastAsia="Arial" w:hAnsi="Arial"/>
          <w:sz w:val="16"/>
          <w:szCs w:val="16"/>
          <w:color w:val="auto"/>
        </w:rPr>
        <w:t>, to the Notes to Consolidated Financial Statements included elsewhere in this report.</w:t>
      </w:r>
    </w:p>
    <w:p>
      <w:pPr>
        <w:ind w:left="480" w:hanging="315"/>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commitments to purchase pea protein inventory.</w:t>
      </w:r>
    </w:p>
    <w:p>
      <w:pPr>
        <w:spacing w:after="0" w:line="9" w:lineRule="exact"/>
        <w:rPr>
          <w:rFonts w:ascii="Arial" w:cs="Arial" w:eastAsia="Arial" w:hAnsi="Arial"/>
          <w:sz w:val="16"/>
          <w:szCs w:val="16"/>
          <w:color w:val="auto"/>
        </w:rPr>
      </w:pPr>
    </w:p>
    <w:p>
      <w:pPr>
        <w:ind w:left="480" w:hanging="315"/>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commitments to purchase property, plant and equipment</w:t>
      </w:r>
    </w:p>
    <w:p>
      <w:pPr>
        <w:spacing w:after="0" w:line="6" w:lineRule="exact"/>
        <w:rPr>
          <w:rFonts w:ascii="Arial" w:cs="Arial" w:eastAsia="Arial" w:hAnsi="Arial"/>
          <w:sz w:val="16"/>
          <w:szCs w:val="16"/>
          <w:color w:val="auto"/>
        </w:rPr>
      </w:pPr>
    </w:p>
    <w:p>
      <w:pPr>
        <w:ind w:left="480" w:right="300" w:hanging="315"/>
        <w:spacing w:after="0" w:line="257" w:lineRule="auto"/>
        <w:tabs>
          <w:tab w:leader="none" w:pos="4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Consists of the commitment to purchase the adjacent Enschede facility. Subsequent to the year ended December 31, 2023, on February 2, 2024, we terminated our commitment to purchase the Enschede property and entered into a lease with the subsequent purchaser.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w:t>
      </w:r>
      <w:r>
        <w:rPr>
          <w:rFonts w:ascii="Arial" w:cs="Arial" w:eastAsia="Arial" w:hAnsi="Arial"/>
          <w:sz w:val="16"/>
          <w:szCs w:val="16"/>
          <w:i w:val="1"/>
          <w:iCs w:val="1"/>
          <w:color w:val="auto"/>
        </w:rPr>
        <w:t>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Event</w:t>
      </w:r>
      <w:r>
        <w:rPr>
          <w:rFonts w:ascii="Arial" w:cs="Arial" w:eastAsia="Arial" w:hAnsi="Arial"/>
          <w:sz w:val="16"/>
          <w:szCs w:val="16"/>
          <w:color w:val="auto"/>
        </w:rPr>
        <w:t>, to the Notes to Consolidated Financial Statements included elsewhere in this report.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6"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We have one operating segment and one reportable segment, as our Chief Operating Decision Maker, who is our Chief Executive Officer, reviews financial information on an aggregate basis for purposes of allocating resources and evaluating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180" w:firstLine="318"/>
        <w:spacing w:after="0" w:line="263"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23"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1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 xml:space="preserve">consider these to be our critical accounting policies. Accordingly, we evaluate our estimates and assumptions on an ongoing basis. Our actual results may differ from these estimates and assumptions.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elsewhere in this report for information about these critical accounting policies as well as a description of our other accounting policies.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revenues are generated through sales of our products to distributors or customers. Revenue is recognized at the point in which the performance obligation under the terms of a contract with the customer have been satisfied and control has transferred. Our performance obligation is typically defined as the accepted purchase order, the direct-to-consumer order, or the contract, with the customer which requires us to deliver the requested products at agreed upon prices at the time and location of the customer’s choice. We generally do not offer warranties or a right to return on the products we sell except in the instance of a product recall or other limited circumstances.</w:t>
      </w:r>
    </w:p>
    <w:p>
      <w:pPr>
        <w:spacing w:after="0" w:line="138"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Revenue is measured as the amount of consideration we expect to receive in exchange for fulfilling the performance obligation. Sales and other taxes we collect concurrent with the sale of products are excluded from revenue. Our normal payment terms vary by the type and location of our customers and the products offered. The time between invoicing and when payment is due is not significant. None of our customer contracts as of December 31, 2023 contains a significant financing component.</w:t>
      </w:r>
    </w:p>
    <w:p>
      <w:pPr>
        <w:spacing w:after="0" w:line="13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routinely offer sales discounts and promotions through various programs to our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we recognize a contra asset to accounts receivable for estimated sales discounts that have been incurred but not paid. The offsetting charge is recorded as a reduction of revenues in the same period when the expense is incurred.</w:t>
      </w:r>
    </w:p>
    <w:p>
      <w:pPr>
        <w:spacing w:after="0" w:line="138" w:lineRule="exact"/>
        <w:rPr>
          <w:sz w:val="20"/>
          <w:szCs w:val="20"/>
          <w:color w:val="auto"/>
        </w:rPr>
      </w:pPr>
    </w:p>
    <w:p>
      <w:pPr>
        <w:ind w:right="380" w:firstLine="318"/>
        <w:spacing w:after="0" w:line="274"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 incremental cost to obtain contracts was not material.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64"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Inventories are recorded at lower of cost or net realizable value. We account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We review inventory quantities on hand and record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Plant and Equipment and Estimate of Useful Lives</w:t>
      </w:r>
    </w:p>
    <w:p>
      <w:pPr>
        <w:spacing w:after="0" w:line="164"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During the first quarter of 2023, we completed a reassessment of the useful lives of its large manufacturing and research and development equipment, and determined that we should increase the estimated useful lives for certain of our equipment from a range of 5 to 10 years a uniform 10 years. The timing of this reassessment was based on a combination of factors accumulating over time, including historical useful life information and changes in our planned use of the equipment, that provided us with updated information that allowed us to make a better estimate of the economic lives of such equipment. This reassessment was accounted for as a change in accounting estimate and was made on a prospective basis effective January 1, 2023. This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14"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accounting estimate decreased depreciation expense for 2023 by $21.0 million, impacting cost of goods sold and research and development expenses by $19.0 million and $2.0 million, respectively, and decreased both basic and diluted net loss per share available to common stockholders by $0.33.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6" w:lineRule="exact"/>
        <w:rPr>
          <w:sz w:val="20"/>
          <w:szCs w:val="20"/>
          <w:color w:val="auto"/>
        </w:rPr>
      </w:pPr>
    </w:p>
    <w:p>
      <w:pPr>
        <w:ind w:firstLine="318"/>
        <w:spacing w:after="0" w:line="304" w:lineRule="auto"/>
        <w:rPr>
          <w:sz w:val="20"/>
          <w:szCs w:val="20"/>
          <w:color w:val="auto"/>
        </w:rPr>
      </w:pPr>
      <w:r>
        <w:rPr>
          <w:rFonts w:ascii="Arial" w:cs="Arial" w:eastAsia="Arial" w:hAnsi="Arial"/>
          <w:sz w:val="17"/>
          <w:szCs w:val="17"/>
          <w:color w:val="auto"/>
        </w:rPr>
        <w:t xml:space="preserve">Please refer to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the Notes to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1" w:name="page92"/>
    <w:bookmarkEnd w:id="91"/>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240" w:firstLine="318"/>
        <w:spacing w:after="0" w:line="290"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right="680" w:firstLine="318"/>
        <w:spacing w:after="0" w:line="290" w:lineRule="auto"/>
        <w:rPr>
          <w:sz w:val="20"/>
          <w:szCs w:val="20"/>
          <w:color w:val="auto"/>
        </w:rPr>
      </w:pPr>
      <w:r>
        <w:rPr>
          <w:rFonts w:ascii="Arial" w:cs="Arial" w:eastAsia="Arial" w:hAnsi="Arial"/>
          <w:sz w:val="18"/>
          <w:szCs w:val="18"/>
          <w:color w:val="auto"/>
        </w:rPr>
        <w:t>Our cash consists of amounts held by third party financial institutions. Our investment policy has as its primary objective investment activities which preserve principal without significantly increasing risk.</w:t>
      </w:r>
    </w:p>
    <w:p>
      <w:pPr>
        <w:spacing w:after="0" w:line="10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 xml:space="preserve">In March 2021, we issued a total of $1.15 billion aggregate principal amount of our 0% Convertible Senior Notes due 2027.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6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the United States, France and Canada. The prices of pea protein and other ingredients we use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w:t>
      </w:r>
    </w:p>
    <w:p>
      <w:pPr>
        <w:spacing w:after="0" w:line="126" w:lineRule="exact"/>
        <w:rPr>
          <w:sz w:val="20"/>
          <w:szCs w:val="20"/>
          <w:color w:val="auto"/>
        </w:rPr>
      </w:pPr>
    </w:p>
    <w:p>
      <w:pPr>
        <w:ind w:right="80" w:firstLine="318"/>
        <w:spacing w:after="0" w:line="283" w:lineRule="auto"/>
        <w:rPr>
          <w:sz w:val="20"/>
          <w:szCs w:val="20"/>
          <w:color w:val="auto"/>
        </w:rPr>
      </w:pPr>
      <w:r>
        <w:rPr>
          <w:rFonts w:ascii="Arial" w:cs="Arial" w:eastAsia="Arial" w:hAnsi="Arial"/>
          <w:sz w:val="17"/>
          <w:szCs w:val="17"/>
          <w:color w:val="auto"/>
        </w:rPr>
        <w:t xml:space="preserve">During the year ended December 31, 2023, a hypothetical 10% increase or 10% decrease in the weighted-average cost of pea protein, our primary ingredient, would have resulted in an increase of approximately $2.9 million, or a decrease of approximately $ 2.9 million, respectively, to cost of goods sold. We are working to diversify our sources of supply and intend to enter into long-term contracts to better ensure stability of prices of our raw materials. As of December 31, 2023, we had a multi-year sales agreement with Roquette which expires in December 2025.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Consolidated Financial Statements included elsewhere in this report.</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4"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loss.” Transactions denominated in a currency other than the reporting entity’s functional currency may give rise to transaction gains and losses that impact our results of operations.</w:t>
      </w:r>
    </w:p>
    <w:p>
      <w:pPr>
        <w:spacing w:after="0" w:line="123"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Our foreign exchange risk is primarily related to our intercompany balances denominated in various foreign currencies. We have exposure to the European Euro and the Chinese Yuan.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8"/>
          <w:szCs w:val="18"/>
          <w:color w:val="auto"/>
        </w:rPr>
        <w:t>Foreign currency translation losses, net of tax, reported as cumulative translation adjustments through “Other comprehensive loss” were $0.4 million and $4.2 million in 2023 and 2022, respectively. Net realized and unrealized foreign currency transaction gains (losses) included in “Other, net” were $1.1 million and $(4.9) million, respectively, in 2023 and 2022.</w:t>
      </w:r>
    </w:p>
    <w:p>
      <w:pPr>
        <w:spacing w:after="0" w:line="131"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Based on the intercompany balances as of December 31, 2023, an assumed 5% or 10% adverse change to foreign exchange rates would result in a loss of approximately $5.2 million or $10.4 million, respectively, recorded in “Other, net.”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Although we have seen inflation in certain raw materials, and in the cost of logistics and labor, we do not believe that inflation has had a material effect on the costs of our inputs to date. Although difficult to quantify, we believe inflation is likely having an adverse effect on our end customers’ ability to purchase our products, resulting in decreased sales. If our costs were to become subject to significant inflationary pressures, we may not be able to fully offset such higher costs through price increases. Our inability or failure to do so could harm our business, results of operations and financial condition. For additional information, see Part 1,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price pressures of raw materials, labor, transportation, fuel or other inputs used by us and our suppliers, including the effects of higher interest rates, has negatively impacted, and could continue to negatively impact our business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68"/>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8"/>
                <w:szCs w:val="18"/>
                <w:color w:val="auto"/>
              </w:rPr>
              <w:t>Page</w:t>
            </w:r>
          </w:p>
        </w:tc>
      </w:tr>
      <w:tr>
        <w:trPr>
          <w:trHeight w:val="215"/>
        </w:trPr>
        <w:tc>
          <w:tcPr>
            <w:tcW w:w="220" w:type="dxa"/>
            <w:vAlign w:val="bottom"/>
          </w:tcPr>
          <w:p>
            <w:pPr>
              <w:spacing w:after="0"/>
              <w:rPr>
                <w:sz w:val="18"/>
                <w:szCs w:val="18"/>
                <w:color w:val="auto"/>
              </w:rPr>
            </w:pPr>
          </w:p>
        </w:tc>
        <w:tc>
          <w:tcPr>
            <w:tcW w:w="77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230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0094FF"/>
              </w:rPr>
              <w:t>(PCAOB ID:34)</w:t>
            </w: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86</w:t>
            </w:r>
          </w:p>
        </w:tc>
      </w:tr>
      <w:tr>
        <w:trPr>
          <w:trHeight w:val="185"/>
        </w:trPr>
        <w:tc>
          <w:tcPr>
            <w:tcW w:w="220" w:type="dxa"/>
            <w:vAlign w:val="bottom"/>
          </w:tcPr>
          <w:p>
            <w:pPr>
              <w:spacing w:after="0"/>
              <w:rPr>
                <w:sz w:val="16"/>
                <w:szCs w:val="16"/>
                <w:color w:val="auto"/>
              </w:rPr>
            </w:pPr>
          </w:p>
        </w:tc>
        <w:tc>
          <w:tcPr>
            <w:tcW w:w="4520" w:type="dxa"/>
            <w:vAlign w:val="bottom"/>
            <w:tcBorders>
              <w:top w:val="single" w:sz="8" w:color="0000FF"/>
            </w:tcBorders>
            <w:gridSpan w:val="7"/>
          </w:tcPr>
          <w:p>
            <w:pPr>
              <w:spacing w:after="0" w:line="186" w:lineRule="exact"/>
              <w:rPr>
                <w:sz w:val="20"/>
                <w:szCs w:val="20"/>
                <w:color w:val="auto"/>
              </w:rPr>
            </w:pPr>
            <w:r>
              <w:rPr>
                <w:rFonts w:ascii="Arial" w:cs="Arial" w:eastAsia="Arial" w:hAnsi="Arial"/>
                <w:sz w:val="18"/>
                <w:szCs w:val="18"/>
                <w:color w:val="0000FF"/>
              </w:rPr>
              <w:t>Consolidated Balance Sheets</w:t>
            </w:r>
          </w:p>
        </w:tc>
        <w:tc>
          <w:tcPr>
            <w:tcW w:w="326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0000FF"/>
            </w:tcBorders>
          </w:tcPr>
          <w:p>
            <w:pPr>
              <w:jc w:val="right"/>
              <w:spacing w:after="0" w:line="186" w:lineRule="exact"/>
              <w:rPr>
                <w:sz w:val="20"/>
                <w:szCs w:val="20"/>
                <w:color w:val="auto"/>
              </w:rPr>
            </w:pPr>
            <w:r>
              <w:rPr>
                <w:rFonts w:ascii="Arial" w:cs="Arial" w:eastAsia="Arial" w:hAnsi="Arial"/>
                <w:sz w:val="18"/>
                <w:szCs w:val="18"/>
                <w:color w:val="0000FF"/>
                <w:w w:val="89"/>
              </w:rPr>
              <w:t>88</w:t>
            </w:r>
          </w:p>
        </w:tc>
        <w:tc>
          <w:tcPr>
            <w:tcW w:w="20" w:type="dxa"/>
            <w:vAlign w:val="bottom"/>
            <w:tcBorders>
              <w:top w:val="single" w:sz="8" w:color="CCEEFF"/>
            </w:tcBorders>
          </w:tcPr>
          <w:p>
            <w:pPr>
              <w:spacing w:after="0"/>
              <w:rPr>
                <w:sz w:val="16"/>
                <w:szCs w:val="16"/>
                <w:color w:val="auto"/>
              </w:rPr>
            </w:pPr>
          </w:p>
        </w:tc>
      </w:tr>
      <w:tr>
        <w:trPr>
          <w:trHeight w:val="30"/>
        </w:trPr>
        <w:tc>
          <w:tcPr>
            <w:tcW w:w="220" w:type="dxa"/>
            <w:vAlign w:val="bottom"/>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220" w:type="dxa"/>
            <w:vAlign w:val="bottom"/>
          </w:tcPr>
          <w:p>
            <w:pPr>
              <w:spacing w:after="0"/>
              <w:rPr>
                <w:sz w:val="18"/>
                <w:szCs w:val="18"/>
                <w:color w:val="auto"/>
              </w:rPr>
            </w:pPr>
          </w:p>
        </w:tc>
        <w:tc>
          <w:tcPr>
            <w:tcW w:w="3100" w:type="dxa"/>
            <w:vAlign w:val="bottom"/>
            <w:tcBorders>
              <w:bottom w:val="single" w:sz="8" w:color="0000FF"/>
            </w:tcBorders>
            <w:gridSpan w:val="2"/>
            <w:shd w:val="clear" w:color="auto" w:fill="CCEEFF"/>
          </w:tcPr>
          <w:p>
            <w:pPr>
              <w:spacing w:after="0" w:line="195" w:lineRule="exact"/>
              <w:rPr>
                <w:sz w:val="20"/>
                <w:szCs w:val="20"/>
                <w:color w:val="auto"/>
              </w:rPr>
            </w:pPr>
            <w:r>
              <w:rPr>
                <w:rFonts w:ascii="Arial" w:cs="Arial" w:eastAsia="Arial" w:hAnsi="Arial"/>
                <w:sz w:val="18"/>
                <w:szCs w:val="18"/>
                <w:color w:val="0000FF"/>
                <w:w w:val="98"/>
              </w:rPr>
              <w:t>Consolidated Statements of Operations</w:t>
            </w:r>
          </w:p>
        </w:tc>
        <w:tc>
          <w:tcPr>
            <w:tcW w:w="4680" w:type="dxa"/>
            <w:vAlign w:val="bottom"/>
            <w:tcBorders>
              <w:bottom w:val="single" w:sz="8" w:color="CCEEFF"/>
            </w:tcBorders>
            <w:gridSpan w:val="6"/>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95" w:lineRule="exact"/>
              <w:rPr>
                <w:sz w:val="20"/>
                <w:szCs w:val="20"/>
                <w:color w:val="auto"/>
              </w:rPr>
            </w:pPr>
            <w:r>
              <w:rPr>
                <w:rFonts w:ascii="Arial" w:cs="Arial" w:eastAsia="Arial" w:hAnsi="Arial"/>
                <w:sz w:val="18"/>
                <w:szCs w:val="18"/>
                <w:color w:val="0000FF"/>
                <w:w w:val="89"/>
              </w:rPr>
              <w:t>89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6"/>
        </w:trPr>
        <w:tc>
          <w:tcPr>
            <w:tcW w:w="220" w:type="dxa"/>
            <w:vAlign w:val="bottom"/>
          </w:tcPr>
          <w:p>
            <w:pPr>
              <w:spacing w:after="0"/>
              <w:rPr>
                <w:sz w:val="16"/>
                <w:szCs w:val="16"/>
                <w:color w:val="auto"/>
              </w:rPr>
            </w:pPr>
          </w:p>
        </w:tc>
        <w:tc>
          <w:tcPr>
            <w:tcW w:w="7780" w:type="dxa"/>
            <w:vAlign w:val="bottom"/>
            <w:gridSpan w:val="8"/>
          </w:tcPr>
          <w:p>
            <w:pPr>
              <w:spacing w:after="0" w:line="186" w:lineRule="exact"/>
              <w:rPr>
                <w:sz w:val="20"/>
                <w:szCs w:val="20"/>
                <w:color w:val="auto"/>
              </w:rPr>
            </w:pPr>
            <w:r>
              <w:rPr>
                <w:rFonts w:ascii="Arial" w:cs="Arial" w:eastAsia="Arial" w:hAnsi="Arial"/>
                <w:sz w:val="18"/>
                <w:szCs w:val="18"/>
                <w:color w:val="0000FF"/>
              </w:rPr>
              <w:t>Consolidated Statements of Comprehensive Loss</w:t>
            </w:r>
          </w:p>
        </w:tc>
        <w:tc>
          <w:tcPr>
            <w:tcW w:w="2300" w:type="dxa"/>
            <w:vAlign w:val="bottom"/>
          </w:tcPr>
          <w:p>
            <w:pPr>
              <w:spacing w:after="0"/>
              <w:rPr>
                <w:sz w:val="16"/>
                <w:szCs w:val="16"/>
                <w:color w:val="auto"/>
              </w:rPr>
            </w:pPr>
          </w:p>
        </w:tc>
        <w:tc>
          <w:tcPr>
            <w:tcW w:w="740" w:type="dxa"/>
            <w:vAlign w:val="bottom"/>
            <w:gridSpan w:val="4"/>
          </w:tcPr>
          <w:p>
            <w:pPr>
              <w:jc w:val="right"/>
              <w:ind w:right="20"/>
              <w:spacing w:after="0" w:line="186" w:lineRule="exact"/>
              <w:rPr>
                <w:sz w:val="20"/>
                <w:szCs w:val="20"/>
                <w:color w:val="auto"/>
              </w:rPr>
            </w:pPr>
            <w:r>
              <w:rPr>
                <w:rFonts w:ascii="Arial" w:cs="Arial" w:eastAsia="Arial" w:hAnsi="Arial"/>
                <w:sz w:val="18"/>
                <w:szCs w:val="18"/>
                <w:color w:val="0000FF"/>
              </w:rPr>
              <w:t>90</w:t>
            </w:r>
          </w:p>
        </w:tc>
      </w:tr>
      <w:tr>
        <w:trPr>
          <w:trHeight w:val="30"/>
        </w:trPr>
        <w:tc>
          <w:tcPr>
            <w:tcW w:w="220" w:type="dxa"/>
            <w:vAlign w:val="bottom"/>
          </w:tcPr>
          <w:p>
            <w:pPr>
              <w:spacing w:after="0"/>
              <w:rPr>
                <w:sz w:val="2"/>
                <w:szCs w:val="2"/>
                <w:color w:val="auto"/>
              </w:rPr>
            </w:pPr>
          </w:p>
        </w:tc>
        <w:tc>
          <w:tcPr>
            <w:tcW w:w="23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220" w:type="dxa"/>
            <w:vAlign w:val="bottom"/>
          </w:tcPr>
          <w:p>
            <w:pPr>
              <w:spacing w:after="0"/>
              <w:rPr>
                <w:sz w:val="18"/>
                <w:szCs w:val="18"/>
                <w:color w:val="auto"/>
              </w:rPr>
            </w:pPr>
          </w:p>
        </w:tc>
        <w:tc>
          <w:tcPr>
            <w:tcW w:w="77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Stockholders’ Equity (Deficit)</w:t>
            </w:r>
          </w:p>
        </w:tc>
        <w:tc>
          <w:tcPr>
            <w:tcW w:w="2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91</w:t>
            </w:r>
          </w:p>
        </w:tc>
      </w:tr>
      <w:tr>
        <w:trPr>
          <w:trHeight w:val="195"/>
        </w:trPr>
        <w:tc>
          <w:tcPr>
            <w:tcW w:w="220" w:type="dxa"/>
            <w:vAlign w:val="bottom"/>
          </w:tcPr>
          <w:p>
            <w:pPr>
              <w:spacing w:after="0"/>
              <w:rPr>
                <w:sz w:val="16"/>
                <w:szCs w:val="16"/>
                <w:color w:val="auto"/>
              </w:rPr>
            </w:pPr>
          </w:p>
        </w:tc>
        <w:tc>
          <w:tcPr>
            <w:tcW w:w="3160" w:type="dxa"/>
            <w:vAlign w:val="bottom"/>
            <w:tcBorders>
              <w:top w:val="single" w:sz="8" w:color="0000FF"/>
              <w:bottom w:val="single" w:sz="8" w:color="0000FF"/>
            </w:tcBorders>
            <w:gridSpan w:val="3"/>
          </w:tcPr>
          <w:p>
            <w:pPr>
              <w:spacing w:after="0" w:line="186" w:lineRule="exact"/>
              <w:rPr>
                <w:sz w:val="20"/>
                <w:szCs w:val="20"/>
                <w:color w:val="auto"/>
              </w:rPr>
            </w:pPr>
            <w:r>
              <w:rPr>
                <w:rFonts w:ascii="Arial" w:cs="Arial" w:eastAsia="Arial" w:hAnsi="Arial"/>
                <w:sz w:val="18"/>
                <w:szCs w:val="18"/>
                <w:color w:val="0000FF"/>
                <w:w w:val="98"/>
              </w:rPr>
              <w:t>Consolidated Statements of Cash Flows</w:t>
            </w:r>
          </w:p>
        </w:tc>
        <w:tc>
          <w:tcPr>
            <w:tcW w:w="1320" w:type="dxa"/>
            <w:vAlign w:val="bottom"/>
            <w:tcBorders>
              <w:top w:val="single" w:sz="8" w:color="0000FF"/>
            </w:tcBorders>
            <w:gridSpan w:val="3"/>
          </w:tcPr>
          <w:p>
            <w:pPr>
              <w:spacing w:after="0"/>
              <w:rPr>
                <w:sz w:val="16"/>
                <w:szCs w:val="16"/>
                <w:color w:val="auto"/>
              </w:rPr>
            </w:pPr>
          </w:p>
        </w:tc>
        <w:tc>
          <w:tcPr>
            <w:tcW w:w="3300" w:type="dxa"/>
            <w:vAlign w:val="bottom"/>
            <w:tcBorders>
              <w:top w:val="single" w:sz="8" w:color="CCEEFF"/>
            </w:tcBorders>
            <w:gridSpan w:val="2"/>
          </w:tcPr>
          <w:p>
            <w:pPr>
              <w:spacing w:after="0"/>
              <w:rPr>
                <w:sz w:val="16"/>
                <w:szCs w:val="16"/>
                <w:color w:val="auto"/>
              </w:rPr>
            </w:pPr>
          </w:p>
        </w:tc>
        <w:tc>
          <w:tcPr>
            <w:tcW w:w="230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0000FF"/>
              <w:bottom w:val="single" w:sz="8" w:color="0000FF"/>
            </w:tcBorders>
          </w:tcPr>
          <w:p>
            <w:pPr>
              <w:jc w:val="right"/>
              <w:spacing w:after="0" w:line="186" w:lineRule="exact"/>
              <w:rPr>
                <w:sz w:val="20"/>
                <w:szCs w:val="20"/>
                <w:color w:val="auto"/>
              </w:rPr>
            </w:pPr>
            <w:r>
              <w:rPr>
                <w:rFonts w:ascii="Arial" w:cs="Arial" w:eastAsia="Arial" w:hAnsi="Arial"/>
                <w:sz w:val="18"/>
                <w:szCs w:val="18"/>
                <w:color w:val="0000FF"/>
                <w:w w:val="89"/>
              </w:rPr>
              <w:t>92</w:t>
            </w:r>
          </w:p>
        </w:tc>
        <w:tc>
          <w:tcPr>
            <w:tcW w:w="20" w:type="dxa"/>
            <w:vAlign w:val="bottom"/>
            <w:tcBorders>
              <w:top w:val="single" w:sz="8" w:color="CCEEFF"/>
            </w:tcBorders>
          </w:tcPr>
          <w:p>
            <w:pPr>
              <w:spacing w:after="0"/>
              <w:rPr>
                <w:sz w:val="16"/>
                <w:szCs w:val="16"/>
                <w:color w:val="auto"/>
              </w:rPr>
            </w:pPr>
          </w:p>
        </w:tc>
      </w:tr>
      <w:tr>
        <w:trPr>
          <w:trHeight w:val="195"/>
        </w:trPr>
        <w:tc>
          <w:tcPr>
            <w:tcW w:w="220" w:type="dxa"/>
            <w:vAlign w:val="bottom"/>
          </w:tcPr>
          <w:p>
            <w:pPr>
              <w:spacing w:after="0"/>
              <w:rPr>
                <w:sz w:val="16"/>
                <w:szCs w:val="16"/>
                <w:color w:val="auto"/>
              </w:rPr>
            </w:pPr>
          </w:p>
        </w:tc>
        <w:tc>
          <w:tcPr>
            <w:tcW w:w="77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Notes to Consolidated Financial Statements</w:t>
            </w:r>
          </w:p>
        </w:tc>
        <w:tc>
          <w:tcPr>
            <w:tcW w:w="230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94</w:t>
            </w:r>
          </w:p>
        </w:tc>
      </w:tr>
      <w:tr>
        <w:trPr>
          <w:trHeight w:val="40"/>
        </w:trPr>
        <w:tc>
          <w:tcPr>
            <w:tcW w:w="220" w:type="dxa"/>
            <w:vAlign w:val="bottom"/>
          </w:tcPr>
          <w:p>
            <w:pPr>
              <w:spacing w:after="0"/>
              <w:rPr>
                <w:sz w:val="3"/>
                <w:szCs w:val="3"/>
                <w:color w:val="auto"/>
              </w:rPr>
            </w:pPr>
          </w:p>
        </w:tc>
        <w:tc>
          <w:tcPr>
            <w:tcW w:w="23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94" w:name="page95"/>
    <w:bookmarkEnd w:id="94"/>
    <w:p>
      <w:pPr>
        <w:spacing w:after="0" w:line="11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the Stockholders and the Board of Directors of Beyond Meat,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6"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have audited the accompanying consolidated balance sheets of Beyond Meat, Inc. and subsidiaries (the "Company") as of December 31, 2023 and 2022, the related consolidated statements of operations, comprehensive loss,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39"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March 1, 2024, expressed an unqualified opinion on the Company's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320" w:firstLine="318"/>
        <w:spacing w:after="0" w:line="26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6"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ind w:right="720"/>
        <w:spacing w:after="0" w:line="288" w:lineRule="auto"/>
        <w:rPr>
          <w:sz w:val="20"/>
          <w:szCs w:val="20"/>
          <w:color w:val="auto"/>
        </w:rPr>
      </w:pPr>
      <w:r>
        <w:rPr>
          <w:rFonts w:ascii="Arial" w:cs="Arial" w:eastAsia="Arial" w:hAnsi="Arial"/>
          <w:sz w:val="18"/>
          <w:szCs w:val="18"/>
          <w:b w:val="1"/>
          <w:bCs w:val="1"/>
          <w:color w:val="auto"/>
        </w:rPr>
        <w:t>Inventory — Provision for Excess and Obsolete Raw Materials and Work in Process Inventory — Refer to Notes 2 and 5 to the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64" w:lineRule="exact"/>
        <w:rPr>
          <w:sz w:val="20"/>
          <w:szCs w:val="20"/>
          <w:color w:val="auto"/>
        </w:rPr>
      </w:pPr>
    </w:p>
    <w:p>
      <w:pPr>
        <w:ind w:right="220" w:firstLine="318"/>
        <w:spacing w:after="0" w:line="274" w:lineRule="auto"/>
        <w:rPr>
          <w:sz w:val="20"/>
          <w:szCs w:val="20"/>
          <w:color w:val="auto"/>
        </w:rPr>
      </w:pPr>
      <w:r>
        <w:rPr>
          <w:rFonts w:ascii="Arial" w:cs="Arial" w:eastAsia="Arial" w:hAnsi="Arial"/>
          <w:sz w:val="18"/>
          <w:szCs w:val="18"/>
          <w:color w:val="auto"/>
        </w:rPr>
        <w:t>The Company accounts for inventory using the weighted average cost method and records inventory at the lower of cost or net realizable value.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14" w:lineRule="exact"/>
        <w:rPr>
          <w:sz w:val="20"/>
          <w:szCs w:val="20"/>
          <w:color w:val="auto"/>
        </w:rPr>
      </w:pPr>
    </w:p>
    <w:p>
      <w:pPr>
        <w:ind w:right="160" w:firstLine="318"/>
        <w:spacing w:after="0" w:line="267" w:lineRule="auto"/>
        <w:rPr>
          <w:sz w:val="20"/>
          <w:szCs w:val="20"/>
          <w:color w:val="auto"/>
        </w:rPr>
      </w:pPr>
      <w:r>
        <w:rPr>
          <w:rFonts w:ascii="Arial" w:cs="Arial" w:eastAsia="Arial" w:hAnsi="Arial"/>
          <w:sz w:val="18"/>
          <w:szCs w:val="18"/>
          <w:color w:val="auto"/>
        </w:rPr>
        <w:t>The determination of the provision to be recorded for excess and obsolete raw materials and work in process inventory requires management to evaluate the historical demand and remaining shelf life for existing raw materials and work in process inventory quantities on hand compared to estimates of future demand for the Company’s products, which involves significant assumptions.</w:t>
      </w:r>
    </w:p>
    <w:p>
      <w:pPr>
        <w:spacing w:after="0" w:line="131"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8"/>
          <w:szCs w:val="18"/>
          <w:color w:val="auto"/>
        </w:rPr>
        <w:t>We identified the provision for excess and obsolete ingredients included in raw materials and work in process inventory as a critical audit matter because of the significant degree of auditor judgment and effort required when performing audit procedures to evaluate management’s estimates and assumptions described above due to their subjective nature.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4"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Our audit procedures related to the provision for excess and obsolete raw materials and work in process inventory included the following, among others:</w:t>
      </w:r>
    </w:p>
    <w:p>
      <w:pPr>
        <w:spacing w:after="0" w:line="96" w:lineRule="exact"/>
        <w:rPr>
          <w:sz w:val="20"/>
          <w:szCs w:val="20"/>
          <w:color w:val="auto"/>
        </w:rPr>
      </w:pPr>
    </w:p>
    <w:p>
      <w:pPr>
        <w:ind w:left="320" w:hanging="314"/>
        <w:spacing w:after="0" w:line="290" w:lineRule="auto"/>
        <w:tabs>
          <w:tab w:leader="none" w:pos="1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obtained an understanding of the process and assumptions used by management to determine the provision for excess and obsolete raw materials and work in process inventory.</w:t>
      </w:r>
    </w:p>
    <w:p>
      <w:pPr>
        <w:spacing w:after="0" w:line="109" w:lineRule="exact"/>
        <w:rPr>
          <w:rFonts w:ascii="Arial" w:cs="Arial" w:eastAsia="Arial" w:hAnsi="Arial"/>
          <w:sz w:val="18"/>
          <w:szCs w:val="18"/>
          <w:color w:val="auto"/>
        </w:rPr>
      </w:pPr>
    </w:p>
    <w:p>
      <w:pPr>
        <w:ind w:left="320" w:right="240" w:hanging="314"/>
        <w:spacing w:after="0" w:line="274" w:lineRule="auto"/>
        <w:tabs>
          <w:tab w:leader="none" w:pos="1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the appropriateness of key inputs supporting management's estimate, including historical demand levels, the age of existing quantities on hand, forecasts of future demand, and shelf life.</w:t>
      </w:r>
    </w:p>
    <w:p>
      <w:pPr>
        <w:spacing w:after="0" w:line="123" w:lineRule="exact"/>
        <w:rPr>
          <w:rFonts w:ascii="Arial" w:cs="Arial" w:eastAsia="Arial" w:hAnsi="Arial"/>
          <w:sz w:val="18"/>
          <w:szCs w:val="18"/>
          <w:color w:val="auto"/>
        </w:rPr>
      </w:pPr>
    </w:p>
    <w:p>
      <w:pPr>
        <w:ind w:left="320" w:right="120" w:hanging="314"/>
        <w:spacing w:after="0" w:line="290" w:lineRule="auto"/>
        <w:tabs>
          <w:tab w:leader="none" w:pos="1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evaluated trends in the recorded raw materials and work in process inventory balances and raw materials and work in process inventory turnover ratios.</w:t>
      </w:r>
    </w:p>
    <w:p>
      <w:pPr>
        <w:spacing w:after="0" w:line="96" w:lineRule="exact"/>
        <w:rPr>
          <w:rFonts w:ascii="Arial" w:cs="Arial" w:eastAsia="Arial" w:hAnsi="Arial"/>
          <w:sz w:val="18"/>
          <w:szCs w:val="18"/>
          <w:color w:val="auto"/>
        </w:rPr>
      </w:pPr>
    </w:p>
    <w:p>
      <w:pPr>
        <w:ind w:left="120" w:hanging="114"/>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key calculations supporting the provision recorded.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March 1, 2024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5"/>
        </w:trPr>
        <w:tc>
          <w:tcPr>
            <w:tcW w:w="75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190,505</w:t>
            </w:r>
          </w:p>
        </w:tc>
        <w:tc>
          <w:tcPr>
            <w:tcW w:w="12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309,922</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current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34,198</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235,696</w:t>
            </w: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18"/>
        </w:trPr>
        <w:tc>
          <w:tcPr>
            <w:tcW w:w="75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372,844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606,459</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194,046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257,002</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Prepaid lease costs, non-current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61,635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85,472</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unconsolidated joint venture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774,450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1,062,224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(deficit)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56,032</w:t>
            </w:r>
          </w:p>
        </w:tc>
        <w:tc>
          <w:tcPr>
            <w:tcW w:w="12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55,300</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0" w:type="dxa"/>
            <w:vAlign w:val="bottom"/>
          </w:tcPr>
          <w:p>
            <w:pPr>
              <w:spacing w:after="0"/>
              <w:rPr>
                <w:sz w:val="1"/>
                <w:szCs w:val="1"/>
                <w:color w:val="auto"/>
              </w:rPr>
            </w:pPr>
          </w:p>
        </w:tc>
      </w:tr>
      <w:tr>
        <w:trPr>
          <w:trHeight w:val="218"/>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75,841</w:t>
            </w:r>
          </w:p>
        </w:tc>
        <w:tc>
          <w:tcPr>
            <w:tcW w:w="0" w:type="dxa"/>
            <w:vAlign w:val="bottom"/>
          </w:tcPr>
          <w:p>
            <w:pPr>
              <w:spacing w:after="0"/>
              <w:rPr>
                <w:sz w:val="1"/>
                <w:szCs w:val="1"/>
                <w:color w:val="auto"/>
              </w:rPr>
            </w:pPr>
          </w:p>
        </w:tc>
      </w:tr>
      <w:tr>
        <w:trPr>
          <w:trHeight w:val="205"/>
        </w:trPr>
        <w:tc>
          <w:tcPr>
            <w:tcW w:w="75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Long-term liabilities: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180"/>
              <w:spacing w:after="0"/>
              <w:rPr>
                <w:sz w:val="20"/>
                <w:szCs w:val="20"/>
                <w:color w:val="auto"/>
              </w:rPr>
            </w:pPr>
            <w:r>
              <w:rPr>
                <w:rFonts w:ascii="Arial" w:cs="Arial" w:eastAsia="Arial" w:hAnsi="Arial"/>
                <w:sz w:val="18"/>
                <w:szCs w:val="18"/>
                <w:color w:val="auto"/>
              </w:rPr>
              <w:t>Convertible senior notes, net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1,137,542</w:t>
            </w:r>
          </w:p>
        </w:tc>
        <w:tc>
          <w:tcPr>
            <w:tcW w:w="12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1,133,608</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Finance lease obligations and other long term liabilities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1,189,931</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500" w:type="dxa"/>
            <w:vAlign w:val="bottom"/>
          </w:tcPr>
          <w:p>
            <w:pPr>
              <w:ind w:left="20"/>
              <w:spacing w:after="0" w:line="172" w:lineRule="exact"/>
              <w:rPr>
                <w:sz w:val="20"/>
                <w:szCs w:val="20"/>
                <w:color w:val="auto"/>
              </w:rPr>
            </w:pPr>
            <w:r>
              <w:rPr>
                <w:rFonts w:ascii="Arial" w:cs="Arial" w:eastAsia="Arial" w:hAnsi="Arial"/>
                <w:sz w:val="18"/>
                <w:szCs w:val="18"/>
                <w:color w:val="auto"/>
              </w:rPr>
              <w:t>Preferred stock, par value $0.0001 per share—500,000 shares authorized, none issued and</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50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75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8"/>
              </w:rPr>
              <w:t>Common stock, par value $0.0001 per share—500,000,000 shares authorized at December 31,</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0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8"/>
              </w:rPr>
              <w:t>2023 and 2022; 64,624,140 and 63,773,982 shares issued and outstanding at December 31,</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 and 2022, respectively</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573,128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544,357</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(743,109)</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(513,368)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(203,548)</w:t>
            </w:r>
          </w:p>
        </w:tc>
        <w:tc>
          <w:tcPr>
            <w:tcW w:w="0" w:type="dxa"/>
            <w:vAlign w:val="bottom"/>
          </w:tcPr>
          <w:p>
            <w:pPr>
              <w:spacing w:after="0"/>
              <w:rPr>
                <w:sz w:val="1"/>
                <w:szCs w:val="1"/>
                <w:color w:val="auto"/>
              </w:rPr>
            </w:pPr>
          </w:p>
        </w:tc>
      </w:tr>
      <w:tr>
        <w:trPr>
          <w:trHeight w:val="218"/>
        </w:trPr>
        <w:tc>
          <w:tcPr>
            <w:tcW w:w="750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774,450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1,062,224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464,700</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347,419</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117,281</w:t>
            </w:r>
          </w:p>
        </w:tc>
        <w:tc>
          <w:tcPr>
            <w:tcW w:w="0" w:type="dxa"/>
            <w:vAlign w:val="bottom"/>
          </w:tcPr>
          <w:p>
            <w:pPr>
              <w:spacing w:after="0"/>
              <w:rPr>
                <w:sz w:val="1"/>
                <w:szCs w:val="1"/>
                <w:color w:val="auto"/>
              </w:rPr>
            </w:pPr>
          </w:p>
        </w:tc>
      </w:tr>
      <w:tr>
        <w:trPr>
          <w:trHeight w:val="218"/>
        </w:trPr>
        <w:tc>
          <w:tcPr>
            <w:tcW w:w="5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62,264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66,946</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209,474</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(income) expenses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319,028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292,214</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(341,898)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(342,771)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(174,933)</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(179,068)</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(366,137)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(182,105)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Net loss per share available to common stockholders—basic and</w:t>
            </w:r>
          </w:p>
        </w:tc>
        <w:tc>
          <w:tcPr>
            <w:tcW w:w="4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54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2"/>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Weighted average common shares outstanding—basic and diluted</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64,300,099</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63,622,432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63,172,368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8" w:name="page99"/>
    <w:bookmarkEnd w:id="98"/>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7"/>
              </w:rPr>
              <w:t>Year Ended December 31,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5"/>
        </w:trPr>
        <w:tc>
          <w:tcPr>
            <w:tcW w:w="5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r>
      <w:tr>
        <w:trPr>
          <w:trHeight w:val="245"/>
        </w:trPr>
        <w:tc>
          <w:tcPr>
            <w:tcW w:w="5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5"/>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(338,144)</w:t>
            </w:r>
          </w:p>
        </w:tc>
        <w:tc>
          <w:tcPr>
            <w:tcW w:w="5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(182,105)</w:t>
            </w:r>
          </w:p>
        </w:tc>
      </w:tr>
      <w:tr>
        <w:trPr>
          <w:trHeight w:val="199"/>
        </w:trPr>
        <w:tc>
          <w:tcPr>
            <w:tcW w:w="5900" w:type="dxa"/>
            <w:vAlign w:val="bottom"/>
          </w:tcPr>
          <w:p>
            <w:pPr>
              <w:ind w:left="20"/>
              <w:spacing w:after="0" w:line="199" w:lineRule="exact"/>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net of tax</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r>
      <w:tr>
        <w:trPr>
          <w:trHeight w:val="218"/>
        </w:trPr>
        <w:tc>
          <w:tcPr>
            <w:tcW w:w="590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(184,406)</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ind w:right="32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 except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440" w:type="dxa"/>
            <w:vAlign w:val="bottom"/>
            <w:gridSpan w:val="5"/>
          </w:tcPr>
          <w:p>
            <w:pPr>
              <w:ind w:left="5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Accumulated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2"/>
                <w:szCs w:val="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36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8"/>
              </w:rPr>
              <w:t>Comprehensive</w:t>
            </w:r>
          </w:p>
        </w:tc>
        <w:tc>
          <w:tcPr>
            <w:tcW w:w="34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 (Loss)</w:t>
            </w: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3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62,820,351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367,097</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(182,105)</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under equity incentive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 net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Share-based compensation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60" w:type="dxa"/>
            <w:vAlign w:val="bottom"/>
          </w:tcPr>
          <w:p>
            <w:pPr>
              <w:ind w:left="180"/>
              <w:spacing w:after="0"/>
              <w:rPr>
                <w:sz w:val="20"/>
                <w:szCs w:val="20"/>
                <w:color w:val="auto"/>
              </w:rPr>
            </w:pPr>
            <w:r>
              <w:rPr>
                <w:rFonts w:ascii="Arial" w:cs="Arial" w:eastAsia="Arial" w:hAnsi="Arial"/>
                <w:sz w:val="18"/>
                <w:szCs w:val="18"/>
                <w:color w:val="auto"/>
                <w:w w:val="99"/>
              </w:rPr>
              <w:t>for equity classified awards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28,699</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Purchase of capped calls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related to convertible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(83,950)</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152"/>
        </w:trPr>
        <w:tc>
          <w:tcPr>
            <w:tcW w:w="23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63,400,899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510,014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132,495</w:t>
            </w:r>
          </w:p>
        </w:tc>
        <w:tc>
          <w:tcPr>
            <w:tcW w:w="0" w:type="dxa"/>
            <w:vAlign w:val="bottom"/>
          </w:tcPr>
          <w:p>
            <w:pPr>
              <w:spacing w:after="0"/>
              <w:rPr>
                <w:sz w:val="1"/>
                <w:szCs w:val="1"/>
                <w:color w:val="auto"/>
              </w:rPr>
            </w:pP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(366,137)</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under equity incentive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 net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Share-based compensation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60" w:type="dxa"/>
            <w:vAlign w:val="bottom"/>
          </w:tcPr>
          <w:p>
            <w:pPr>
              <w:ind w:left="180"/>
              <w:spacing w:after="0"/>
              <w:rPr>
                <w:sz w:val="20"/>
                <w:szCs w:val="20"/>
                <w:color w:val="auto"/>
              </w:rPr>
            </w:pPr>
            <w:r>
              <w:rPr>
                <w:rFonts w:ascii="Arial" w:cs="Arial" w:eastAsia="Arial" w:hAnsi="Arial"/>
                <w:sz w:val="18"/>
                <w:szCs w:val="18"/>
                <w:color w:val="auto"/>
                <w:w w:val="99"/>
              </w:rPr>
              <w:t>for equity classified awards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33,857</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152"/>
        </w:trPr>
        <w:tc>
          <w:tcPr>
            <w:tcW w:w="2360" w:type="dxa"/>
            <w:vAlign w:val="bottom"/>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240" w:type="dxa"/>
            <w:vAlign w:val="bottom"/>
          </w:tcPr>
          <w:p>
            <w:pPr>
              <w:jc w:val="right"/>
              <w:spacing w:after="0"/>
              <w:rPr>
                <w:sz w:val="20"/>
                <w:szCs w:val="20"/>
                <w:color w:val="auto"/>
              </w:rPr>
            </w:pPr>
            <w:r>
              <w:rPr>
                <w:rFonts w:ascii="Arial" w:cs="Arial" w:eastAsia="Arial" w:hAnsi="Arial"/>
                <w:sz w:val="18"/>
                <w:szCs w:val="18"/>
                <w:color w:val="auto"/>
              </w:rPr>
              <w:t>63,773,982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544,357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(743,109)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(203,548)</w:t>
            </w: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(338,144)</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Issuance of common stock</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line="182" w:lineRule="exact"/>
              <w:rPr>
                <w:sz w:val="20"/>
                <w:szCs w:val="20"/>
                <w:color w:val="auto"/>
              </w:rPr>
            </w:pPr>
            <w:r>
              <w:rPr>
                <w:rFonts w:ascii="Arial" w:cs="Arial" w:eastAsia="Arial" w:hAnsi="Arial"/>
                <w:sz w:val="18"/>
                <w:szCs w:val="18"/>
                <w:color w:val="auto"/>
              </w:rPr>
              <w:t>under equity incentive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plans, net</w:t>
            </w:r>
          </w:p>
        </w:tc>
        <w:tc>
          <w:tcPr>
            <w:tcW w:w="1240" w:type="dxa"/>
            <w:vAlign w:val="bottom"/>
          </w:tcPr>
          <w:p>
            <w:pPr>
              <w:jc w:val="right"/>
              <w:spacing w:after="0"/>
              <w:rPr>
                <w:sz w:val="20"/>
                <w:szCs w:val="20"/>
                <w:color w:val="auto"/>
              </w:rPr>
            </w:pPr>
            <w:r>
              <w:rPr>
                <w:rFonts w:ascii="Arial" w:cs="Arial" w:eastAsia="Arial" w:hAnsi="Arial"/>
                <w:sz w:val="18"/>
                <w:szCs w:val="18"/>
                <w:color w:val="auto"/>
              </w:rPr>
              <w:t>850,158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Share-based compensation</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for equity classified awards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line="172"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6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52"/>
        </w:trPr>
        <w:tc>
          <w:tcPr>
            <w:tcW w:w="23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64,624,140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573,128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(1,081,253)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(513,368)</w:t>
            </w:r>
          </w:p>
        </w:tc>
        <w:tc>
          <w:tcPr>
            <w:tcW w:w="0" w:type="dxa"/>
            <w:vAlign w:val="bottom"/>
          </w:tcPr>
          <w:p>
            <w:pPr>
              <w:spacing w:after="0"/>
              <w:rPr>
                <w:sz w:val="1"/>
                <w:szCs w:val="1"/>
                <w:color w:val="auto"/>
              </w:rPr>
            </w:pPr>
          </w:p>
        </w:tc>
      </w:tr>
      <w:tr>
        <w:trPr>
          <w:trHeight w:val="23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169545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660" w:top="1075" w:right="3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64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(182,105)</w:t>
            </w:r>
          </w:p>
        </w:tc>
        <w:tc>
          <w:tcPr>
            <w:tcW w:w="0" w:type="dxa"/>
            <w:vAlign w:val="bottom"/>
          </w:tcPr>
          <w:p>
            <w:pPr>
              <w:spacing w:after="0"/>
              <w:rPr>
                <w:sz w:val="1"/>
                <w:szCs w:val="1"/>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Loss on sale and write-down of fixed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losses of unconsolidated joint venture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Write-down of note receivable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foreign currency transactions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(122,666)</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21,665</w:t>
            </w:r>
          </w:p>
        </w:tc>
        <w:tc>
          <w:tcPr>
            <w:tcW w:w="0" w:type="dxa"/>
            <w:vAlign w:val="bottom"/>
          </w:tcPr>
          <w:p>
            <w:pPr>
              <w:spacing w:after="0"/>
              <w:rPr>
                <w:sz w:val="1"/>
                <w:szCs w:val="1"/>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13,961</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lease costs, non-current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(59,188)</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(301,370)</w:t>
            </w:r>
          </w:p>
        </w:tc>
        <w:tc>
          <w:tcPr>
            <w:tcW w:w="0" w:type="dxa"/>
            <w:vAlign w:val="bottom"/>
          </w:tcPr>
          <w:p>
            <w:pPr>
              <w:spacing w:after="0"/>
              <w:rPr>
                <w:sz w:val="1"/>
                <w:szCs w:val="1"/>
                <w:color w:val="auto"/>
              </w:rPr>
            </w:pPr>
          </w:p>
        </w:tc>
      </w:tr>
      <w:tr>
        <w:trPr>
          <w:trHeight w:val="86"/>
        </w:trPr>
        <w:tc>
          <w:tcPr>
            <w:tcW w:w="6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(70,475)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(135,961)</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held for sale</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investment in joint venture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Payment of security deposits</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9"/>
        </w:trPr>
        <w:tc>
          <w:tcPr>
            <w:tcW w:w="64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(147,479)</w:t>
            </w:r>
          </w:p>
        </w:tc>
        <w:tc>
          <w:tcPr>
            <w:tcW w:w="0" w:type="dxa"/>
            <w:vAlign w:val="bottom"/>
          </w:tcPr>
          <w:p>
            <w:pPr>
              <w:spacing w:after="0"/>
              <w:rPr>
                <w:sz w:val="1"/>
                <w:szCs w:val="1"/>
                <w:color w:val="auto"/>
              </w:rPr>
            </w:pPr>
          </w:p>
        </w:tc>
      </w:tr>
      <w:tr>
        <w:trPr>
          <w:trHeight w:val="126"/>
        </w:trPr>
        <w:tc>
          <w:tcPr>
            <w:tcW w:w="6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senior notes</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capped calls related to convertible senior notes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(83,950)</w:t>
            </w:r>
          </w:p>
        </w:tc>
        <w:tc>
          <w:tcPr>
            <w:tcW w:w="0" w:type="dxa"/>
            <w:vAlign w:val="bottom"/>
          </w:tcPr>
          <w:p>
            <w:pPr>
              <w:spacing w:after="0"/>
              <w:rPr>
                <w:sz w:val="1"/>
                <w:szCs w:val="1"/>
                <w:color w:val="auto"/>
              </w:rPr>
            </w:pPr>
          </w:p>
        </w:tc>
      </w:tr>
    </w:tbl>
    <w:p>
      <w:pPr>
        <w:jc w:val="center"/>
        <w:ind w:right="160"/>
        <w:spacing w:after="0"/>
        <w:rPr>
          <w:sz w:val="20"/>
          <w:szCs w:val="20"/>
          <w:color w:val="auto"/>
        </w:rPr>
      </w:pPr>
      <w:r>
        <w:rPr>
          <w:rFonts w:ascii="Arial" w:cs="Arial" w:eastAsia="Arial" w:hAnsi="Arial"/>
          <w:sz w:val="18"/>
          <w:szCs w:val="18"/>
          <w:color w:val="auto"/>
        </w:rPr>
        <w:t>(continued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5"/>
        </w:trPr>
        <w:tc>
          <w:tcPr>
            <w:tcW w:w="64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18"/>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Repayment of revolving credit facility</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8,135</w:t>
            </w:r>
          </w:p>
        </w:tc>
      </w:tr>
      <w:tr>
        <w:trPr>
          <w:trHeight w:val="172"/>
        </w:trPr>
        <w:tc>
          <w:tcPr>
            <w:tcW w:w="648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Payments of minimum withholding taxes on net share settlement of equity</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8"/>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18"/>
        </w:trPr>
        <w:tc>
          <w:tcPr>
            <w:tcW w:w="6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1,022,322</w:t>
            </w:r>
          </w:p>
        </w:tc>
      </w:tr>
      <w:tr>
        <w:trPr>
          <w:trHeight w:val="21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573,473</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322,549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159,127</w:t>
            </w:r>
          </w:p>
        </w:tc>
      </w:tr>
      <w:tr>
        <w:trPr>
          <w:trHeight w:val="22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8"/>
        </w:trPr>
        <w:tc>
          <w:tcPr>
            <w:tcW w:w="64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205,935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733,294</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2"/>
        </w:trPr>
        <w:tc>
          <w:tcPr>
            <w:tcW w:w="64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648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additions to property, plant and equipment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36,400</w:t>
            </w:r>
          </w:p>
        </w:tc>
        <w:tc>
          <w:tcPr>
            <w:tcW w:w="12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37,245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16,701</w:t>
            </w:r>
          </w:p>
        </w:tc>
      </w:tr>
      <w:tr>
        <w:trPr>
          <w:trHeight w:val="172"/>
        </w:trPr>
        <w:tc>
          <w:tcPr>
            <w:tcW w:w="648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Reclassification of pre-paid lease costs to operating lease right-of-use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8"/>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80" w:type="dxa"/>
            <w:vAlign w:val="bottom"/>
          </w:tcPr>
          <w:p>
            <w:pPr>
              <w:ind w:left="340"/>
              <w:spacing w:after="0"/>
              <w:rPr>
                <w:sz w:val="20"/>
                <w:szCs w:val="20"/>
                <w:color w:val="auto"/>
              </w:rPr>
            </w:pPr>
            <w:r>
              <w:rPr>
                <w:rFonts w:ascii="Arial" w:cs="Arial" w:eastAsia="Arial" w:hAnsi="Arial"/>
                <w:sz w:val="18"/>
                <w:szCs w:val="18"/>
                <w:color w:val="auto"/>
              </w:rPr>
              <w:t>Non-cash addition to financing leases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172"/>
        </w:trPr>
        <w:tc>
          <w:tcPr>
            <w:tcW w:w="648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Reclassification of other current liability to additional paid-in capital in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8"/>
        </w:trPr>
        <w:tc>
          <w:tcPr>
            <w:tcW w:w="6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connection with the share-settled obligation</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r>
    </w:tbl>
    <w:p>
      <w:pPr>
        <w:jc w:val="center"/>
        <w:ind w:right="320"/>
        <w:spacing w:after="0"/>
        <w:rPr>
          <w:sz w:val="20"/>
          <w:szCs w:val="20"/>
          <w:color w:val="auto"/>
        </w:rPr>
      </w:pPr>
      <w:r>
        <w:rPr>
          <w:rFonts w:ascii="Arial" w:cs="Arial" w:eastAsia="Arial" w:hAnsi="Arial"/>
          <w:sz w:val="18"/>
          <w:szCs w:val="18"/>
          <w:color w:val="auto"/>
        </w:rPr>
        <w:t>(concluded)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02" w:name="page103"/>
    <w:bookmarkEnd w:id="102"/>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w:t>
      </w:r>
    </w:p>
    <w:p>
      <w:pPr>
        <w:spacing w:after="0" w:line="164"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Beyond Meat, Inc., a Delaware corporation (including its subsidiaries unless the context otherwise requires, the “Company”), is a leading plant-based meat company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the following subsidiaries:</w:t>
      </w:r>
    </w:p>
    <w:p>
      <w:pPr>
        <w:spacing w:after="0" w:line="164"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Beyond Meat EU B.V., in the Netherlands</w:t>
      </w:r>
    </w:p>
    <w:p>
      <w:pPr>
        <w:spacing w:after="0" w:line="12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Beyond Meat (Jiaxing) Food Co., Ltd. (“BYND JX”), in the Zhejiang Province in China</w:t>
      </w:r>
    </w:p>
    <w:p>
      <w:pPr>
        <w:spacing w:after="0" w:line="12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Beyond Meat Canada Inc., in Canada.</w:t>
      </w:r>
    </w:p>
    <w:p>
      <w:pPr>
        <w:spacing w:after="0" w:line="111" w:lineRule="exact"/>
        <w:rPr>
          <w:sz w:val="20"/>
          <w:szCs w:val="20"/>
          <w:color w:val="auto"/>
        </w:rPr>
      </w:pPr>
    </w:p>
    <w:p>
      <w:pPr>
        <w:ind w:right="260" w:firstLine="318"/>
        <w:spacing w:after="0" w:line="290" w:lineRule="auto"/>
        <w:rPr>
          <w:sz w:val="20"/>
          <w:szCs w:val="20"/>
          <w:color w:val="auto"/>
        </w:rPr>
      </w:pPr>
      <w:r>
        <w:rPr>
          <w:rFonts w:ascii="Arial" w:cs="Arial" w:eastAsia="Arial" w:hAnsi="Arial"/>
          <w:sz w:val="18"/>
          <w:szCs w:val="18"/>
          <w:color w:val="auto"/>
        </w:rPr>
        <w:t>On January 25, 2021, the Company entered into the Planet Partnership, LLC, a joint venture with PepsiCo, Inc., to develop, produce and market innovative snack and beverage products made from plant-based protein.</w:t>
      </w:r>
    </w:p>
    <w:p>
      <w:pPr>
        <w:spacing w:after="0" w:line="109" w:lineRule="exact"/>
        <w:rPr>
          <w:sz w:val="20"/>
          <w:szCs w:val="20"/>
          <w:color w:val="auto"/>
        </w:rPr>
      </w:pPr>
    </w:p>
    <w:p>
      <w:pPr>
        <w:ind w:right="380" w:firstLine="318"/>
        <w:spacing w:after="0" w:line="286" w:lineRule="auto"/>
        <w:rPr>
          <w:sz w:val="20"/>
          <w:szCs w:val="20"/>
          <w:color w:val="auto"/>
        </w:rPr>
      </w:pPr>
      <w:r>
        <w:rPr>
          <w:rFonts w:ascii="Arial" w:cs="Arial" w:eastAsia="Arial" w:hAnsi="Arial"/>
          <w:sz w:val="17"/>
          <w:szCs w:val="17"/>
          <w:color w:val="auto"/>
        </w:rPr>
        <w:t>The Company’s primary production facilities are located in Columbia, Missouri, and Devault, Pennsylvania, and its research and development and administrative offices are located in El Segundo, California. The Company owns a manufacturing facility in Enschede, the Netherlands, where it produces its woven protein and dry blend flavor systems for shipment to local co-manufacturers, including one of the Company’s distributors who built a co-manufacturing facility in the Netherlands used for production of the Company’s finished goods.</w:t>
      </w:r>
    </w:p>
    <w:p>
      <w:pPr>
        <w:spacing w:after="0" w:line="102" w:lineRule="exact"/>
        <w:rPr>
          <w:sz w:val="20"/>
          <w:szCs w:val="20"/>
          <w:color w:val="auto"/>
        </w:rPr>
      </w:pPr>
    </w:p>
    <w:p>
      <w:pPr>
        <w:ind w:right="200" w:firstLine="318"/>
        <w:spacing w:after="0" w:line="267" w:lineRule="auto"/>
        <w:rPr>
          <w:sz w:val="20"/>
          <w:szCs w:val="20"/>
          <w:color w:val="auto"/>
        </w:rPr>
      </w:pPr>
      <w:r>
        <w:rPr>
          <w:rFonts w:ascii="Arial" w:cs="Arial" w:eastAsia="Arial" w:hAnsi="Arial"/>
          <w:sz w:val="18"/>
          <w:szCs w:val="18"/>
          <w:color w:val="auto"/>
        </w:rPr>
        <w:t>In Jiaxing, China, the Company leases a manufacturing facility, and leases a facility in Shanghai, China, which is used as a local research and development facility. In addition to its own production facilities, the Company uses co-manufacturers in various locations in the United States, Germany, the Netherlands and China.</w:t>
      </w:r>
    </w:p>
    <w:p>
      <w:pPr>
        <w:spacing w:after="0" w:line="131" w:lineRule="exact"/>
        <w:rPr>
          <w:sz w:val="20"/>
          <w:szCs w:val="20"/>
          <w:color w:val="auto"/>
        </w:rPr>
      </w:pPr>
    </w:p>
    <w:p>
      <w:pPr>
        <w:ind w:right="40" w:firstLine="318"/>
        <w:spacing w:after="0" w:line="290" w:lineRule="auto"/>
        <w:rPr>
          <w:sz w:val="20"/>
          <w:szCs w:val="20"/>
          <w:color w:val="auto"/>
        </w:rPr>
      </w:pPr>
      <w:r>
        <w:rPr>
          <w:rFonts w:ascii="Arial" w:cs="Arial" w:eastAsia="Arial" w:hAnsi="Arial"/>
          <w:sz w:val="18"/>
          <w:szCs w:val="18"/>
          <w:color w:val="auto"/>
        </w:rPr>
        <w:t>In 2021, the Company assumed an operating lease for a building in Commerce, California to house its commercialization center, which was terminated in February 2023.</w:t>
      </w:r>
    </w:p>
    <w:p>
      <w:pPr>
        <w:spacing w:after="0" w:line="96" w:lineRule="exact"/>
        <w:rPr>
          <w:sz w:val="20"/>
          <w:szCs w:val="20"/>
          <w:color w:val="auto"/>
        </w:rPr>
      </w:pPr>
    </w:p>
    <w:p>
      <w:pPr>
        <w:ind w:right="200" w:firstLine="318"/>
        <w:spacing w:after="0" w:line="283" w:lineRule="auto"/>
        <w:rPr>
          <w:sz w:val="20"/>
          <w:szCs w:val="20"/>
          <w:color w:val="auto"/>
        </w:rPr>
      </w:pPr>
      <w:r>
        <w:rPr>
          <w:rFonts w:ascii="Arial" w:cs="Arial" w:eastAsia="Arial" w:hAnsi="Arial"/>
          <w:sz w:val="17"/>
          <w:szCs w:val="17"/>
          <w:color w:val="auto"/>
        </w:rPr>
        <w:t>In 2021, the Company entered into a lease agreement to house its corporate headquarters, lab and innovation space in El Segundo, California. In 2022, upon completion of the Phase1-A of the new campus facility in El Segundo, the Company moved its Innovation team from the Manhattan Beach Project Innovation Center to the new campus facility. In June 2023, upon completion of the tenant improvements associated with Phase 1-B, the Company moved its headquarters, sales and marketing operations into the newly constructed Campus Headquarters. In June 2023, the Company terminated the lease of its former headquarters, also in El Segundo, California.</w:t>
      </w:r>
    </w:p>
    <w:p>
      <w:pPr>
        <w:spacing w:after="0" w:line="120" w:lineRule="exact"/>
        <w:rPr>
          <w:sz w:val="20"/>
          <w:szCs w:val="20"/>
          <w:color w:val="auto"/>
        </w:rPr>
      </w:pPr>
    </w:p>
    <w:p>
      <w:pPr>
        <w:ind w:right="680" w:firstLine="318"/>
        <w:spacing w:after="0" w:line="267"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2023, approximately 85% of the Company’s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Operations Review</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November 2023, to further reduce operating expenses, the Company announced that it was initiating a review of its global operations (the “Global Operations Review”), narrowing the Company’s commercial focus to certain growth opportunities, and accelerating activities that prioritize gross margin expansion and cash generation. As part of this review, on November 1, 2023, the Company’s board of directors approved a plan to reduce the Company’s workforce by approximately 65 employees, representing approximately 19% of the Company’s global non-production workforce (or approximately 8% of our total global workforce).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60" w:firstLine="318"/>
        <w:spacing w:after="0" w:line="27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the accounts of the Company and its subsidiaries. All intercompany balances and transactions have been eliminated.</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Fiscal Year</w:t>
      </w:r>
    </w:p>
    <w:p>
      <w:pPr>
        <w:spacing w:after="0" w:line="164"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4" w:lineRule="exact"/>
        <w:rPr>
          <w:sz w:val="20"/>
          <w:szCs w:val="20"/>
          <w:color w:val="auto"/>
        </w:rPr>
      </w:pPr>
    </w:p>
    <w:p>
      <w:pPr>
        <w:ind w:right="320" w:firstLine="318"/>
        <w:spacing w:after="0" w:line="275"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64" w:lineRule="exact"/>
        <w:rPr>
          <w:sz w:val="20"/>
          <w:szCs w:val="20"/>
          <w:color w:val="auto"/>
        </w:rPr>
      </w:pPr>
    </w:p>
    <w:p>
      <w:pPr>
        <w:ind w:right="120" w:firstLine="31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fixed assets;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the valuation of the fair value of stock options used to determine share-based compensation expense;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360" w:firstLine="318"/>
        <w:spacing w:after="0" w:line="290" w:lineRule="auto"/>
        <w:rPr>
          <w:sz w:val="20"/>
          <w:szCs w:val="20"/>
          <w:color w:val="auto"/>
        </w:rPr>
      </w:pPr>
      <w:r>
        <w:rPr>
          <w:rFonts w:ascii="Arial" w:cs="Arial" w:eastAsia="Arial" w:hAnsi="Arial"/>
          <w:sz w:val="18"/>
          <w:szCs w:val="18"/>
          <w:color w:val="auto"/>
        </w:rPr>
        <w:t>Comprehensive loss includes unrealized gains (losses) on the Company’s foreign currency translation adjustments for the years ended December 31, 2023, 2022 and 2021. Income taxes on the unrealized losses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4"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 xml:space="preserve">On March 5, 2021, the Company issued $1.0 billion aggregate principal amount of its 0% Convertible Senior Notes due 2027 (the “Convertible Notes”) in a private placement to qualified institutional buyers pursuant to Rule 144A under the Securities Act.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 See </w:t>
      </w:r>
      <w:r>
        <w:rPr>
          <w:rFonts w:ascii="Arial" w:cs="Arial" w:eastAsia="Arial" w:hAnsi="Arial"/>
          <w:sz w:val="18"/>
          <w:szCs w:val="18"/>
          <w:u w:val="single" w:color="auto"/>
          <w:color w:val="0000FF"/>
        </w:rPr>
        <w:t>Note 7</w:t>
      </w:r>
      <w:r>
        <w:rPr>
          <w:rFonts w:ascii="Arial" w:cs="Arial" w:eastAsia="Arial" w:hAnsi="Arial"/>
          <w:sz w:val="18"/>
          <w:szCs w:val="18"/>
          <w:color w:val="auto"/>
        </w:rPr>
        <w:t>. The Company accounts for the Notes under Accounting Standards Update (“ASU”) No. 2020-06, “Debt with Conversion and Other Options (Subtopic 470-20) and Derivatives and Hedging—Contracts in Entity’s Own Equity” (ASU 2020-06”), which the Company early adopted in the first quarter of 2021 concurrent with the issuance of the Notes. The Company records the Notes in “Long-term liabilities” at face value net of issuance costs. If any of the conditions to the convertibility of the Notes is satisfied, or the Notes become due within one year, then the Company may be required under applicable accounting standards to reclassify the liability carrying value of the Notes as a current, rather than a long-term, liability.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consolidated balance sheet. The Company also determined that the capped call option contracts meet the definition of a derivative under Accounting Standards Codification (“ASC”) Topic 815, “Derivatives and Hedging” (“ASC 815”), but are not required to be accounted for as a derivative as they meet the scope exception outlined in ASC 815. Instead the capped call options are recorded in APIC and not remeasured.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Issuance Costs</w:t>
      </w:r>
    </w:p>
    <w:p>
      <w:pPr>
        <w:spacing w:after="0" w:line="16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Issuance costs related to the Notes offering were capitalized and offset against proceeds from the Notes. Issuance costs consist of legal and other costs related to the issuance of the Notes and are amortized to interest expense over the term of the Notes. Total issuance costs capitalized in the year ended December 31, 2021 were approximately $23.6 million, of which none remained unpaid as of December 31, 2021. There were $12.5 million and $16.4 million in unamortized issuance costs related to the Notes as of December 31, 2023 and 2022, respectively.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The Company’s foreign entities use their local currency as the functional currency. For these entities, the Company translates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loss.” Transactions denominated in a currency other than the reporting entity’s functional currency may give rise to transaction gains and losses that impact the Company’s results of operations.</w:t>
      </w:r>
    </w:p>
    <w:p>
      <w:pPr>
        <w:spacing w:after="0" w:line="139" w:lineRule="exact"/>
        <w:rPr>
          <w:sz w:val="20"/>
          <w:szCs w:val="20"/>
          <w:color w:val="auto"/>
        </w:rPr>
      </w:pPr>
    </w:p>
    <w:p>
      <w:pPr>
        <w:ind w:right="620" w:firstLine="318"/>
        <w:spacing w:after="0" w:line="290" w:lineRule="auto"/>
        <w:rPr>
          <w:sz w:val="20"/>
          <w:szCs w:val="20"/>
          <w:color w:val="auto"/>
        </w:rPr>
      </w:pPr>
      <w:r>
        <w:rPr>
          <w:rFonts w:ascii="Arial" w:cs="Arial" w:eastAsia="Arial" w:hAnsi="Arial"/>
          <w:sz w:val="18"/>
          <w:szCs w:val="18"/>
          <w:color w:val="auto"/>
        </w:rPr>
        <w:t>Foreign currency translation loss, net of tax, reported as cumulative translation adjustment through “Other comprehensive loss” was $0.4 million, $4.2 million and $2.3 million respectively, in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Net realized and unrealized foreign currency transaction gains (losses) included in “Other, net” were $1.1 million, $(4.9) million and $(0.2) million, respectively, in the years ended December 31, 2023, 2022 and 2021.</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 levels are defined as follows:</w:t>
      </w:r>
    </w:p>
    <w:p>
      <w:pPr>
        <w:spacing w:after="0" w:line="177" w:lineRule="exact"/>
        <w:rPr>
          <w:sz w:val="20"/>
          <w:szCs w:val="20"/>
          <w:color w:val="auto"/>
        </w:rPr>
      </w:pPr>
    </w:p>
    <w:p>
      <w:pPr>
        <w:jc w:val="both"/>
        <w:ind w:left="640" w:right="120" w:hanging="316"/>
        <w:spacing w:after="0" w:line="267"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30" w:lineRule="exact"/>
        <w:rPr>
          <w:rFonts w:ascii="Arial" w:cs="Arial" w:eastAsia="Arial" w:hAnsi="Arial"/>
          <w:sz w:val="18"/>
          <w:szCs w:val="18"/>
          <w:color w:val="auto"/>
        </w:rPr>
      </w:pPr>
    </w:p>
    <w:p>
      <w:pPr>
        <w:ind w:left="640" w:right="220" w:hanging="316"/>
        <w:spacing w:after="0" w:line="290"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77"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 xml:space="preserve">The Company’s financial instruments include cash equivalents, accounts receivable, accounts payable, and accrued expenses, for which the carrying amounts approximate fair value due to the short-term maturity of these financial instruments. The Company’s convertible notes are carried at face value less the unamortized debt issuance costs (see </w:t>
      </w:r>
      <w:r>
        <w:rPr>
          <w:rFonts w:ascii="Arial" w:cs="Arial" w:eastAsia="Arial" w:hAnsi="Arial"/>
          <w:sz w:val="18"/>
          <w:szCs w:val="18"/>
          <w:u w:val="single" w:color="auto"/>
          <w:color w:val="0000FF"/>
        </w:rPr>
        <w:t>Note 7</w:t>
      </w:r>
      <w:r>
        <w:rPr>
          <w:rFonts w:ascii="Arial" w:cs="Arial" w:eastAsia="Arial" w:hAnsi="Arial"/>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no financial instruments measured at fair value on a recurring basis as of December 31, 2023 or 2022.</w:t>
      </w:r>
    </w:p>
    <w:p>
      <w:pPr>
        <w:spacing w:after="0" w:line="177"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in the years ended December 31, 2023, 2022 or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The Company maintains cash balances at two financial institutions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include approximately 82% in money market accounts and approximately 18% in demand deposits.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Restricted cash includes cash held as collateral for stand-alone letter of credit agreements related to normal business transactions. The agreements require the Company to maintain a specified amount of cash as collateral in a segregated account to support the letters of credit issued thereunder. The Company had $15.4 million in restricted cash as of December 31, 2023, which was comprised of $12.6 million to secure the letter of credit to support the development and leasing of the Company’s Campus Headquarters recorded in “Restricted cash, non-current” and $ 2.8 million to secure a letter of credit associated with a third party contract manufacturer in Europe recorded in “Restricted cash, current” in the Company’s consolidated balance sheet. See </w:t>
      </w:r>
      <w:r>
        <w:rPr>
          <w:rFonts w:ascii="Arial" w:cs="Arial" w:eastAsia="Arial" w:hAnsi="Arial"/>
          <w:sz w:val="18"/>
          <w:szCs w:val="18"/>
          <w:u w:val="single" w:color="auto"/>
          <w:color w:val="0000FF"/>
        </w:rPr>
        <w:t>Note 10</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ind w:right="80" w:firstLine="318"/>
        <w:spacing w:after="0" w:line="265"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 on the Company’s history of write-offs, level of past due accounts, and relationships with and economic status of the Company’s distributors or customers.</w:t>
      </w:r>
    </w:p>
    <w:p>
      <w:pPr>
        <w:spacing w:after="0" w:line="133" w:lineRule="exact"/>
        <w:rPr>
          <w:sz w:val="20"/>
          <w:szCs w:val="20"/>
          <w:color w:val="auto"/>
        </w:rPr>
      </w:pPr>
    </w:p>
    <w:p>
      <w:pPr>
        <w:ind w:left="320" w:right="820"/>
        <w:spacing w:after="0" w:line="430" w:lineRule="auto"/>
        <w:rPr>
          <w:sz w:val="20"/>
          <w:szCs w:val="20"/>
          <w:color w:val="auto"/>
        </w:rPr>
      </w:pPr>
      <w:r>
        <w:rPr>
          <w:rFonts w:ascii="Arial" w:cs="Arial" w:eastAsia="Arial" w:hAnsi="Arial"/>
          <w:sz w:val="18"/>
          <w:szCs w:val="18"/>
          <w:color w:val="auto"/>
        </w:rPr>
        <w:t xml:space="preserve">The Company had $1.5 million and $1.4 million allowance for doubtful accounts as of December 31, 2023 and 2022, respectively. </w:t>
      </w:r>
      <w:r>
        <w:rPr>
          <w:rFonts w:ascii="Arial" w:cs="Arial" w:eastAsia="Arial" w:hAnsi="Arial"/>
          <w:sz w:val="18"/>
          <w:szCs w:val="18"/>
          <w:b w:val="1"/>
          <w:bCs w:val="1"/>
          <w:i w:val="1"/>
          <w:iCs w:val="1"/>
          <w:color w:val="auto"/>
        </w:rPr>
        <w:t>Inventories and Cost of Goods Sold</w:t>
      </w:r>
    </w:p>
    <w:p>
      <w:pPr>
        <w:ind w:firstLine="318"/>
        <w:spacing w:after="0" w:line="260"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64"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6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Not amortized</w:t>
            </w:r>
          </w:p>
        </w:tc>
      </w:tr>
      <w:tr>
        <w:trPr>
          <w:trHeight w:val="241"/>
        </w:trPr>
        <w:tc>
          <w:tcPr>
            <w:tcW w:w="4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760" w:type="dxa"/>
            <w:vAlign w:val="bottom"/>
          </w:tcPr>
          <w:p>
            <w:pPr>
              <w:ind w:left="1300"/>
              <w:spacing w:after="0"/>
              <w:rPr>
                <w:sz w:val="20"/>
                <w:szCs w:val="20"/>
                <w:color w:val="auto"/>
              </w:rPr>
            </w:pPr>
            <w:r>
              <w:rPr>
                <w:rFonts w:ascii="Arial" w:cs="Arial" w:eastAsia="Arial" w:hAnsi="Arial"/>
                <w:sz w:val="18"/>
                <w:szCs w:val="18"/>
                <w:color w:val="auto"/>
              </w:rPr>
              <w:t>30 years</w:t>
            </w:r>
          </w:p>
        </w:tc>
      </w:tr>
      <w:tr>
        <w:trPr>
          <w:trHeight w:val="24"/>
        </w:trPr>
        <w:tc>
          <w:tcPr>
            <w:tcW w:w="4480" w:type="dxa"/>
            <w:vAlign w:val="bottom"/>
          </w:tcPr>
          <w:p>
            <w:pPr>
              <w:spacing w:after="0"/>
              <w:rPr>
                <w:sz w:val="2"/>
                <w:szCs w:val="2"/>
                <w:color w:val="auto"/>
              </w:rPr>
            </w:pPr>
          </w:p>
        </w:tc>
        <w:tc>
          <w:tcPr>
            <w:tcW w:w="6760" w:type="dxa"/>
            <w:vAlign w:val="bottom"/>
          </w:tcPr>
          <w:p>
            <w:pPr>
              <w:spacing w:after="0"/>
              <w:rPr>
                <w:sz w:val="2"/>
                <w:szCs w:val="2"/>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7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Shorter of lease term or estimated useful life</w:t>
            </w:r>
          </w:p>
        </w:tc>
      </w:tr>
      <w:tr>
        <w:trPr>
          <w:trHeight w:val="241"/>
        </w:trPr>
        <w:tc>
          <w:tcPr>
            <w:tcW w:w="4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ind w:left="1300"/>
              <w:spacing w:after="0"/>
              <w:rPr>
                <w:sz w:val="20"/>
                <w:szCs w:val="20"/>
                <w:color w:val="auto"/>
              </w:rPr>
            </w:pPr>
            <w:r>
              <w:rPr>
                <w:rFonts w:ascii="Arial" w:cs="Arial" w:eastAsia="Arial" w:hAnsi="Arial"/>
                <w:sz w:val="18"/>
                <w:szCs w:val="18"/>
                <w:color w:val="auto"/>
              </w:rPr>
              <w:t>3 years</w:t>
            </w:r>
          </w:p>
        </w:tc>
      </w:tr>
      <w:tr>
        <w:trPr>
          <w:trHeight w:val="24"/>
        </w:trPr>
        <w:tc>
          <w:tcPr>
            <w:tcW w:w="4480" w:type="dxa"/>
            <w:vAlign w:val="bottom"/>
          </w:tcPr>
          <w:p>
            <w:pPr>
              <w:spacing w:after="0"/>
              <w:rPr>
                <w:sz w:val="2"/>
                <w:szCs w:val="2"/>
                <w:color w:val="auto"/>
              </w:rPr>
            </w:pPr>
          </w:p>
        </w:tc>
        <w:tc>
          <w:tcPr>
            <w:tcW w:w="6760" w:type="dxa"/>
            <w:vAlign w:val="bottom"/>
          </w:tcPr>
          <w:p>
            <w:pPr>
              <w:spacing w:after="0"/>
              <w:rPr>
                <w:sz w:val="2"/>
                <w:szCs w:val="2"/>
                <w:color w:val="auto"/>
              </w:rPr>
            </w:pPr>
          </w:p>
        </w:tc>
      </w:tr>
      <w:tr>
        <w:trPr>
          <w:trHeight w:val="26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w:t>
            </w:r>
            <w:r>
              <w:rPr>
                <w:rFonts w:ascii="Arial" w:cs="Arial" w:eastAsia="Arial" w:hAnsi="Arial"/>
                <w:sz w:val="22"/>
                <w:szCs w:val="22"/>
                <w:color w:val="auto"/>
                <w:vertAlign w:val="superscript"/>
              </w:rPr>
              <w:t>(1)</w:t>
            </w:r>
          </w:p>
        </w:tc>
        <w:tc>
          <w:tcPr>
            <w:tcW w:w="6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 to 10 years</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Research and development equipment</w:t>
            </w:r>
            <w:r>
              <w:rPr>
                <w:rFonts w:ascii="Arial" w:cs="Arial" w:eastAsia="Arial" w:hAnsi="Arial"/>
                <w:sz w:val="22"/>
                <w:szCs w:val="22"/>
                <w:color w:val="auto"/>
                <w:vertAlign w:val="superscript"/>
              </w:rPr>
              <w:t>(1)</w:t>
            </w:r>
          </w:p>
        </w:tc>
        <w:tc>
          <w:tcPr>
            <w:tcW w:w="6760" w:type="dxa"/>
            <w:vAlign w:val="bottom"/>
          </w:tcPr>
          <w:p>
            <w:pPr>
              <w:ind w:left="1300"/>
              <w:spacing w:after="0"/>
              <w:rPr>
                <w:sz w:val="20"/>
                <w:szCs w:val="20"/>
                <w:color w:val="auto"/>
              </w:rPr>
            </w:pPr>
            <w:r>
              <w:rPr>
                <w:rFonts w:ascii="Arial" w:cs="Arial" w:eastAsia="Arial" w:hAnsi="Arial"/>
                <w:sz w:val="18"/>
                <w:szCs w:val="18"/>
                <w:color w:val="auto"/>
              </w:rPr>
              <w:t>5 to 10 years</w:t>
            </w: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67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3 years</w:t>
            </w:r>
          </w:p>
        </w:tc>
      </w:tr>
      <w:tr>
        <w:trPr>
          <w:trHeight w:val="242"/>
        </w:trPr>
        <w:tc>
          <w:tcPr>
            <w:tcW w:w="4480" w:type="dxa"/>
            <w:vAlign w:val="bottom"/>
          </w:tcPr>
          <w:p>
            <w:pPr>
              <w:ind w:left="20"/>
              <w:spacing w:after="0"/>
              <w:rPr>
                <w:sz w:val="20"/>
                <w:szCs w:val="20"/>
                <w:color w:val="auto"/>
              </w:rPr>
            </w:pPr>
            <w:r>
              <w:rPr>
                <w:rFonts w:ascii="Arial" w:cs="Arial" w:eastAsia="Arial" w:hAnsi="Arial"/>
                <w:sz w:val="18"/>
                <w:szCs w:val="18"/>
                <w:color w:val="auto"/>
              </w:rPr>
              <w:t>Vehicles</w:t>
            </w:r>
          </w:p>
        </w:tc>
        <w:tc>
          <w:tcPr>
            <w:tcW w:w="6760" w:type="dxa"/>
            <w:vAlign w:val="bottom"/>
          </w:tcPr>
          <w:p>
            <w:pPr>
              <w:ind w:left="1300"/>
              <w:spacing w:after="0"/>
              <w:rPr>
                <w:sz w:val="20"/>
                <w:szCs w:val="20"/>
                <w:color w:val="auto"/>
              </w:rPr>
            </w:pPr>
            <w:r>
              <w:rPr>
                <w:rFonts w:ascii="Arial" w:cs="Arial" w:eastAsia="Arial" w:hAnsi="Arial"/>
                <w:sz w:val="18"/>
                <w:szCs w:val="18"/>
                <w:color w:val="auto"/>
              </w:rPr>
              <w:t>5 years</w:t>
            </w:r>
          </w:p>
        </w:tc>
      </w:tr>
      <w:tr>
        <w:trPr>
          <w:trHeight w:val="423"/>
        </w:trPr>
        <w:tc>
          <w:tcPr>
            <w:tcW w:w="4480" w:type="dxa"/>
            <w:vAlign w:val="bottom"/>
          </w:tcPr>
          <w:p>
            <w:pPr>
              <w:spacing w:after="0"/>
              <w:rPr>
                <w:sz w:val="20"/>
                <w:szCs w:val="20"/>
                <w:color w:val="auto"/>
              </w:rPr>
            </w:pPr>
            <w:r>
              <w:rPr>
                <w:rFonts w:ascii="Arial" w:cs="Arial" w:eastAsia="Arial" w:hAnsi="Arial"/>
                <w:sz w:val="18"/>
                <w:szCs w:val="18"/>
                <w:color w:val="auto"/>
              </w:rPr>
              <w:t>____________</w:t>
            </w:r>
          </w:p>
        </w:tc>
        <w:tc>
          <w:tcPr>
            <w:tcW w:w="6760" w:type="dxa"/>
            <w:vAlign w:val="bottom"/>
          </w:tcPr>
          <w:p>
            <w:pPr>
              <w:spacing w:after="0"/>
              <w:rPr>
                <w:sz w:val="24"/>
                <w:szCs w:val="24"/>
                <w:color w:val="auto"/>
              </w:rPr>
            </w:pPr>
          </w:p>
        </w:tc>
      </w:tr>
    </w:tbl>
    <w:p>
      <w:pPr>
        <w:ind w:left="240" w:right="180" w:hanging="234"/>
        <w:spacing w:after="0" w:line="254" w:lineRule="auto"/>
        <w:tabs>
          <w:tab w:leader="none" w:pos="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Beginning in the first quarter of 2023, the Company reassessed the estimated useful lives for certain of its large equipment with value over $25,000 from a range of 5 to 10 years to a uniform 10 years. Equipment up to $25,000 in value continue to be estimated to have a useful life of 5 years.</w:t>
      </w:r>
    </w:p>
    <w:p>
      <w:pPr>
        <w:spacing w:after="0" w:line="69" w:lineRule="exact"/>
        <w:rPr>
          <w:sz w:val="20"/>
          <w:szCs w:val="20"/>
          <w:color w:val="auto"/>
        </w:rPr>
      </w:pPr>
    </w:p>
    <w:p>
      <w:pPr>
        <w:ind w:right="260" w:firstLine="318"/>
        <w:spacing w:after="0" w:line="263" w:lineRule="auto"/>
        <w:rPr>
          <w:sz w:val="20"/>
          <w:szCs w:val="20"/>
          <w:color w:val="auto"/>
        </w:rPr>
      </w:pPr>
      <w:r>
        <w:rPr>
          <w:rFonts w:ascii="Arial" w:cs="Arial" w:eastAsia="Arial" w:hAnsi="Arial"/>
          <w:sz w:val="18"/>
          <w:szCs w:val="18"/>
          <w:color w:val="auto"/>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Any gain or loss from sale of the asset is included in selling, general, and administrative expenses. Any loss on accelerated deprecation on planned write-off and disposal of the asset is included in either cost of goods sold, research and development expenses, or selling, general and administrative expenses, depending on the nature of the asset. Expenditures for repairs and maintenance are charged directly to expense when incurred.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in Accounting Estimate</w:t>
      </w:r>
    </w:p>
    <w:p>
      <w:pPr>
        <w:spacing w:after="0" w:line="164" w:lineRule="exact"/>
        <w:rPr>
          <w:sz w:val="20"/>
          <w:szCs w:val="20"/>
          <w:color w:val="auto"/>
        </w:rPr>
      </w:pPr>
    </w:p>
    <w:p>
      <w:pPr>
        <w:ind w:right="540" w:firstLine="318"/>
        <w:spacing w:after="0" w:line="290" w:lineRule="auto"/>
        <w:rPr>
          <w:sz w:val="20"/>
          <w:szCs w:val="20"/>
          <w:color w:val="auto"/>
        </w:rPr>
      </w:pPr>
      <w:r>
        <w:rPr>
          <w:rFonts w:ascii="Arial" w:cs="Arial" w:eastAsia="Arial" w:hAnsi="Arial"/>
          <w:sz w:val="18"/>
          <w:szCs w:val="18"/>
          <w:color w:val="auto"/>
        </w:rPr>
        <w:t>During the first quarter of 2023, the Company completed a reassessment of the useful lives of its large manufacturing equipment and research and development equipment, and determined that the Company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80"/>
        <w:spacing w:after="0" w:line="290" w:lineRule="auto"/>
        <w:rPr>
          <w:sz w:val="20"/>
          <w:szCs w:val="20"/>
          <w:color w:val="auto"/>
        </w:rPr>
      </w:pPr>
      <w:r>
        <w:rPr>
          <w:rFonts w:ascii="Arial" w:cs="Arial" w:eastAsia="Arial" w:hAnsi="Arial"/>
          <w:sz w:val="18"/>
          <w:szCs w:val="18"/>
          <w:color w:val="auto"/>
        </w:rPr>
        <w:t xml:space="preserve">increase the estimated useful lives for certain of its equipment from a range of 5 to 10 years to a uniform 10 years. This reassessment was accounted for as a change in accounting estimate and was made on a prospective basis effective January 1, 2023.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7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The Company classifies long-lived assets determined to be sold as held for sale in the period in which all specified GAAP criteria are met. The Company initially measures assets classified as held for sale at the lower of its carrying value or fair value less costs to sell. Any loss resulting from this measurement is recognized in the period in which the held for sale criteria are met and are recorded in selling, general, and administrative expenses. The estimated fair value are typically based on appraisals or offers from prospective buyers.</w:t>
      </w:r>
    </w:p>
    <w:p>
      <w:pPr>
        <w:spacing w:after="0" w:line="133"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In connection with Global Operations Review the Company identified certain manufacturing equipment that were no longer required for its future operations. Upon valuation of these assets by an independent third party, the assets that were determined to be not salable were fully depreciated during the period. The assets that were determined salable were recorded in “Assets held for sale” in the Company’s consolidated balance sheet at the lower of its carrying value or fair value less costs to sell. Loss recognized during 2023 associated with these assets classified as held for sale was $16.6 million. These assets held for sale are expected to be sold within one year.</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The Company concluded that no long-lived assets were impaired during the fiscal years ended December 31, 2023, 2022 and 2021.</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38" w:lineRule="exact"/>
        <w:rPr>
          <w:sz w:val="20"/>
          <w:szCs w:val="20"/>
          <w:color w:val="auto"/>
        </w:rPr>
      </w:pPr>
    </w:p>
    <w:p>
      <w:pPr>
        <w:ind w:right="20" w:firstLine="318"/>
        <w:spacing w:after="0" w:line="267" w:lineRule="auto"/>
        <w:rPr>
          <w:sz w:val="20"/>
          <w:szCs w:val="20"/>
          <w:color w:val="auto"/>
        </w:rPr>
      </w:pPr>
      <w:r>
        <w:rPr>
          <w:rFonts w:ascii="Arial" w:cs="Arial" w:eastAsia="Arial" w:hAnsi="Arial"/>
          <w:sz w:val="18"/>
          <w:szCs w:val="18"/>
          <w:color w:val="auto"/>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r>
        <w:rPr>
          <w:rFonts w:ascii="Arial" w:cs="Arial" w:eastAsia="Arial" w:hAnsi="Arial"/>
          <w:sz w:val="18"/>
          <w:szCs w:val="18"/>
          <w:u w:val="single" w:color="auto"/>
          <w:color w:val="0000FF"/>
        </w:rPr>
        <w:t>Note 11</w:t>
      </w:r>
      <w:r>
        <w:rPr>
          <w:rFonts w:ascii="Arial" w:cs="Arial" w:eastAsia="Arial" w:hAnsi="Arial"/>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360" w:firstLine="318"/>
        <w:spacing w:after="0" w:line="267" w:lineRule="auto"/>
        <w:rPr>
          <w:sz w:val="20"/>
          <w:szCs w:val="20"/>
          <w:color w:val="auto"/>
        </w:rPr>
      </w:pPr>
      <w:r>
        <w:rPr>
          <w:rFonts w:ascii="Arial" w:cs="Arial" w:eastAsia="Arial" w:hAnsi="Arial"/>
          <w:sz w:val="18"/>
          <w:szCs w:val="18"/>
          <w:color w:val="auto"/>
        </w:rPr>
        <w:t>The Company leases certain equipment used for research and development and operations under both finance and operating lease agreements. An asset and a corresponding liability for the finance lease obligations are established for the cost of a finance lease. Finance lease assets are included in “Property, plant and equipment, net” in the Company’s consolidated balance sheets.</w:t>
      </w:r>
    </w:p>
    <w:p>
      <w:pPr>
        <w:spacing w:after="0" w:line="131" w:lineRule="exact"/>
        <w:rPr>
          <w:sz w:val="20"/>
          <w:szCs w:val="20"/>
          <w:color w:val="auto"/>
        </w:rPr>
      </w:pPr>
    </w:p>
    <w:p>
      <w:pPr>
        <w:ind w:right="80" w:firstLine="318"/>
        <w:spacing w:after="0" w:line="265" w:lineRule="auto"/>
        <w:rPr>
          <w:sz w:val="20"/>
          <w:szCs w:val="20"/>
          <w:color w:val="auto"/>
        </w:rPr>
      </w:pPr>
      <w:r>
        <w:rPr>
          <w:rFonts w:ascii="Arial" w:cs="Arial" w:eastAsia="Arial" w:hAnsi="Arial"/>
          <w:sz w:val="18"/>
          <w:szCs w:val="18"/>
          <w:color w:val="auto"/>
        </w:rPr>
        <w:t xml:space="preserve">Operating leases include lease arrangements for the Company’s corporate offices, the Campus Lease (see </w:t>
      </w:r>
      <w:r>
        <w:rPr>
          <w:rFonts w:ascii="Arial" w:cs="Arial" w:eastAsia="Arial" w:hAnsi="Arial"/>
          <w:sz w:val="18"/>
          <w:szCs w:val="18"/>
          <w:u w:val="single" w:color="auto"/>
          <w:color w:val="0000FF"/>
        </w:rPr>
        <w:t>Note 4</w:t>
      </w:r>
      <w:r>
        <w:rPr>
          <w:rFonts w:ascii="Arial" w:cs="Arial" w:eastAsia="Arial" w:hAnsi="Arial"/>
          <w:sz w:val="18"/>
          <w:szCs w:val="18"/>
          <w:color w:val="auto"/>
        </w:rPr>
        <w:t>), the former Manhattan Beach Project Innovation Center, manufacturing facilities, warehouses, vehicles and, to a lesser extent, equipment. Operating leases with a term greater than one year are recorded on the consolidated balance sheets as operating lease right-of-use assets and operating lease liabilities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commencement date. Operating lease assets represent the right to use an underlying asset for the lease term, and operating lease liabilities represent the obligation to make lease payments arising from the lease.</w:t>
      </w:r>
    </w:p>
    <w:p>
      <w:pPr>
        <w:spacing w:after="0" w:line="96"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color w:val="auto"/>
        </w:rPr>
        <w:t>The Company records these balances initially at the present value of future minimum lease payments calculated using the Company’s incremental borrowing rate and expected lease term. The Company estimates the incremental borrowing rate for each operating lease based on prevailing market rates for collateralized debt in a similar economic environment with similar payment terms and maturity dates commensurate with the terms of the lease. Certain adjustments to the operating lease right-of-use assets may be required for items such as initial direct costs paid or incentives received. Certain leases contain variable payments, which are expensed as incurred and not included in the Company’s operating lease right-of-use assets and operating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spacing w:after="0" w:line="12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 xml:space="preserve">Upon adoption of ASU 2016-02, the Company elected to combine lease and non-lease components on all new or modified leases into a single lease component, for all classes of assets other than the co-manufacturing class of assets, which the Company recognizes over the expected term on a straight-line expense basis. The Company elected to separate the lease and non-lease components on all new or modified operating leases for the co-manufacturing class of assets for the purpose of recording operating lease right-of-use assets and operating lease liabilities. See </w:t>
      </w:r>
      <w:r>
        <w:rPr>
          <w:rFonts w:ascii="Arial" w:cs="Arial" w:eastAsia="Arial" w:hAnsi="Arial"/>
          <w:sz w:val="18"/>
          <w:szCs w:val="18"/>
          <w:u w:val="single" w:color="auto"/>
          <w:color w:val="0000FF"/>
        </w:rPr>
        <w:t>Note 4</w:t>
      </w:r>
      <w:r>
        <w:rPr>
          <w:rFonts w:ascii="Arial" w:cs="Arial" w:eastAsia="Arial" w:hAnsi="Arial"/>
          <w:sz w:val="18"/>
          <w:szCs w:val="18"/>
          <w:color w:val="auto"/>
        </w:rPr>
        <w:t>.</w:t>
      </w:r>
    </w:p>
    <w:p>
      <w:pPr>
        <w:spacing w:after="0" w:line="120"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When the Company purchases property that it was previously leasing under an operating lease, the Company de-recognizes the right-of-use asset and lease liability and recognizes the difference between the purchase price and the carrying amount of the lease liability immediately before the purchase as an adjustment to the carrying value of the asset. The Company allocates the purchase price to the assets acquired based upon their relative values.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r>
        <w:rPr>
          <w:rFonts w:ascii="Arial" w:cs="Arial" w:eastAsia="Arial" w:hAnsi="Arial"/>
          <w:sz w:val="18"/>
          <w:szCs w:val="18"/>
          <w:u w:val="single" w:color="auto"/>
          <w:color w:val="0000FF"/>
        </w:rPr>
        <w:t>Note 10</w:t>
      </w:r>
      <w:r>
        <w:rPr>
          <w:rFonts w:ascii="Arial" w:cs="Arial" w:eastAsia="Arial" w:hAnsi="Arial"/>
          <w:sz w:val="18"/>
          <w:szCs w:val="18"/>
          <w:color w:val="auto"/>
        </w:rPr>
        <w: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In May 2014, the FASB issued ASU No. 2014-09, “Revenue from Contracts with Customers” (“ASU 2014-09”), which, along with subsequent ASUs, amended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firstLine="318"/>
        <w:spacing w:after="0" w:line="283" w:lineRule="auto"/>
        <w:rPr>
          <w:sz w:val="20"/>
          <w:szCs w:val="20"/>
          <w:color w:val="auto"/>
        </w:rPr>
      </w:pPr>
      <w:r>
        <w:rPr>
          <w:rFonts w:ascii="Arial" w:cs="Arial" w:eastAsia="Arial" w:hAnsi="Arial"/>
          <w:sz w:val="17"/>
          <w:szCs w:val="17"/>
          <w:color w:val="auto"/>
        </w:rPr>
        <w:t>The Company’s revenues are generated through sales of its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generally does not offer warranties or a right to return on the products it sells except in the instance of a product recall or other limited circumstances.</w:t>
      </w:r>
    </w:p>
    <w:p>
      <w:pPr>
        <w:spacing w:after="0" w:line="106"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2023 contains a significant financing component.</w:t>
      </w:r>
    </w:p>
    <w:p>
      <w:pPr>
        <w:spacing w:after="0" w:line="11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the Company recognizes a contra asset to accounts receivable for estimated sales discounts that have been incurred but not paid which totaled $6.9 million and $4.6 million as of December 31, 2023 and 2022, respectively. The offsetting charge is recorded as a reduction of revenues in the same period when the expense is incurred.</w:t>
      </w:r>
    </w:p>
    <w:p>
      <w:pPr>
        <w:spacing w:after="0" w:line="139" w:lineRule="exact"/>
        <w:rPr>
          <w:sz w:val="20"/>
          <w:szCs w:val="20"/>
          <w:color w:val="auto"/>
        </w:rPr>
      </w:pPr>
    </w:p>
    <w:p>
      <w:pPr>
        <w:ind w:right="60" w:firstLine="318"/>
        <w:spacing w:after="0" w:line="290"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6"/>
                <w:szCs w:val="16"/>
                <w:b w:val="1"/>
                <w:bCs w:val="1"/>
                <w:color w:val="auto"/>
                <w:w w:val="98"/>
              </w:rPr>
              <w:t>Year Ended December 31,</w:t>
            </w:r>
          </w:p>
        </w:tc>
        <w:tc>
          <w:tcPr>
            <w:tcW w:w="1260" w:type="dxa"/>
            <w:vAlign w:val="bottom"/>
            <w:tcBorders>
              <w:bottom w:val="single" w:sz="8" w:color="auto"/>
            </w:tcBorders>
          </w:tcPr>
          <w:p>
            <w:pPr>
              <w:spacing w:after="0"/>
              <w:rPr>
                <w:sz w:val="18"/>
                <w:szCs w:val="18"/>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2021</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97"/>
              </w:rPr>
              <w:t>(in thousands)</w:t>
            </w:r>
          </w:p>
        </w:tc>
        <w:tc>
          <w:tcPr>
            <w:tcW w:w="48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592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155,240</w:t>
            </w:r>
          </w:p>
        </w:tc>
        <w:tc>
          <w:tcPr>
            <w:tcW w:w="5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243,360</w:t>
            </w:r>
          </w:p>
        </w:tc>
      </w:tr>
      <w:tr>
        <w:trPr>
          <w:trHeight w:val="225"/>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76,475</w:t>
            </w: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319,835</w:t>
            </w:r>
          </w:p>
        </w:tc>
      </w:tr>
      <w:tr>
        <w:trPr>
          <w:trHeight w:val="225"/>
        </w:trPr>
        <w:tc>
          <w:tcPr>
            <w:tcW w:w="20" w:type="dxa"/>
            <w:vAlign w:val="bottom"/>
          </w:tcPr>
          <w:p>
            <w:pPr>
              <w:spacing w:after="0"/>
              <w:rPr>
                <w:sz w:val="19"/>
                <w:szCs w:val="19"/>
                <w:color w:val="auto"/>
              </w:rPr>
            </w:pPr>
          </w:p>
        </w:tc>
        <w:tc>
          <w:tcPr>
            <w:tcW w:w="592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81,483</w:t>
            </w:r>
          </w:p>
        </w:tc>
      </w:tr>
      <w:tr>
        <w:trPr>
          <w:trHeight w:val="225"/>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63,382</w:t>
            </w: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137,489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144,865</w:t>
            </w:r>
          </w:p>
        </w:tc>
      </w:tr>
      <w:tr>
        <w:trPr>
          <w:trHeight w:val="218"/>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343,376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464,700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One distributor accounted for approximately 12% of the Company’s gross revenues in each of 2023 and 2022; two distributors accounted for approximately 12% and 11% of the Company’s gross revenues in 2021. No other distributor or customer accounted for more than 10% of the Company’s gross revenues in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77" w:lineRule="exact"/>
        <w:rPr>
          <w:sz w:val="20"/>
          <w:szCs w:val="20"/>
          <w:color w:val="auto"/>
        </w:rPr>
      </w:pPr>
    </w:p>
    <w:p>
      <w:pPr>
        <w:jc w:val="both"/>
        <w:ind w:right="380" w:firstLine="318"/>
        <w:spacing w:after="0" w:line="273" w:lineRule="auto"/>
        <w:rPr>
          <w:sz w:val="20"/>
          <w:szCs w:val="20"/>
          <w:color w:val="auto"/>
        </w:rPr>
      </w:pPr>
      <w:r>
        <w:rPr>
          <w:rFonts w:ascii="Arial" w:cs="Arial" w:eastAsia="Arial" w:hAnsi="Arial"/>
          <w:sz w:val="17"/>
          <w:szCs w:val="17"/>
          <w:color w:val="auto"/>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Such potential common shares include options, unvested restricted stock, restricted stock units (“RSUs”) and contracts classified as assets or liabilities that are required or assumed to be share-settled under the two-class method.</w:t>
      </w:r>
    </w:p>
    <w:p>
      <w:pPr>
        <w:spacing w:after="0" w:line="131"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Company calculates basic and diluted EPS available to common stockholders in conformity with the two-class method required for companies with participating securities. Pursuant to ASU 2020-06, the Company applies the more dilutive of the if-converted method and the two-class method to its Notes. Computation of EPS for the years ended December 31, 2021 and 2020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w:t>
      </w:r>
    </w:p>
    <w:p>
      <w:pPr>
        <w:spacing w:after="0" w:line="139" w:lineRule="exact"/>
        <w:rPr>
          <w:sz w:val="20"/>
          <w:szCs w:val="20"/>
          <w:color w:val="auto"/>
        </w:rPr>
      </w:pPr>
    </w:p>
    <w:p>
      <w:pPr>
        <w:ind w:right="720" w:firstLine="318"/>
        <w:spacing w:after="0" w:line="290" w:lineRule="auto"/>
        <w:rPr>
          <w:sz w:val="20"/>
          <w:szCs w:val="20"/>
          <w:color w:val="auto"/>
        </w:rPr>
      </w:pPr>
      <w:r>
        <w:rPr>
          <w:rFonts w:ascii="Arial" w:cs="Arial" w:eastAsia="Arial" w:hAnsi="Arial"/>
          <w:sz w:val="18"/>
          <w:szCs w:val="18"/>
          <w:color w:val="auto"/>
        </w:rPr>
        <w:t xml:space="preserve">In periods when the Company records net loss, all potential common shares are excluded in the computation of EPS because their inclusion would be anti-dilutive. See </w:t>
      </w:r>
      <w:r>
        <w:rPr>
          <w:rFonts w:ascii="Arial" w:cs="Arial" w:eastAsia="Arial" w:hAnsi="Arial"/>
          <w:sz w:val="18"/>
          <w:szCs w:val="18"/>
          <w:u w:val="single" w:color="auto"/>
          <w:color w:val="0000FF"/>
        </w:rPr>
        <w:t>Note 12</w:t>
      </w:r>
      <w:r>
        <w:rPr>
          <w:rFonts w:ascii="Arial" w:cs="Arial" w:eastAsia="Arial" w:hAnsi="Arial"/>
          <w:sz w:val="18"/>
          <w:szCs w:val="18"/>
          <w:color w:val="auto"/>
        </w:rPr>
        <w: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64" w:lineRule="exact"/>
        <w:rPr>
          <w:sz w:val="20"/>
          <w:szCs w:val="20"/>
          <w:color w:val="auto"/>
        </w:rPr>
      </w:pPr>
    </w:p>
    <w:p>
      <w:pPr>
        <w:jc w:val="both"/>
        <w:ind w:right="480" w:firstLine="318"/>
        <w:spacing w:after="0" w:line="275" w:lineRule="auto"/>
        <w:rPr>
          <w:sz w:val="20"/>
          <w:szCs w:val="20"/>
          <w:color w:val="auto"/>
        </w:rPr>
      </w:pPr>
      <w:r>
        <w:rPr>
          <w:rFonts w:ascii="Arial" w:cs="Arial" w:eastAsia="Arial" w:hAnsi="Arial"/>
          <w:sz w:val="18"/>
          <w:szCs w:val="18"/>
          <w:color w:val="auto"/>
        </w:rPr>
        <w:t>Prepaid expenses primarily include prepaid insurance and other prepaid vendor costs, which are expensed in the period to which they relate. Prepaid expenses are included under the caption “Prepaid assets and other assets” in consolidated balance sheets and were $8.3 million, and $14.5 million as of December 31, 2023 and 2022, respectively.</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Joint Venture</w:t>
      </w:r>
    </w:p>
    <w:p>
      <w:pPr>
        <w:spacing w:after="0" w:line="164" w:lineRule="exact"/>
        <w:rPr>
          <w:sz w:val="20"/>
          <w:szCs w:val="20"/>
          <w:color w:val="auto"/>
        </w:rPr>
      </w:pPr>
    </w:p>
    <w:p>
      <w:pPr>
        <w:ind w:right="20" w:firstLine="318"/>
        <w:spacing w:after="0" w:line="283" w:lineRule="auto"/>
        <w:rPr>
          <w:sz w:val="20"/>
          <w:szCs w:val="20"/>
          <w:color w:val="auto"/>
        </w:rPr>
      </w:pPr>
      <w:r>
        <w:rPr>
          <w:rFonts w:ascii="Arial" w:cs="Arial" w:eastAsia="Arial" w:hAnsi="Arial"/>
          <w:sz w:val="17"/>
          <w:szCs w:val="17"/>
          <w:color w:val="auto"/>
        </w:rPr>
        <w:t>The Company uses the equity method of accounting to record transactions associated with its joint venture when the Company shares in joint control of the investee. Investment in joint venture is not consolidated but is recorded in “Investment in unconsolidated joint venture” in the Company’s consolidated balance sheet. The Company recognizes its portion of the investee’s results in “Equity in losses of unconsolidated joint venture” in its consolidated statement of operations. The Company eliminates its proportionate interest in any intra-entity profits or losses in the inventory of the investee at the end of the reporting period and recognizes its portion of the profit and losses when realized by the investee.</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SG&amp;A expenses are primarily comprised of selling, marketing expenses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sale and write-down of fixed assets, consulting fees and other non-production operating expenses. Marketing and selling expenses include advertising costs, share-based compensation awards to brand ambassadors, costs associated with consumer promotions, product donations, product samples and sales aids incurred to acquire new customers, retain existing customers and build brand awareness. Administrative expenses include expenses related to management, accounting, legal, IT and other office functions. Advertising costs are expensed as incurred. Advertising costs in the years ended December 31, 2023, 2022 and 2021 were $17.2 million, $20.6 million and $12.1 million, respectively. Non-advertising related components of the Company’s total marketing expenditures primarily include costs associated with consumer promotions, product sampling and sales aids, which are also included in SG&amp;A.</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are considered as fulfillment costs and are recorded in SG&amp;A expenses. Outbound shipping and handling costs included in SG&amp;A expenses in 2023, 2022 and 2021 were $10.7 million, $17.6 million and $19.1 million, respectively.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Research and development expenses, which includes enhancements to existing products and new product development, are expensed in the period incurred. Research and development expenses primarily consist of personnel and related expenses for the Company’s research and development staff, including salaries, benefits, bonuses, share-based compensation, scale-up expenses and depreciation and amortization expense on research and development assets, and facility lease costs. Research and development expenses in the years ended December 31, 2023, 2022 and 2021, were $39.5 million, $62.3 million and $66.9 million, respectively.</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64"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in its consolidated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38"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r>
        <w:rPr>
          <w:rFonts w:ascii="Arial" w:cs="Arial" w:eastAsia="Arial" w:hAnsi="Arial"/>
          <w:sz w:val="17"/>
          <w:szCs w:val="17"/>
          <w:u w:val="single" w:color="auto"/>
          <w:color w:val="0000FF"/>
        </w:rPr>
        <w:t>Note 9</w:t>
      </w:r>
      <w:r>
        <w:rPr>
          <w:rFonts w:ascii="Arial" w:cs="Arial" w:eastAsia="Arial" w:hAnsi="Arial"/>
          <w:sz w:val="17"/>
          <w:szCs w:val="17"/>
          <w:color w:val="auto"/>
        </w:rPr>
        <w: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64" w:lineRule="exact"/>
        <w:rPr>
          <w:sz w:val="20"/>
          <w:szCs w:val="20"/>
          <w:color w:val="auto"/>
        </w:rPr>
      </w:pPr>
    </w:p>
    <w:p>
      <w:pPr>
        <w:ind w:right="460" w:firstLine="318"/>
        <w:spacing w:after="0" w:line="267" w:lineRule="auto"/>
        <w:rPr>
          <w:sz w:val="20"/>
          <w:szCs w:val="20"/>
          <w:color w:val="auto"/>
        </w:rPr>
      </w:pPr>
      <w:r>
        <w:rPr>
          <w:rFonts w:ascii="Arial" w:cs="Arial" w:eastAsia="Arial" w:hAnsi="Arial"/>
          <w:sz w:val="18"/>
          <w:szCs w:val="18"/>
          <w:color w:val="auto"/>
        </w:rPr>
        <w:t>On January 1, 2017 the Company initiated a 401(k) retirement savings plan (“401-K Plan”) for the benefit of eligible employees. Under terms of this plan, eligible employees are able to make contributions of their wages on a tax-deferred basis. The Company has incurred $2.1 million, $2.9 million and $1.5 million in matching contribution to the 401-K Plan in 2023, 2022 and 2021,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64" w:lineRule="exact"/>
        <w:rPr>
          <w:sz w:val="20"/>
          <w:szCs w:val="20"/>
          <w:color w:val="auto"/>
        </w:rPr>
      </w:pPr>
    </w:p>
    <w:p>
      <w:pPr>
        <w:ind w:right="260" w:firstLine="318"/>
        <w:spacing w:after="0" w:line="267" w:lineRule="auto"/>
        <w:rPr>
          <w:sz w:val="20"/>
          <w:szCs w:val="20"/>
          <w:color w:val="auto"/>
        </w:rPr>
      </w:pPr>
      <w:r>
        <w:rPr>
          <w:rFonts w:ascii="Arial" w:cs="Arial" w:eastAsia="Arial" w:hAnsi="Arial"/>
          <w:sz w:val="18"/>
          <w:szCs w:val="18"/>
          <w:color w:val="auto"/>
        </w:rPr>
        <w:t>The Company accounts for exit or disposal activities in accordance with ASC 420, “Exit or Disposal Cost Obligations.” The Company defines a business restructuring as an exit or disposal activity that includes but is not limited to a program which is planned and controlled by management and materially changes 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60"/>
        <w:spacing w:after="0" w:line="290" w:lineRule="auto"/>
        <w:rPr>
          <w:sz w:val="20"/>
          <w:szCs w:val="20"/>
          <w:color w:val="auto"/>
        </w:rPr>
      </w:pPr>
      <w:r>
        <w:rPr>
          <w:rFonts w:ascii="Arial" w:cs="Arial" w:eastAsia="Arial" w:hAnsi="Arial"/>
          <w:sz w:val="18"/>
          <w:szCs w:val="18"/>
          <w:color w:val="auto"/>
        </w:rPr>
        <w:t>scope of a business or the manner in which that business is conducted. Business restructuring charges may include (i) contract termination costs and (ii) other related costs associated with exit or disposal activities.</w:t>
      </w:r>
    </w:p>
    <w:p>
      <w:pPr>
        <w:spacing w:after="0" w:line="96" w:lineRule="exact"/>
        <w:rPr>
          <w:sz w:val="20"/>
          <w:szCs w:val="20"/>
          <w:color w:val="auto"/>
        </w:rPr>
      </w:pPr>
    </w:p>
    <w:p>
      <w:pPr>
        <w:jc w:val="both"/>
        <w:ind w:right="160" w:firstLine="318"/>
        <w:spacing w:after="0" w:line="275" w:lineRule="auto"/>
        <w:rPr>
          <w:sz w:val="20"/>
          <w:szCs w:val="20"/>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r>
        <w:rPr>
          <w:rFonts w:ascii="Arial" w:cs="Arial" w:eastAsia="Arial" w:hAnsi="Arial"/>
          <w:sz w:val="18"/>
          <w:szCs w:val="18"/>
          <w:u w:val="single" w:color="auto"/>
          <w:color w:val="0000FF"/>
        </w:rPr>
        <w:t>Note 3</w:t>
      </w:r>
      <w:r>
        <w:rPr>
          <w:rFonts w:ascii="Arial" w:cs="Arial" w:eastAsia="Arial" w:hAnsi="Arial"/>
          <w:sz w:val="18"/>
          <w:szCs w:val="18"/>
          <w:color w:val="auto"/>
        </w:rPr>
        <w: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64" w:lineRule="exact"/>
        <w:rPr>
          <w:sz w:val="20"/>
          <w:szCs w:val="20"/>
          <w:color w:val="auto"/>
        </w:rPr>
      </w:pPr>
    </w:p>
    <w:p>
      <w:pPr>
        <w:ind w:right="80" w:firstLine="318"/>
        <w:spacing w:after="0" w:line="259" w:lineRule="auto"/>
        <w:rPr>
          <w:sz w:val="20"/>
          <w:szCs w:val="20"/>
          <w:color w:val="auto"/>
        </w:rPr>
      </w:pPr>
      <w:r>
        <w:rPr>
          <w:rFonts w:ascii="Arial" w:cs="Arial" w:eastAsia="Arial" w:hAnsi="Arial"/>
          <w:sz w:val="18"/>
          <w:szCs w:val="18"/>
          <w:color w:val="auto"/>
        </w:rPr>
        <w:t>In October 2023, the FASB issued ASU 2023-06 “Disclosure Improvements—Codification Amendments in Response to the SEC’s Disclosure Update and Simplification Initiative” (“ASU 2023-06”), which provides amendments to the Codification in response to the 2018 SEC release No. 33-10532, “Disclosure Update and Simplification.” The amendments modify the disclosure and presentation requirements of a variety of Topics in the Codification and apply to all reporting entities within the scope of the affected Topics. ASU 2023-06 is effective for companies that are subject to the SEC’s existing disclosure requirements and for entities required to file or furnish financial statements with or to the SEC in preparation for the sale of or purpose of issuing securities on the date which the SEC removes the related disclosure from Regulation S-X or Regulation S-K. Early adoption is prohibited. For all other entities, the amendments are effective two years later. If the SEC has not removed the applicable disclosure from Regulation S-X or Regulation S-K by June 30, 2027, the pending content related to ASU 2023-06 will not become effective for any entity and will be removed from the codification. Adoption of ASU 2023-06 is expected to modify the disclosure and presentation requirements only and is not expected to have a material impact on the Company’s financial position, results of operations or cash flows.</w:t>
      </w:r>
    </w:p>
    <w:p>
      <w:pPr>
        <w:spacing w:after="0" w:line="127"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 November 2023, the FASB issued ASU 2023-07 “Segment Reporting (Topic 280)—Improvements to Reportable Segment Disclosures” (“ASU 2023-07”), which requires the disclosure of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The amendments in ASU 2023-07 apply to all public entities that are required to report segment information in accordance with Topic 280, Segment Reporting. ASU 2023-07 is effective for fiscal years beginning after December 15, 2023 and interim periods beginning after December 15, 2024. Early adoption is permitted. The amendments should be adopted retrospectively. ASU 2023-06 is effective for the Company beginning January 1, 2024 and interim periods beginning January 1, 2025. Adoption of ASU 2023-07 is expected to modify the disclosure and presentation requirements only and is not expected to have a material impact on the Company’s financial position, results of operations or cash flows.</w:t>
      </w:r>
    </w:p>
    <w:p>
      <w:pPr>
        <w:spacing w:after="0" w:line="138" w:lineRule="exact"/>
        <w:rPr>
          <w:sz w:val="20"/>
          <w:szCs w:val="20"/>
          <w:color w:val="auto"/>
        </w:rPr>
      </w:pPr>
    </w:p>
    <w:p>
      <w:pPr>
        <w:ind w:right="80" w:firstLine="318"/>
        <w:spacing w:after="0" w:line="276" w:lineRule="auto"/>
        <w:rPr>
          <w:sz w:val="20"/>
          <w:szCs w:val="20"/>
          <w:color w:val="auto"/>
        </w:rPr>
      </w:pPr>
      <w:r>
        <w:rPr>
          <w:rFonts w:ascii="Arial" w:cs="Arial" w:eastAsia="Arial" w:hAnsi="Arial"/>
          <w:sz w:val="17"/>
          <w:szCs w:val="17"/>
          <w:color w:val="auto"/>
        </w:rPr>
        <w:t xml:space="preserve">In December 2023, the FASB issued “ASU 2023-09—Income Taxes (Topic 740)—Improvements to Income Tax Disclosures” (“ASU 2023-09”) which amends the Codification to enhance the transparency and decision usefulness of income tax disclosures. ASU 2023-09 requires additional disaggregation of the reconciliation between the statutory and effective tax rate for an entity and of income taxes paid, both of which are disclosures required by current GAAP. The amendments improve the transparency of income tax disclosures by requiring (1) consistent categories and greater disaggregation of information in the rate reconciliation and (2) income taxes paid disaggregated by jurisdiction. The amendments in ASU 2023-09 apply to all entities that are subject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For public business entities, the amendments in ASU 2023-09 are effective for annual periods beginning after December 15, 2024. Early adoption is permitted. ASU 2023-09 is effective for the Company beginning January 1, 2025. Adoption of ASU 2023-09 is expected to enhance the usefulness of income tax disclosures and is not expected to have a material impact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66"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On October 18, 2022, the parties to this dispute entered into a confidential written settlement agreement and mutual release, pursuant to which the parties agreed to dismiss with prejudice all claims and cross-claims asserted in the associated cases filed in the Superior Court of the State of California for the County of Los Angeles and the United States District Court for the Central District of California. The terms of the settlement did not have a material impact on Beyond Meat’s financial position or results of operations. No party admitted liability or wrongdoing in connection with the settlement. In 2023, 2022 and 2021, the Company recorded $(0.6) million, $17.3 million and $ 15.8 million, respectively, in restructuring expenses related to this dispute, which consisted primarily of legal and other expenses. The credit recorded in 2023 was primarily driven by a reversal of certain accruals. As of December 31, 2023 and 2022, the Company had $0 and $0.7 million, respectively, in accrued unpaid restructuring expenses associated with this dispute.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10.</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 has operating leases for its corporate offices, the Campus Lease, its former Manhattan Beach Project Innovation Center, its manufacturing facilities, warehouses and vehicles, and to a lesser extent, certain equipment and finance leases. Such leases generally have original lease terms between 2 years and 12 years, and often include one or more options to renew.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spacing w:after="0" w:line="139"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 xml:space="preserve">On January 14, 2021, the Company entered into the Campus Lease, a 12-year lease with two 5-year renewal options to house its corporate headquarters, lab and innovation space (the “Campus Headquarters”) in El Segundo, California. Although the Company is involved in the design of the tenant improvements of the Campus Headquarters, the Company does not have title or possession of the assets during construction. In addition, the Company does not have the ability to control the leased Campus Headquarters until each phase of the tenant improvements is complete. The Company contributed $4.2 million and $55.1 million in payments towards the construction of the Campus Headquarters in the year ended December 31, 2023 and 2022, respectively. These payments are initially recorded in “Prepaid lease costs, non-current” in the Company’s consolidated balance sheets and will ultimately be reclassified as a component of a right-of-use asset upon lease commencement for each phase of the lease. On September 15, 2022, the tenant improvements associated with Phase 1-A were completed, and the underlying asset was delivered to the Company. As such, upon commencement of Phase 1-A, the Company recognized a $64.1 million right-of-use asset, which included the reclassification of $27.7 million of the construction payments previously included in “Prepaid lease costs, non-current,” and a $36.6 million lease liability. On June 1, 2023, the tenant improvements associated with Phase 1-B were completed, and the underlying asset was delivered to the Company. As such, upon commencement of Phase 1-B, the Company recognized a $64.9 million right-of-use asset, which included the reclassification of $29.3 million of the construction payments previously included in “Prepaid lease costs, non-current,” and a $35.6 million lease liability. Therefore, Phase 1-A and Phase 1-B of the Campus Lease are included in the tables below. The lease on the commercialization center in Commerce, California was terminated on February 14, 2023. The lease on the former corporate headquarters expired on October 31, 2023 and the lease on the Manhattan Beach Innovation Center expired subsequent to the year ended December 31, 2023 on January 31, 2024.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for operating and finance leases: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392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0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Statement of Operations Location</w:t>
            </w:r>
          </w:p>
        </w:tc>
        <w:tc>
          <w:tcPr>
            <w:tcW w:w="360" w:type="dxa"/>
            <w:vAlign w:val="bottom"/>
          </w:tcPr>
          <w:p>
            <w:pPr>
              <w:spacing w:after="0"/>
              <w:rPr>
                <w:sz w:val="14"/>
                <w:szCs w:val="14"/>
                <w:color w:val="auto"/>
              </w:rPr>
            </w:pPr>
          </w:p>
        </w:tc>
        <w:tc>
          <w:tcPr>
            <w:tcW w:w="1220" w:type="dxa"/>
            <w:vAlign w:val="bottom"/>
          </w:tcPr>
          <w:p>
            <w:pPr>
              <w:jc w:val="right"/>
              <w:ind w:right="53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532"/>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2240" w:type="dxa"/>
            <w:vAlign w:val="bottom"/>
            <w:tcBorders>
              <w:bottom w:val="single" w:sz="8" w:color="CCEEFF"/>
            </w:tcBorders>
            <w:gridSpan w:val="2"/>
            <w:shd w:val="clear" w:color="auto" w:fill="CCEEFF"/>
          </w:tcPr>
          <w:p>
            <w:pPr>
              <w:spacing w:after="0"/>
              <w:rPr>
                <w:sz w:val="16"/>
                <w:szCs w:val="16"/>
                <w:color w:val="auto"/>
              </w:rPr>
            </w:pP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1,688</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65"/>
        </w:trPr>
        <w:tc>
          <w:tcPr>
            <w:tcW w:w="20" w:type="dxa"/>
            <w:vAlign w:val="bottom"/>
            <w:shd w:val="clear" w:color="auto" w:fill="CCEEFF"/>
          </w:tcPr>
          <w:p>
            <w:pPr>
              <w:spacing w:after="0"/>
              <w:rPr>
                <w:sz w:val="23"/>
                <w:szCs w:val="23"/>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65"/>
        </w:trPr>
        <w:tc>
          <w:tcPr>
            <w:tcW w:w="20" w:type="dxa"/>
            <w:vAlign w:val="bottom"/>
          </w:tcPr>
          <w:p>
            <w:pPr>
              <w:spacing w:after="0"/>
              <w:rPr>
                <w:sz w:val="23"/>
                <w:szCs w:val="23"/>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65"/>
        </w:trPr>
        <w:tc>
          <w:tcPr>
            <w:tcW w:w="20" w:type="dxa"/>
            <w:vAlign w:val="bottom"/>
            <w:shd w:val="clear" w:color="auto" w:fill="CCEEFF"/>
          </w:tcPr>
          <w:p>
            <w:pPr>
              <w:spacing w:after="0"/>
              <w:rPr>
                <w:sz w:val="23"/>
                <w:szCs w:val="23"/>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18"/>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Operating lease cost</w:t>
            </w:r>
          </w:p>
        </w:tc>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spacing w:after="0" w:line="165" w:lineRule="exact"/>
              <w:rPr>
                <w:sz w:val="20"/>
                <w:szCs w:val="20"/>
                <w:color w:val="auto"/>
              </w:rPr>
            </w:pPr>
            <w:r>
              <w:rPr>
                <w:rFonts w:ascii="Arial" w:cs="Arial" w:eastAsia="Arial" w:hAnsi="Arial"/>
                <w:sz w:val="18"/>
                <w:szCs w:val="18"/>
                <w:color w:val="auto"/>
                <w:w w:val="97"/>
              </w:rPr>
              <w:t>Short- term lease cost:</w:t>
            </w:r>
          </w:p>
        </w:tc>
        <w:tc>
          <w:tcPr>
            <w:tcW w:w="214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18"/>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166"/>
        </w:trPr>
        <w:tc>
          <w:tcPr>
            <w:tcW w:w="20" w:type="dxa"/>
            <w:vAlign w:val="bottom"/>
          </w:tcPr>
          <w:p>
            <w:pPr>
              <w:spacing w:after="0"/>
              <w:rPr>
                <w:sz w:val="14"/>
                <w:szCs w:val="14"/>
                <w:color w:val="auto"/>
              </w:rPr>
            </w:pPr>
          </w:p>
        </w:tc>
        <w:tc>
          <w:tcPr>
            <w:tcW w:w="3920" w:type="dxa"/>
            <w:vAlign w:val="bottom"/>
            <w:gridSpan w:val="5"/>
          </w:tcPr>
          <w:p>
            <w:pPr>
              <w:spacing w:after="0" w:line="165" w:lineRule="exact"/>
              <w:rPr>
                <w:sz w:val="20"/>
                <w:szCs w:val="20"/>
                <w:color w:val="auto"/>
              </w:rPr>
            </w:pPr>
            <w:r>
              <w:rPr>
                <w:rFonts w:ascii="Arial" w:cs="Arial" w:eastAsia="Arial" w:hAnsi="Arial"/>
                <w:sz w:val="18"/>
                <w:szCs w:val="18"/>
                <w:color w:val="auto"/>
              </w:rPr>
              <w:t>Finance lease cost:</w:t>
            </w: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Amortization of right-of use assets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5"/>
        </w:trPr>
        <w:tc>
          <w:tcPr>
            <w:tcW w:w="20" w:type="dxa"/>
            <w:vAlign w:val="bottom"/>
            <w:tcBorders>
              <w:bottom w:val="single" w:sz="8" w:color="CCEEFF"/>
            </w:tcBorders>
          </w:tcPr>
          <w:p>
            <w:pPr>
              <w:spacing w:after="0"/>
              <w:rPr>
                <w:sz w:val="23"/>
                <w:szCs w:val="23"/>
                <w:color w:val="auto"/>
              </w:rPr>
            </w:pPr>
          </w:p>
        </w:tc>
        <w:tc>
          <w:tcPr>
            <w:tcW w:w="3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8"/>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auto"/>
              </w:rPr>
              <w:t>Total lease cost</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74" w:lineRule="exact"/>
        <w:rPr>
          <w:sz w:val="20"/>
          <w:szCs w:val="20"/>
          <w:color w:val="auto"/>
        </w:rPr>
      </w:pPr>
    </w:p>
    <w:p>
      <w:pPr>
        <w:ind w:left="240" w:hanging="234"/>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97"/>
              </w:rPr>
              <w:t>(in thousands)</w:t>
            </w:r>
          </w:p>
        </w:tc>
        <w:tc>
          <w:tcPr>
            <w:tcW w:w="2280" w:type="dxa"/>
            <w:vAlign w:val="bottom"/>
          </w:tcPr>
          <w:p>
            <w:pPr>
              <w:spacing w:after="0"/>
              <w:rPr>
                <w:sz w:val="14"/>
                <w:szCs w:val="14"/>
                <w:color w:val="auto"/>
              </w:rPr>
            </w:pPr>
          </w:p>
        </w:tc>
        <w:tc>
          <w:tcPr>
            <w:tcW w:w="45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Balance Sheet Location</w:t>
            </w:r>
          </w:p>
        </w:tc>
        <w:tc>
          <w:tcPr>
            <w:tcW w:w="380" w:type="dxa"/>
            <w:vAlign w:val="bottom"/>
          </w:tcPr>
          <w:p>
            <w:pPr>
              <w:spacing w:after="0"/>
              <w:rPr>
                <w:sz w:val="14"/>
                <w:szCs w:val="14"/>
                <w:color w:val="auto"/>
              </w:rPr>
            </w:pPr>
          </w:p>
        </w:tc>
        <w:tc>
          <w:tcPr>
            <w:tcW w:w="1240" w:type="dxa"/>
            <w:vAlign w:val="bottom"/>
          </w:tcPr>
          <w:p>
            <w:pPr>
              <w:jc w:val="right"/>
              <w:ind w:right="55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533"/>
              <w:spacing w:after="0" w:line="16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gridSpan w:val="2"/>
            <w:vMerge w:val="continue"/>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4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55,854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schedule by year of the maturities of lease liabilities with original terms in excess of one year, as of December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December 31, 2023</w:t>
            </w:r>
          </w:p>
        </w:tc>
      </w:tr>
      <w:tr>
        <w:trPr>
          <w:trHeight w:val="166"/>
        </w:trPr>
        <w:tc>
          <w:tcPr>
            <w:tcW w:w="20" w:type="dxa"/>
            <w:vAlign w:val="bottom"/>
          </w:tcPr>
          <w:p>
            <w:pPr>
              <w:spacing w:after="0"/>
              <w:rPr>
                <w:sz w:val="14"/>
                <w:szCs w:val="14"/>
                <w:color w:val="auto"/>
              </w:rPr>
            </w:pPr>
          </w:p>
        </w:tc>
        <w:tc>
          <w:tcPr>
            <w:tcW w:w="790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4"/>
                <w:szCs w:val="14"/>
                <w:color w:val="auto"/>
              </w:rPr>
            </w:pPr>
          </w:p>
        </w:tc>
        <w:tc>
          <w:tcPr>
            <w:tcW w:w="15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4"/>
                <w:szCs w:val="14"/>
                <w:color w:val="auto"/>
              </w:rPr>
            </w:pPr>
          </w:p>
        </w:tc>
        <w:tc>
          <w:tcPr>
            <w:tcW w:w="1440" w:type="dxa"/>
            <w:vAlign w:val="bottom"/>
          </w:tcPr>
          <w:p>
            <w:pPr>
              <w:jc w:val="right"/>
              <w:ind w:right="113"/>
              <w:spacing w:after="0" w:line="165" w:lineRule="exact"/>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8"/>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6" w:name="page117"/>
    <w:bookmarkEnd w:id="116"/>
    <w:p>
      <w:pPr>
        <w:ind w:left="1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87630</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Weighted average remaining lease terms and weighted average discount rates were: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 2023</w:t>
            </w:r>
          </w:p>
        </w:tc>
        <w:tc>
          <w:tcPr>
            <w:tcW w:w="980" w:type="dxa"/>
            <w:vAlign w:val="bottom"/>
            <w:tcBorders>
              <w:bottom w:val="single" w:sz="8" w:color="auto"/>
            </w:tcBorders>
          </w:tcPr>
          <w:p>
            <w:pPr>
              <w:spacing w:after="0"/>
              <w:rPr>
                <w:sz w:val="18"/>
                <w:szCs w:val="18"/>
                <w:color w:val="auto"/>
              </w:rPr>
            </w:pPr>
          </w:p>
        </w:tc>
      </w:tr>
      <w:tr>
        <w:trPr>
          <w:trHeight w:val="205"/>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84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Operating Leases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33"/>
              <w:spacing w:after="0"/>
              <w:rPr>
                <w:sz w:val="20"/>
                <w:szCs w:val="20"/>
                <w:color w:val="auto"/>
              </w:rPr>
            </w:pPr>
            <w:r>
              <w:rPr>
                <w:rFonts w:ascii="Arial" w:cs="Arial" w:eastAsia="Arial" w:hAnsi="Arial"/>
                <w:sz w:val="16"/>
                <w:szCs w:val="16"/>
                <w:b w:val="1"/>
                <w:bCs w:val="1"/>
                <w:color w:val="auto"/>
              </w:rPr>
              <w:t>Finance Leases</w:t>
            </w:r>
          </w:p>
        </w:tc>
      </w:tr>
      <w:tr>
        <w:trPr>
          <w:trHeight w:val="218"/>
        </w:trPr>
        <w:tc>
          <w:tcPr>
            <w:tcW w:w="120" w:type="dxa"/>
            <w:vAlign w:val="bottom"/>
            <w:tcBorders>
              <w:right w:val="single" w:sz="8" w:color="CCEEFF"/>
            </w:tcBorders>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2"/>
        </w:trPr>
        <w:tc>
          <w:tcPr>
            <w:tcW w:w="1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619"/>
        </w:trPr>
        <w:tc>
          <w:tcPr>
            <w:tcW w:w="120" w:type="dxa"/>
            <w:vAlign w:val="bottom"/>
          </w:tcPr>
          <w:p>
            <w:pPr>
              <w:spacing w:after="0"/>
              <w:rPr>
                <w:sz w:val="24"/>
                <w:szCs w:val="24"/>
                <w:color w:val="auto"/>
              </w:rPr>
            </w:pPr>
          </w:p>
        </w:tc>
        <w:tc>
          <w:tcPr>
            <w:tcW w:w="7760" w:type="dxa"/>
            <w:vAlign w:val="bottom"/>
            <w:gridSpan w:val="2"/>
          </w:tcPr>
          <w:p>
            <w:pPr>
              <w:ind w:left="30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165"/>
        </w:trPr>
        <w:tc>
          <w:tcPr>
            <w:tcW w:w="120" w:type="dxa"/>
            <w:vAlign w:val="bottom"/>
          </w:tcPr>
          <w:p>
            <w:pPr>
              <w:spacing w:after="0"/>
              <w:rPr>
                <w:sz w:val="14"/>
                <w:szCs w:val="14"/>
                <w:color w:val="auto"/>
              </w:rPr>
            </w:pPr>
          </w:p>
        </w:tc>
        <w:tc>
          <w:tcPr>
            <w:tcW w:w="77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15"/>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73"/>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120" w:type="dxa"/>
            <w:vAlign w:val="bottom"/>
            <w:tcBorders>
              <w:right w:val="single" w:sz="8" w:color="CCEEFF"/>
            </w:tcBorders>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r>
      <w:tr>
        <w:trPr>
          <w:trHeight w:val="232"/>
        </w:trPr>
        <w:tc>
          <w:tcPr>
            <w:tcW w:w="1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37,245</w:t>
            </w:r>
          </w:p>
        </w:tc>
      </w:tr>
      <w:tr>
        <w:trPr>
          <w:trHeight w:val="656"/>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Note 5. Inventories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1"/>
        </w:trPr>
        <w:tc>
          <w:tcPr>
            <w:tcW w:w="1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Major classes of inventory were as follows: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166"/>
        </w:trPr>
        <w:tc>
          <w:tcPr>
            <w:tcW w:w="120" w:type="dxa"/>
            <w:vAlign w:val="bottom"/>
          </w:tcPr>
          <w:p>
            <w:pPr>
              <w:spacing w:after="0"/>
              <w:rPr>
                <w:sz w:val="14"/>
                <w:szCs w:val="14"/>
                <w:color w:val="auto"/>
              </w:rPr>
            </w:pPr>
          </w:p>
        </w:tc>
        <w:tc>
          <w:tcPr>
            <w:tcW w:w="77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15"/>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473"/>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120" w:type="dxa"/>
            <w:vAlign w:val="bottom"/>
            <w:tcBorders>
              <w:right w:val="single" w:sz="8" w:color="CCEEFF"/>
            </w:tcBorders>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139,509</w:t>
            </w:r>
          </w:p>
        </w:tc>
      </w:tr>
      <w:tr>
        <w:trPr>
          <w:trHeight w:val="225"/>
        </w:trPr>
        <w:tc>
          <w:tcPr>
            <w:tcW w:w="1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37,001</w:t>
            </w:r>
          </w:p>
        </w:tc>
      </w:tr>
      <w:tr>
        <w:trPr>
          <w:trHeight w:val="225"/>
        </w:trPr>
        <w:tc>
          <w:tcPr>
            <w:tcW w:w="120" w:type="dxa"/>
            <w:vAlign w:val="bottom"/>
            <w:tcBorders>
              <w:right w:val="single" w:sz="8" w:color="CCEEFF"/>
            </w:tcBorders>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31,636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59,186</w:t>
            </w:r>
          </w:p>
        </w:tc>
      </w:tr>
      <w:tr>
        <w:trPr>
          <w:trHeight w:val="219"/>
        </w:trPr>
        <w:tc>
          <w:tcPr>
            <w:tcW w:w="1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130,336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235,696</w:t>
            </w:r>
          </w:p>
        </w:tc>
      </w:tr>
      <w:tr>
        <w:trPr>
          <w:trHeight w:val="20"/>
        </w:trPr>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100" w:right="260" w:firstLine="318"/>
        <w:spacing w:after="0" w:line="265" w:lineRule="auto"/>
        <w:rPr>
          <w:sz w:val="20"/>
          <w:szCs w:val="20"/>
          <w:color w:val="auto"/>
        </w:rPr>
      </w:pPr>
      <w:r>
        <w:rPr>
          <w:rFonts w:ascii="Arial" w:cs="Arial" w:eastAsia="Arial" w:hAnsi="Arial"/>
          <w:sz w:val="18"/>
          <w:szCs w:val="18"/>
          <w:color w:val="auto"/>
        </w:rPr>
        <w:t>The Company wrote off $57.4 million, $22.6 million and $12.5 million in excess and obsolete inventories and recognized that expense in cost of goods sold in its consolidated statements of operations for the years ended December 31, 2023, 2022 and 2021, respectively. The decrease in inventory in 2023 included $38.0 million in incremental provision for excess and obsolete inventory resulting from the Company’s Global Operations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169545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412"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66" w:lineRule="exact"/>
        <w:rPr>
          <w:sz w:val="20"/>
          <w:szCs w:val="20"/>
          <w:color w:val="auto"/>
        </w:rPr>
      </w:pPr>
    </w:p>
    <w:p>
      <w:pPr>
        <w:ind w:right="20" w:firstLine="318"/>
        <w:spacing w:after="0" w:line="290" w:lineRule="auto"/>
        <w:rPr>
          <w:sz w:val="20"/>
          <w:szCs w:val="20"/>
          <w:color w:val="auto"/>
        </w:rPr>
      </w:pPr>
      <w:r>
        <w:rPr>
          <w:rFonts w:ascii="Arial" w:cs="Arial" w:eastAsia="Arial" w:hAnsi="Arial"/>
          <w:sz w:val="18"/>
          <w:szCs w:val="18"/>
          <w:color w:val="auto"/>
        </w:rPr>
        <w:t>The Company records property, plant, and equipment at cost and includes finance lease assets in “Property, plant and equipment, net” in its consolidated balance sheets. A summary of property, plant, and equipment as of December 31, 2023 and 2022,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80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20" w:type="dxa"/>
            <w:vAlign w:val="bottom"/>
          </w:tcPr>
          <w:p>
            <w:pPr>
              <w:jc w:val="right"/>
              <w:ind w:right="53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472"/>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171,532</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Research and development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16,948</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22,740</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22,675</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Assets not yet placed in service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93,152</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337,413</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80,411</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194,046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Depreciation and amortization expense in 2023, 2022 and 2021 was $48.1 million, $32.6 million and $21.7 million, respectively. Of the total depreciation and amortization expense in 2023, 2022 and 2021, $44.5 million, $28.0 million and $17.7 million, respectively, were recorded in cost of goods sold, $2.8 million, $4.0 million and $3.7 million, respectively, were recorded in research and development expenses, and</w:t>
      </w:r>
    </w:p>
    <w:p>
      <w:pPr>
        <w:spacing w:after="0" w:line="2"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$0.8 million, $0.6 million and $0.3 million, respectively, were recorded in SG&amp;A expenses, in the Company’s consolidated statements of operations.</w:t>
      </w:r>
    </w:p>
    <w:p>
      <w:pPr>
        <w:spacing w:after="0" w:line="131"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During the first quarter of 2023, the Company completed a reassessment of the useful lives of its large manufacturing and research and development equipment, and determined that the Company should increase the estimated useful lives for certain of its equipment from a range of 5 to 10 years a uniform 10 years. The timing of this reassessment was based on a combination of factors accumulating over time, including historical useful life information and changes in the Company’s planned use of the equipment, that provided the Company with updated information that allowed it to make a better estimate of the economic lives of such equipment. This reassessment was accounted for as a change in accounting estimate and was made on a prospective basis effective January 1, 2023. This change in accounting estimate decreased depreciation expense in 2023 by $21.0 million, impacting cost of goods sold and research and development expenses by $19.0 million and $2.0 million, respectively, and decreased both basic and diluted net loss per share available to common stockholders by $0.33.</w:t>
      </w:r>
    </w:p>
    <w:p>
      <w:pPr>
        <w:spacing w:after="0" w:line="127"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The Company had $4.5 million and $5.9 million in property, plant and equipment concluded to meet the criteria for assets held for sale as of December 31, 2023 and 2022, respectively. In the year ended December 31, 2023, a $3.8 million note receivable that was previously recorded for assets sold was written off as uncollectible. The note receivable was included in “Other non-current assets, net” in the Company’s consolidated balance sheet at December 31,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debt balances as of December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79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4"/>
                <w:szCs w:val="14"/>
                <w:color w:val="auto"/>
              </w:rPr>
            </w:pPr>
          </w:p>
        </w:tc>
        <w:tc>
          <w:tcPr>
            <w:tcW w:w="1220" w:type="dxa"/>
            <w:vAlign w:val="bottom"/>
          </w:tcPr>
          <w:p>
            <w:pPr>
              <w:jc w:val="right"/>
              <w:ind w:right="534"/>
              <w:spacing w:after="0" w:line="165"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513"/>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Convertible senior notes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r>
      <w:tr>
        <w:trPr>
          <w:trHeight w:val="225"/>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r>
      <w:tr>
        <w:trPr>
          <w:trHeight w:val="218"/>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1,137,542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1,133,608</w:t>
            </w: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4"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On March 5, 2021, the Company issued $ 1.0 billion aggregate principal amount of its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w:t>
      </w:r>
    </w:p>
    <w:p>
      <w:pPr>
        <w:spacing w:after="0" w:line="138"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The initial conversion price of the Notes is $206.00 per share of common stock, which represents a premium of approximately 47.5% over the closing price of the Company’s common stock on March 2, 2021. The Notes will mature on March 15, 2027, unless earlier repurchased, redeemed or converted. The Notes were issued pursuant to, and are governed by, an indenture, dated as of March 5, 2021 (the “Indenture”), between the Company and U.S. Bank National Association, as trustee (the Trustee”). The Company used $84.0 million of the net proceeds from the sale of the Notes to fund the cost of entering into capped call transactions, described below. The proceeds from the issuance of the Notes were approximately $1.0 billion, net of capped call transaction costs of $84.0 million and debt issuance costs totaling $23.6 million.</w:t>
      </w:r>
    </w:p>
    <w:p>
      <w:pPr>
        <w:spacing w:after="0" w:line="12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Notes are senior, unsecured obligations and are (i) equal in right of payment with the Company’s senior, unsecured indebtedness; (ii) senior in right of payment to the Company’s indebtedness that is expressly subordinated to the Notes; (iii) effectively subordinated to the Company’s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20" w:lineRule="exact"/>
        <w:rPr>
          <w:sz w:val="20"/>
          <w:szCs w:val="20"/>
          <w:color w:val="auto"/>
        </w:rPr>
      </w:pPr>
    </w:p>
    <w:p>
      <w:pPr>
        <w:jc w:val="both"/>
        <w:ind w:right="520" w:firstLine="318"/>
        <w:spacing w:after="0" w:line="267" w:lineRule="auto"/>
        <w:rPr>
          <w:sz w:val="20"/>
          <w:szCs w:val="20"/>
          <w:color w:val="auto"/>
        </w:rPr>
      </w:pPr>
      <w:r>
        <w:rPr>
          <w:rFonts w:ascii="Arial" w:cs="Arial" w:eastAsia="Arial" w:hAnsi="Arial"/>
          <w:sz w:val="18"/>
          <w:szCs w:val="18"/>
          <w:color w:val="auto"/>
        </w:rPr>
        <w:t>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31" w:lineRule="exact"/>
        <w:rPr>
          <w:sz w:val="20"/>
          <w:szCs w:val="20"/>
          <w:color w:val="auto"/>
        </w:rPr>
      </w:pPr>
    </w:p>
    <w:p>
      <w:pPr>
        <w:ind w:right="140" w:firstLine="318"/>
        <w:spacing w:after="0" w:line="267" w:lineRule="auto"/>
        <w:rPr>
          <w:sz w:val="20"/>
          <w:szCs w:val="20"/>
          <w:color w:val="auto"/>
        </w:rPr>
      </w:pPr>
      <w:r>
        <w:rPr>
          <w:rFonts w:ascii="Arial" w:cs="Arial" w:eastAsia="Arial" w:hAnsi="Arial"/>
          <w:sz w:val="18"/>
          <w:szCs w:val="18"/>
          <w:color w:val="auto"/>
        </w:rPr>
        <w:t>The initial conversion rate is 4.8544 shares of common stock per $1,000 principal amount of the Notes, which represents an initial conversion price of $206.00 per share of common stock. The conversion rate and conversion price are subject to customary adjustments upon the occurrence of certain events as described in the Indenture.</w:t>
      </w:r>
    </w:p>
    <w:p>
      <w:pPr>
        <w:spacing w:after="0" w:line="131"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The holder may convert the Notes during the five consecutive business days immediately after any ten consecutive trading day period, if the trading price per $1,000 principal amount of Notes, as determined following a request by a holder, for each trading day of the measurement period was less than ninety eight percent (98%) of the product of the last report sale price per share of common stock on such trading day and the conversion rate on such trading day.</w:t>
      </w:r>
    </w:p>
    <w:p>
      <w:pPr>
        <w:spacing w:after="0" w:line="133" w:lineRule="exact"/>
        <w:rPr>
          <w:sz w:val="20"/>
          <w:szCs w:val="20"/>
          <w:color w:val="auto"/>
        </w:rPr>
      </w:pPr>
    </w:p>
    <w:p>
      <w:pPr>
        <w:ind w:right="80" w:firstLine="318"/>
        <w:spacing w:after="0" w:line="267" w:lineRule="auto"/>
        <w:rPr>
          <w:sz w:val="20"/>
          <w:szCs w:val="20"/>
          <w:color w:val="auto"/>
        </w:rPr>
      </w:pPr>
      <w:r>
        <w:rPr>
          <w:rFonts w:ascii="Arial" w:cs="Arial" w:eastAsia="Arial" w:hAnsi="Arial"/>
          <w:sz w:val="18"/>
          <w:szCs w:val="18"/>
          <w:color w:val="auto"/>
        </w:rPr>
        <w:t>The holder can convert its Notes during any calendar quarter, commencing after the calendar quarter ending on June 30, 2021, provided the last reported sale price of the common stock for at least 20 trading days is greater than or equal to 130% of the conversion price, during the 30 consecutive trading days ending on the last trading day of a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Before December 15, 2026, noteholders have the right to convert their Notes upon the occurrence of certain events. From and after December 15, 2026,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 However, upon conversion of any Notes, the conversion value, which will be determined over an “Observation Period” (as defined in the Indenture) consisting of 20 trading days, will be paid in cash up to at least the principal amount of the Notes being converted.</w:t>
      </w:r>
    </w:p>
    <w:p>
      <w:pPr>
        <w:spacing w:after="0" w:line="139"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The Notes will be redeemable, in whole or in part, at the Company’s option at any time, and from time to time, on or after March 20, 2024 and on or before the 20th scheduled trading day immediately before the maturity date, at a cash redemption price equal to the principal amount of the Notes to be redeemed, plus accrued and unpaid special interest and additional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136"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The Company must repay the note principal in cash, but may elect to settle the conversion value either in cash, shares or in a combination of cash and shares of its common stock.</w:t>
      </w:r>
    </w:p>
    <w:p>
      <w:pPr>
        <w:spacing w:after="0" w:line="96"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limited exceptions, noteholders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20"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The Notes have customary provisions relating to the occurrence of “Events of Default” (as defined in the Indenture), which include the following: (i) certain payment defaults on the Notes (which, in the case of a default in the payment of special interest and additional interest on the Notes, are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significant subsidiaries with respect to indebtedness for borrowed money of at least $100 million; and (vi) certain events of bankruptcy, insolvency and reorganization involving the Company or any of its significant subsidiaries.</w:t>
      </w:r>
    </w:p>
    <w:p>
      <w:pPr>
        <w:spacing w:after="0" w:line="109"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10" w:lineRule="exact"/>
        <w:rPr>
          <w:sz w:val="20"/>
          <w:szCs w:val="20"/>
          <w:color w:val="auto"/>
        </w:rPr>
      </w:pPr>
    </w:p>
    <w:p>
      <w:pPr>
        <w:ind w:right="400" w:firstLine="318"/>
        <w:spacing w:after="0" w:line="265" w:lineRule="auto"/>
        <w:rPr>
          <w:sz w:val="20"/>
          <w:szCs w:val="20"/>
          <w:color w:val="auto"/>
        </w:rPr>
      </w:pPr>
      <w:r>
        <w:rPr>
          <w:rFonts w:ascii="Arial" w:cs="Arial" w:eastAsia="Arial" w:hAnsi="Arial"/>
          <w:sz w:val="18"/>
          <w:szCs w:val="18"/>
          <w:color w:val="auto"/>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If an Event of Default involving bankruptcy, insolvency or reorganization events with respect to the Company (and not solely with respect to a significant subsidiary of the Company) occurs, then the principal amount of, and any accrued and unpaid special interest and additional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may declare the principal amount of, and any accrued and unpaid special interest and additional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specified rate per annum not exceeding 0.50% on the principal amount of the Notes.</w:t>
      </w:r>
    </w:p>
    <w:p>
      <w:pPr>
        <w:spacing w:after="0" w:line="13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total amount of debt issuance costs of $23.6 million was recorded as a reduction to “Convertible senior notes, net” in the consolidated balance sheet and is being amortized as interest expense over the term of the Notes using the effective interest method. In each of the years ended December 31, 2023 and December 31, 2022, the Company recognized $3.9 million in interest expense related to the amortization of the debt issuance costs related to the Notes. The effective interest rate in both of the years ended December 31, 2023 and December 31, 2022 was 0.3%.</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Notes as of December 31,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Unamortized</w:t>
            </w:r>
          </w:p>
        </w:tc>
        <w:tc>
          <w:tcPr>
            <w:tcW w:w="180" w:type="dxa"/>
            <w:vAlign w:val="bottom"/>
          </w:tcPr>
          <w:p>
            <w:pPr>
              <w:spacing w:after="0"/>
              <w:rPr>
                <w:sz w:val="18"/>
                <w:szCs w:val="18"/>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Net Carrying</w:t>
            </w: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26"/>
        </w:trPr>
        <w:tc>
          <w:tcPr>
            <w:tcW w:w="4000" w:type="dxa"/>
            <w:vAlign w:val="bottom"/>
            <w:vMerge w:val="restart"/>
          </w:tcPr>
          <w:p>
            <w:pPr>
              <w:jc w:val="right"/>
              <w:ind w:right="1416"/>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Principal Amount</w:t>
            </w: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3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Leveling</w:t>
            </w:r>
          </w:p>
        </w:tc>
        <w:tc>
          <w:tcPr>
            <w:tcW w:w="0" w:type="dxa"/>
            <w:vAlign w:val="bottom"/>
          </w:tcPr>
          <w:p>
            <w:pPr>
              <w:spacing w:after="0"/>
              <w:rPr>
                <w:sz w:val="1"/>
                <w:szCs w:val="1"/>
                <w:color w:val="auto"/>
              </w:rPr>
            </w:pPr>
          </w:p>
        </w:tc>
      </w:tr>
      <w:tr>
        <w:trPr>
          <w:trHeight w:val="212"/>
        </w:trPr>
        <w:tc>
          <w:tcPr>
            <w:tcW w:w="400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Issuance Costs</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00" w:type="dxa"/>
            <w:vAlign w:val="bottom"/>
            <w:tcBorders>
              <w:top w:val="single" w:sz="8" w:color="CCEEFF"/>
            </w:tcBorders>
            <w:shd w:val="clear" w:color="auto" w:fill="CCEEFF"/>
          </w:tcPr>
          <w:p>
            <w:pPr>
              <w:jc w:val="right"/>
              <w:ind w:right="256"/>
              <w:spacing w:after="0" w:line="152" w:lineRule="exact"/>
              <w:rPr>
                <w:sz w:val="20"/>
                <w:szCs w:val="20"/>
                <w:color w:val="auto"/>
              </w:rPr>
            </w:pPr>
            <w:r>
              <w:rPr>
                <w:rFonts w:ascii="Arial" w:cs="Arial" w:eastAsia="Arial" w:hAnsi="Arial"/>
                <w:sz w:val="17"/>
                <w:szCs w:val="17"/>
                <w:color w:val="auto"/>
              </w:rPr>
              <w:t>0% Convertible senior notes due on March 15,</w:t>
            </w: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jc w:val="right"/>
              <w:ind w:right="3336"/>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195,500</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The Notes are carried at face value less the unamortized debt issuance costs on the Company’s consolidated balance sheets. As of December 18, 2023, the estimated fair value of the Notes was approximately $195.5 million. The Notes are quoted on the Intercontinental Exchange and are classified as Level 2 financial instruments. The estimated fair value of the Notes was determined based on the actual bid price of the Notes on December 18, 2023, the last business day when the Notes were traded.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2023, the remaining life of the Notes was approximately 3.2 years.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64" w:lineRule="exact"/>
        <w:rPr>
          <w:sz w:val="20"/>
          <w:szCs w:val="20"/>
          <w:color w:val="auto"/>
        </w:rPr>
      </w:pPr>
    </w:p>
    <w:p>
      <w:pPr>
        <w:ind w:right="100" w:firstLine="318"/>
        <w:spacing w:after="0" w:line="257" w:lineRule="auto"/>
        <w:rPr>
          <w:sz w:val="20"/>
          <w:szCs w:val="20"/>
          <w:color w:val="auto"/>
        </w:rPr>
      </w:pPr>
      <w:r>
        <w:rPr>
          <w:rFonts w:ascii="Arial" w:cs="Arial" w:eastAsia="Arial" w:hAnsi="Arial"/>
          <w:sz w:val="18"/>
          <w:szCs w:val="18"/>
          <w:color w:val="auto"/>
        </w:rPr>
        <w:t>On March 2, 2021, in connection with the pricing of the offering of the Convertible Notes, the Company entered into capped call transactions (the “Base Capped Call Transactions”) with the option counterparties and used $73.0 million in net proceeds from the sale of the Convertible Notes to fund the cost of the Base Capped Call Transactions. On March 12, 2021, in connection with the Additional Notes, the Company entered into capped call transactions (the “Additional Capped Call Transactions”) with the option counterparties and used $11.0 million of the net proceeds from the sale of the Additional Notes to fund the cost of the Additional Capped Call Transactions. The Base Capped Call Transactions and the Additional Capped Call Transactions (collectively, the “Capped Call Transactions”) cover, subject to customary adjustments, the aggregate number of shares of the Company’s common stock that will initially underlie the Notes, and are expected generally to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cap price of the Capped Call Transactions is $279.32, which represents a premium of 100% over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reported sale price of the Company’s common stock on March 2, 2021. The aggregate $84.0 million paid for the Capped Call Transactions was recorded as a reduction to APIC.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(Deficit) Equity</w:t>
      </w:r>
    </w:p>
    <w:p>
      <w:pPr>
        <w:spacing w:after="0" w:line="16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w:t>
      </w:r>
    </w:p>
    <w:p>
      <w:pPr>
        <w:spacing w:after="0" w:line="134" w:lineRule="exact"/>
        <w:rPr>
          <w:sz w:val="20"/>
          <w:szCs w:val="20"/>
          <w:color w:val="auto"/>
        </w:rPr>
      </w:pPr>
    </w:p>
    <w:p>
      <w:pPr>
        <w:ind w:right="240" w:firstLine="318"/>
        <w:spacing w:after="0" w:line="274" w:lineRule="auto"/>
        <w:rPr>
          <w:sz w:val="20"/>
          <w:szCs w:val="20"/>
          <w:color w:val="auto"/>
        </w:rPr>
      </w:pPr>
      <w:r>
        <w:rPr>
          <w:rFonts w:ascii="Arial" w:cs="Arial" w:eastAsia="Arial" w:hAnsi="Arial"/>
          <w:sz w:val="18"/>
          <w:szCs w:val="18"/>
          <w:color w:val="auto"/>
        </w:rPr>
        <w:t>On August 5, 2019, the Company completed its Secondary Offering of common stock, in which it sold 250,000 shares of common stock, $0.0001 par value.</w:t>
      </w:r>
    </w:p>
    <w:p>
      <w:pPr>
        <w:spacing w:after="0" w:line="124" w:lineRule="exact"/>
        <w:rPr>
          <w:sz w:val="20"/>
          <w:szCs w:val="20"/>
          <w:color w:val="auto"/>
        </w:rPr>
      </w:pPr>
    </w:p>
    <w:p>
      <w:pPr>
        <w:ind w:right="160" w:firstLine="318"/>
        <w:spacing w:after="0" w:line="290" w:lineRule="auto"/>
        <w:rPr>
          <w:sz w:val="20"/>
          <w:szCs w:val="20"/>
          <w:color w:val="auto"/>
        </w:rPr>
      </w:pPr>
      <w:r>
        <w:rPr>
          <w:rFonts w:ascii="Arial" w:cs="Arial" w:eastAsia="Arial" w:hAnsi="Arial"/>
          <w:sz w:val="18"/>
          <w:szCs w:val="18"/>
          <w:color w:val="auto"/>
        </w:rPr>
        <w:t>As of December 31, 2023, the Company had 64,624,140 shares of common stock issued and outstanding. As of December 31, 2022, the Company had 63,773,982 shares of common stock issued and outstanding.</w:t>
      </w:r>
    </w:p>
    <w:p>
      <w:pPr>
        <w:spacing w:after="0" w:line="96" w:lineRule="exact"/>
        <w:rPr>
          <w:sz w:val="20"/>
          <w:szCs w:val="20"/>
          <w:color w:val="auto"/>
        </w:rPr>
      </w:pPr>
    </w:p>
    <w:p>
      <w:pPr>
        <w:ind w:right="60" w:firstLine="318"/>
        <w:spacing w:after="0" w:line="290"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800" w:type="dxa"/>
            <w:vAlign w:val="bottom"/>
            <w:tcBorders>
              <w:bottom w:val="single" w:sz="8" w:color="auto"/>
            </w:tcBorders>
            <w:gridSpan w:val="3"/>
          </w:tcPr>
          <w:p>
            <w:pPr>
              <w:ind w:left="158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18"/>
                <w:szCs w:val="18"/>
                <w:color w:val="auto"/>
              </w:rPr>
            </w:pPr>
          </w:p>
        </w:tc>
      </w:tr>
      <w:tr>
        <w:trPr>
          <w:trHeight w:val="205"/>
        </w:trPr>
        <w:tc>
          <w:tcPr>
            <w:tcW w:w="6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7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2022</w:t>
            </w:r>
          </w:p>
        </w:tc>
      </w:tr>
      <w:tr>
        <w:trPr>
          <w:trHeight w:val="21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compensation awards granted and outstanding</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5,888,077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4,993,246</w:t>
            </w:r>
          </w:p>
        </w:tc>
      </w:tr>
      <w:tr>
        <w:trPr>
          <w:trHeight w:val="225"/>
        </w:trPr>
        <w:tc>
          <w:tcPr>
            <w:tcW w:w="6100" w:type="dxa"/>
            <w:vAlign w:val="bottom"/>
          </w:tcPr>
          <w:p>
            <w:pPr>
              <w:ind w:left="20"/>
              <w:spacing w:after="0"/>
              <w:rPr>
                <w:sz w:val="20"/>
                <w:szCs w:val="20"/>
                <w:color w:val="auto"/>
              </w:rPr>
            </w:pPr>
            <w:r>
              <w:rPr>
                <w:rFonts w:ascii="Arial" w:cs="Arial" w:eastAsia="Arial" w:hAnsi="Arial"/>
                <w:sz w:val="18"/>
                <w:szCs w:val="18"/>
                <w:color w:val="auto"/>
              </w:rPr>
              <w:t>Shares available for grant under the 2018 Equity Incentive Plan</w:t>
            </w:r>
          </w:p>
        </w:tc>
        <w:tc>
          <w:tcPr>
            <w:tcW w:w="2040" w:type="dxa"/>
            <w:vAlign w:val="bottom"/>
          </w:tcPr>
          <w:p>
            <w:pPr>
              <w:jc w:val="right"/>
              <w:spacing w:after="0"/>
              <w:rPr>
                <w:sz w:val="20"/>
                <w:szCs w:val="20"/>
                <w:color w:val="auto"/>
              </w:rPr>
            </w:pPr>
            <w:r>
              <w:rPr>
                <w:rFonts w:ascii="Arial" w:cs="Arial" w:eastAsia="Arial" w:hAnsi="Arial"/>
                <w:sz w:val="18"/>
                <w:szCs w:val="18"/>
                <w:color w:val="auto"/>
              </w:rPr>
              <w:t>8,230,500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7,848,832</w:t>
            </w: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issuance under the Employee Stock Purchase Plan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2,948,715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2,412,585</w:t>
            </w:r>
          </w:p>
        </w:tc>
      </w:tr>
      <w:tr>
        <w:trPr>
          <w:trHeight w:val="22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reserved for potential issuance under the Notes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8,234,230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8,234,230</w:t>
            </w:r>
          </w:p>
        </w:tc>
      </w:tr>
      <w:tr>
        <w:trPr>
          <w:trHeight w:val="244"/>
        </w:trPr>
        <w:tc>
          <w:tcPr>
            <w:tcW w:w="61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Total common stock reserved for future issuance</w:t>
            </w:r>
            <w:r>
              <w:rPr>
                <w:rFonts w:ascii="Arial" w:cs="Arial" w:eastAsia="Arial" w:hAnsi="Arial"/>
                <w:sz w:val="22"/>
                <w:szCs w:val="22"/>
                <w:color w:val="auto"/>
                <w:vertAlign w:val="superscript"/>
              </w:rPr>
              <w:t>(1)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25,301,522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23,488,893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Total common stock reserved for future issuance excludes shares that may be issued pursuant to the ATM Program discussed below.</w:t>
      </w: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64" w:lineRule="exact"/>
        <w:rPr>
          <w:sz w:val="20"/>
          <w:szCs w:val="20"/>
          <w:color w:val="auto"/>
        </w:rPr>
      </w:pPr>
    </w:p>
    <w:p>
      <w:pPr>
        <w:ind w:firstLine="318"/>
        <w:spacing w:after="0" w:line="278" w:lineRule="auto"/>
        <w:rPr>
          <w:sz w:val="20"/>
          <w:szCs w:val="20"/>
          <w:color w:val="auto"/>
        </w:rPr>
      </w:pPr>
      <w:r>
        <w:rPr>
          <w:rFonts w:ascii="Arial" w:cs="Arial" w:eastAsia="Arial" w:hAnsi="Arial"/>
          <w:sz w:val="17"/>
          <w:szCs w:val="17"/>
          <w:color w:val="auto"/>
        </w:rPr>
        <w:t>On May 10, 2023, the Company filed an automatically effective shelf registration statement on Form S-3 (the “Shelf Registration Statement”) with the SEC, which allows the Company to sell, from time to time, and at its discretion, subject to the Company’s compliance with applicable laws and the applicable requirements of the Equity Distribution Agreement (as defined below), shares of its common stock having an aggregate offering price of up to $ 200.0 million pursuant to an “at the market” offering program (the “ATM Program”). The Company intends to use the net proceeds, if any, from sales of its common stock issued under the ATM Program for general corporate and working capital purposes. The timing of any sales and the number of shares sold, if any, will depend on a variety of factors to be determined by the Company.</w:t>
      </w:r>
    </w:p>
    <w:p>
      <w:pPr>
        <w:spacing w:after="0" w:line="125" w:lineRule="exact"/>
        <w:rPr>
          <w:sz w:val="20"/>
          <w:szCs w:val="20"/>
          <w:color w:val="auto"/>
        </w:rPr>
      </w:pPr>
    </w:p>
    <w:p>
      <w:pPr>
        <w:jc w:val="both"/>
        <w:ind w:right="280" w:firstLine="318"/>
        <w:spacing w:after="0" w:line="267" w:lineRule="auto"/>
        <w:rPr>
          <w:sz w:val="20"/>
          <w:szCs w:val="20"/>
          <w:color w:val="auto"/>
        </w:rPr>
      </w:pPr>
      <w:r>
        <w:rPr>
          <w:rFonts w:ascii="Arial" w:cs="Arial" w:eastAsia="Arial" w:hAnsi="Arial"/>
          <w:sz w:val="18"/>
          <w:szCs w:val="18"/>
          <w:color w:val="auto"/>
        </w:rPr>
        <w:t>The shares will be offered pursuant to an equity distribution agreement (the “Equity Distribution Agreement’) between the Company and Goldman Sachs &amp; Co. LLC (“Goldman Sachs”), as sales agent. The Company will pay Goldman Sachs a commission equal to 3.25% of the aggregate gross proceeds of any shares sold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80"/>
        <w:spacing w:after="0" w:line="267" w:lineRule="auto"/>
        <w:rPr>
          <w:sz w:val="20"/>
          <w:szCs w:val="20"/>
          <w:color w:val="auto"/>
        </w:rPr>
      </w:pPr>
      <w:r>
        <w:rPr>
          <w:rFonts w:ascii="Arial" w:cs="Arial" w:eastAsia="Arial" w:hAnsi="Arial"/>
          <w:sz w:val="18"/>
          <w:szCs w:val="18"/>
          <w:color w:val="auto"/>
        </w:rPr>
        <w:t>Goldman Sachs pursuant to the Equity Distribution Agreement . The Company is not obligated to sell any shares under the Equity Distribution Agreement. As of December 31, 2023, no sales had been made under the Equity Distribution Agreement and the ATM Program’s full capacity remained available.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66" w:lineRule="exact"/>
        <w:rPr>
          <w:sz w:val="20"/>
          <w:szCs w:val="20"/>
          <w:color w:val="auto"/>
        </w:rPr>
      </w:pPr>
    </w:p>
    <w:p>
      <w:pPr>
        <w:ind w:right="100" w:firstLine="318"/>
        <w:spacing w:after="0" w:line="321" w:lineRule="auto"/>
        <w:rPr>
          <w:sz w:val="20"/>
          <w:szCs w:val="20"/>
          <w:color w:val="auto"/>
        </w:rPr>
      </w:pPr>
      <w:r>
        <w:rPr>
          <w:rFonts w:ascii="Arial" w:cs="Arial" w:eastAsia="Arial" w:hAnsi="Arial"/>
          <w:sz w:val="17"/>
          <w:szCs w:val="17"/>
          <w:color w:val="auto"/>
        </w:rPr>
        <w:t>In 2019, the Company’s 2011 Equity Incentive Plan (the “2011 Plan”) was amended, restated and re-named the 2018 Equity Incentive Plan (“2018 Plan”). The shares available for issuance under the 2011 Plan were added to the shares reserved for issuance under the 2018 Plan.</w:t>
      </w:r>
    </w:p>
    <w:p>
      <w:pPr>
        <w:spacing w:after="0" w:line="73"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restricted stock units (“RSUs”), performance units, and performance shares to the Company’s employees, directors, and consultants. As of December 31, 2023, the maximum aggregate number of shares that may be issued under the 2018 Plan was 23,060,440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 As of January 1, 2024, the maximum aggregate number of shares that may be issued under the 2018 Plan increased to 25,204,961 shares.</w:t>
      </w:r>
    </w:p>
    <w:p>
      <w:pPr>
        <w:spacing w:after="0" w:line="141"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shares available for grant under the 2018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w w:val="98"/>
              </w:rPr>
              <w:t>Shares Available for Grant</w:t>
            </w:r>
          </w:p>
        </w:tc>
      </w:tr>
      <w:tr>
        <w:trPr>
          <w:trHeight w:val="21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2022</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7,848,832</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78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(2,726,719)</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780" w:type="dxa"/>
            <w:vAlign w:val="bottom"/>
          </w:tcPr>
          <w:p>
            <w:pPr>
              <w:jc w:val="right"/>
              <w:spacing w:after="0"/>
              <w:rPr>
                <w:sz w:val="20"/>
                <w:szCs w:val="20"/>
                <w:color w:val="auto"/>
              </w:rPr>
            </w:pPr>
            <w:r>
              <w:rPr>
                <w:rFonts w:ascii="Arial" w:cs="Arial" w:eastAsia="Arial" w:hAnsi="Arial"/>
                <w:sz w:val="18"/>
                <w:szCs w:val="18"/>
                <w:color w:val="auto"/>
              </w:rPr>
              <w:t>38,679</w:t>
            </w: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925,187</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Balance - December 31, 2023</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8,230,500</w:t>
            </w:r>
          </w:p>
        </w:tc>
      </w:tr>
      <w:tr>
        <w:trPr>
          <w:trHeight w:val="20"/>
        </w:trPr>
        <w:tc>
          <w:tcPr>
            <w:tcW w:w="84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80" w:firstLine="318"/>
        <w:spacing w:after="0" w:line="265" w:lineRule="auto"/>
        <w:rPr>
          <w:sz w:val="20"/>
          <w:szCs w:val="20"/>
          <w:color w:val="auto"/>
        </w:rPr>
      </w:pPr>
      <w:r>
        <w:rPr>
          <w:rFonts w:ascii="Arial" w:cs="Arial" w:eastAsia="Arial" w:hAnsi="Arial"/>
          <w:sz w:val="18"/>
          <w:szCs w:val="18"/>
          <w:color w:val="auto"/>
        </w:rPr>
        <w:t>As of December 31, 2023 and 2022, there were 4,477,120 and 3,999,933 shares, respectively, issuable under stock options outstanding, 1,411,310 and 993,313 shares, respectively, issuable under unvested RSUs outstanding, and 9,048,906 and 8,145,769 shares, respectively, issued for stock option exercises, RSU settlement and restricted stock grants, and 8,230,500 and 7,848,832 shares, respectively, available for grant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05"/>
        </w:trPr>
        <w:tc>
          <w:tcPr>
            <w:tcW w:w="6580" w:type="dxa"/>
            <w:vAlign w:val="bottom"/>
          </w:tcPr>
          <w:p>
            <w:pPr>
              <w:spacing w:after="0"/>
              <w:rPr>
                <w:sz w:val="17"/>
                <w:szCs w:val="17"/>
                <w:color w:val="auto"/>
              </w:rPr>
            </w:pPr>
          </w:p>
        </w:tc>
        <w:tc>
          <w:tcPr>
            <w:tcW w:w="1180" w:type="dxa"/>
            <w:vAlign w:val="bottom"/>
          </w:tcPr>
          <w:p>
            <w:pPr>
              <w:jc w:val="center"/>
              <w:ind w:left="213"/>
              <w:spacing w:after="0"/>
              <w:rPr>
                <w:sz w:val="20"/>
                <w:szCs w:val="20"/>
                <w:color w:val="auto"/>
              </w:rPr>
            </w:pPr>
            <w:r>
              <w:rPr>
                <w:rFonts w:ascii="Arial" w:cs="Arial" w:eastAsia="Arial" w:hAnsi="Arial"/>
                <w:sz w:val="16"/>
                <w:szCs w:val="16"/>
                <w:b w:val="1"/>
                <w:bCs w:val="1"/>
                <w:color w:val="auto"/>
              </w:rPr>
              <w:t>2023</w:t>
            </w:r>
          </w:p>
        </w:tc>
        <w:tc>
          <w:tcPr>
            <w:tcW w:w="1900" w:type="dxa"/>
            <w:vAlign w:val="bottom"/>
            <w:gridSpan w:val="3"/>
          </w:tcPr>
          <w:p>
            <w:pPr>
              <w:jc w:val="center"/>
              <w:ind w:left="316"/>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3"/>
              <w:spacing w:after="0"/>
              <w:rPr>
                <w:sz w:val="20"/>
                <w:szCs w:val="20"/>
                <w:color w:val="auto"/>
              </w:rPr>
            </w:pPr>
            <w:r>
              <w:rPr>
                <w:rFonts w:ascii="Arial" w:cs="Arial" w:eastAsia="Arial" w:hAnsi="Arial"/>
                <w:sz w:val="16"/>
                <w:szCs w:val="16"/>
                <w:b w:val="1"/>
                <w:bCs w:val="1"/>
                <w:color w:val="auto"/>
              </w:rPr>
              <w:t>2021</w:t>
            </w:r>
          </w:p>
        </w:tc>
      </w:tr>
      <w:tr>
        <w:trPr>
          <w:trHeight w:val="218"/>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7"/>
              </w:rPr>
              <w:t>4.2%</w:t>
            </w: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213"/>
              <w:spacing w:after="0"/>
              <w:rPr>
                <w:sz w:val="20"/>
                <w:szCs w:val="20"/>
                <w:color w:val="auto"/>
              </w:rPr>
            </w:pPr>
            <w:r>
              <w:rPr>
                <w:rFonts w:ascii="Arial" w:cs="Arial" w:eastAsia="Arial" w:hAnsi="Arial"/>
                <w:sz w:val="18"/>
                <w:szCs w:val="18"/>
                <w:color w:val="auto"/>
                <w:w w:val="97"/>
              </w:rPr>
              <w:t>1.4%</w:t>
            </w: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180" w:type="dxa"/>
            <w:vAlign w:val="bottom"/>
          </w:tcPr>
          <w:p>
            <w:pPr>
              <w:jc w:val="center"/>
              <w:ind w:left="213"/>
              <w:spacing w:after="0"/>
              <w:rPr>
                <w:sz w:val="20"/>
                <w:szCs w:val="20"/>
                <w:color w:val="auto"/>
              </w:rPr>
            </w:pPr>
            <w:r>
              <w:rPr>
                <w:rFonts w:ascii="Arial" w:cs="Arial" w:eastAsia="Arial" w:hAnsi="Arial"/>
                <w:sz w:val="18"/>
                <w:szCs w:val="18"/>
                <w:color w:val="auto"/>
                <w:w w:val="95"/>
              </w:rPr>
              <w:t>7.0</w:t>
            </w:r>
          </w:p>
        </w:tc>
        <w:tc>
          <w:tcPr>
            <w:tcW w:w="1900" w:type="dxa"/>
            <w:vAlign w:val="bottom"/>
            <w:gridSpan w:val="3"/>
          </w:tcPr>
          <w:p>
            <w:pPr>
              <w:jc w:val="center"/>
              <w:ind w:left="31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213"/>
              <w:spacing w:after="0"/>
              <w:rPr>
                <w:sz w:val="20"/>
                <w:szCs w:val="20"/>
                <w:color w:val="auto"/>
              </w:rPr>
            </w:pPr>
            <w:r>
              <w:rPr>
                <w:rFonts w:ascii="Arial" w:cs="Arial" w:eastAsia="Arial" w:hAnsi="Arial"/>
                <w:sz w:val="18"/>
                <w:szCs w:val="18"/>
                <w:color w:val="auto"/>
                <w:w w:val="95"/>
              </w:rPr>
              <w:t>7.0</w:t>
            </w: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rPr>
              <w:t>55.2%</w:t>
            </w:r>
          </w:p>
        </w:tc>
        <w:tc>
          <w:tcPr>
            <w:tcW w:w="190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97"/>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rPr>
              <w:t>55.7%</w:t>
            </w:r>
          </w:p>
        </w:tc>
      </w:tr>
      <w:tr>
        <w:trPr>
          <w:trHeight w:val="232"/>
        </w:trPr>
        <w:tc>
          <w:tcPr>
            <w:tcW w:w="6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Pr>
          <w:p>
            <w:pPr>
              <w:jc w:val="center"/>
              <w:ind w:left="213"/>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213"/>
              <w:spacing w:after="0"/>
              <w:rPr>
                <w:sz w:val="20"/>
                <w:szCs w:val="20"/>
                <w:color w:val="auto"/>
              </w:rPr>
            </w:pPr>
            <w:r>
              <w:rPr>
                <w:rFonts w:ascii="Arial" w:cs="Arial" w:eastAsia="Arial" w:hAnsi="Arial"/>
                <w:sz w:val="18"/>
                <w:szCs w:val="18"/>
                <w:color w:val="auto"/>
                <w:w w:val="88"/>
              </w:rPr>
              <w:t>—</w:t>
            </w:r>
          </w:p>
        </w:tc>
      </w:tr>
    </w:tbl>
    <w:p>
      <w:pPr>
        <w:spacing w:after="0" w:line="189" w:lineRule="exact"/>
        <w:rPr>
          <w:sz w:val="20"/>
          <w:szCs w:val="20"/>
          <w:color w:val="auto"/>
        </w:rPr>
      </w:pPr>
    </w:p>
    <w:p>
      <w:pPr>
        <w:ind w:left="640" w:right="220" w:hanging="316"/>
        <w:spacing w:after="0" w:line="274" w:lineRule="auto"/>
        <w:tabs>
          <w:tab w:leader="none" w:pos="63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10" w:lineRule="exact"/>
        <w:rPr>
          <w:rFonts w:ascii="Arial" w:cs="Arial" w:eastAsia="Arial" w:hAnsi="Arial"/>
          <w:sz w:val="18"/>
          <w:szCs w:val="18"/>
          <w:i w:val="1"/>
          <w:iCs w:val="1"/>
          <w:color w:val="auto"/>
        </w:rPr>
      </w:pPr>
    </w:p>
    <w:p>
      <w:pPr>
        <w:jc w:val="both"/>
        <w:ind w:left="640" w:right="280" w:hanging="316"/>
        <w:spacing w:after="0" w:line="260" w:lineRule="auto"/>
        <w:tabs>
          <w:tab w:leader="none" w:pos="63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As the Company does not have sufficient historical experience for determining the expected term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the Company’s expected term is based on the simplified method, generally calculated as the mid-point between the vesting date and the end of the contractual term.</w:t>
      </w:r>
    </w:p>
    <w:p>
      <w:pPr>
        <w:spacing w:after="0" w:line="122" w:lineRule="exact"/>
        <w:rPr>
          <w:rFonts w:ascii="Arial" w:cs="Arial" w:eastAsia="Arial" w:hAnsi="Arial"/>
          <w:sz w:val="18"/>
          <w:szCs w:val="18"/>
          <w:i w:val="1"/>
          <w:iCs w:val="1"/>
          <w:color w:val="auto"/>
        </w:rPr>
      </w:pPr>
    </w:p>
    <w:p>
      <w:pPr>
        <w:ind w:left="640" w:right="220" w:hanging="316"/>
        <w:spacing w:after="0" w:line="282"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the Company has only been a public entity since May 2, 2019, there is not a substantive share price history to</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 volatility and, as such, the Company has elected to use an average based on the volatility of other comparable public companies, which compete directly with the Company, along with the Company’s own volatility over the expected term of the options.</w:t>
      </w:r>
    </w:p>
    <w:p>
      <w:pPr>
        <w:spacing w:after="0" w:line="105" w:lineRule="exact"/>
        <w:rPr>
          <w:rFonts w:ascii="Arial" w:cs="Arial" w:eastAsia="Arial" w:hAnsi="Arial"/>
          <w:sz w:val="17"/>
          <w:szCs w:val="17"/>
          <w:color w:val="auto"/>
        </w:rPr>
      </w:pPr>
    </w:p>
    <w:p>
      <w:pPr>
        <w:ind w:left="640" w:right="220" w:hanging="316"/>
        <w:spacing w:after="0" w:line="27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not issued regular dividends on common shares in the past nor does the Company expect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future.</w:t>
      </w:r>
    </w:p>
    <w:p>
      <w:pPr>
        <w:spacing w:after="0" w:line="11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127" w:lineRule="exact"/>
        <w:rPr>
          <w:sz w:val="20"/>
          <w:szCs w:val="20"/>
          <w:color w:val="auto"/>
        </w:rPr>
      </w:pPr>
    </w:p>
    <w:p>
      <w:pPr>
        <w:ind w:right="240" w:firstLine="318"/>
        <w:spacing w:after="0" w:line="274" w:lineRule="auto"/>
        <w:rPr>
          <w:sz w:val="20"/>
          <w:szCs w:val="20"/>
          <w:color w:val="auto"/>
        </w:rPr>
      </w:pPr>
      <w:r>
        <w:rPr>
          <w:rFonts w:ascii="Arial" w:cs="Arial" w:eastAsia="Arial" w:hAnsi="Arial"/>
          <w:sz w:val="18"/>
          <w:szCs w:val="18"/>
          <w:color w:val="auto"/>
        </w:rPr>
        <w:t>The 2018 Plan generally provides that the Board of Directors may set the vesting schedule applicable to grants approved under the 2018 Plan. The Company has not granted equity awards with performance-based vesting conditions.</w:t>
      </w:r>
    </w:p>
    <w:p>
      <w:pPr>
        <w:spacing w:after="0" w:line="110"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Option grants to new and continuing employees in 2023 and 2022, and to new employees in 2021, generally vest 25% of the total award on the first anniversary of the vesting commencement date, and thereafter ratably vesting monthly over the remaining three-year period, subject to continued employment through the vesting date. Option grants to continuing employees in 2021 generally vest monthly over a 48-month period, subject to continued employment through the vesting date. Option grants to certain continuing employees in 2021 vest every six months over two years, subject to continued employment through the vesting date. An option grant to one executive officer in 2021 vested over three months from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60" w:firstLine="318"/>
        <w:spacing w:after="0" w:line="290"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2020 through December 31,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9"/>
              </w:rPr>
              <w:t>Weighted</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50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34"/>
              <w:spacing w:after="0" w:line="159" w:lineRule="exact"/>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7"/>
              </w:rPr>
              <w:t>Remaining</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59"/>
        </w:trPr>
        <w:tc>
          <w:tcPr>
            <w:tcW w:w="50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6"/>
              </w:rPr>
              <w:t>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34"/>
              <w:spacing w:after="0" w:line="159" w:lineRule="exact"/>
              <w:rPr>
                <w:sz w:val="20"/>
                <w:szCs w:val="20"/>
                <w:color w:val="auto"/>
              </w:rPr>
            </w:pPr>
            <w:r>
              <w:rPr>
                <w:rFonts w:ascii="Arial" w:cs="Arial" w:eastAsia="Arial" w:hAnsi="Arial"/>
                <w:sz w:val="16"/>
                <w:szCs w:val="16"/>
                <w:b w:val="1"/>
                <w:bCs w:val="1"/>
                <w:color w:val="auto"/>
              </w:rPr>
              <w:t>Exercise</w:t>
            </w:r>
          </w:p>
        </w:tc>
        <w:tc>
          <w:tcPr>
            <w:tcW w:w="26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Contractual</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6"/>
              </w:rPr>
              <w:t>Price</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line="212" w:lineRule="exact"/>
              <w:rPr>
                <w:sz w:val="20"/>
                <w:szCs w:val="20"/>
                <w:color w:val="auto"/>
              </w:rPr>
            </w:pPr>
            <w:r>
              <w:rPr>
                <w:rFonts w:ascii="Arial" w:cs="Arial" w:eastAsia="Arial" w:hAnsi="Arial"/>
                <w:sz w:val="16"/>
                <w:szCs w:val="16"/>
                <w:b w:val="1"/>
                <w:bCs w:val="1"/>
                <w:color w:val="auto"/>
                <w:w w:val="95"/>
              </w:rPr>
              <w:t>thousands)</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443,595</w:t>
            </w:r>
          </w:p>
        </w:tc>
        <w:tc>
          <w:tcPr>
            <w:tcW w:w="0" w:type="dxa"/>
            <w:vAlign w:val="bottom"/>
          </w:tcPr>
          <w:p>
            <w:pPr>
              <w:spacing w:after="0"/>
              <w:rPr>
                <w:sz w:val="1"/>
                <w:szCs w:val="1"/>
                <w:color w:val="auto"/>
              </w:rPr>
            </w:pP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475,520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91.42</w:t>
            </w: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(485,016)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51,901</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(252,418)</w:t>
            </w:r>
          </w:p>
        </w:tc>
        <w:tc>
          <w:tcPr>
            <w:tcW w:w="32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70.41</w:t>
            </w:r>
          </w:p>
        </w:tc>
        <w:tc>
          <w:tcPr>
            <w:tcW w:w="2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3,956,364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180,302</w:t>
            </w:r>
          </w:p>
        </w:tc>
        <w:tc>
          <w:tcPr>
            <w:tcW w:w="0" w:type="dxa"/>
            <w:vAlign w:val="bottom"/>
          </w:tcPr>
          <w:p>
            <w:pPr>
              <w:spacing w:after="0"/>
              <w:rPr>
                <w:sz w:val="1"/>
                <w:szCs w:val="1"/>
                <w:color w:val="auto"/>
              </w:rPr>
            </w:pP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841,630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38.93</w:t>
            </w: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(223,175)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(574,886)</w:t>
            </w:r>
          </w:p>
        </w:tc>
        <w:tc>
          <w:tcPr>
            <w:tcW w:w="32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62.29</w:t>
            </w:r>
          </w:p>
        </w:tc>
        <w:tc>
          <w:tcPr>
            <w:tcW w:w="2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3,999,933</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15.89</w:t>
            </w: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8"/>
        </w:trPr>
        <w:tc>
          <w:tcPr>
            <w:tcW w:w="5080" w:type="dxa"/>
            <w:vAlign w:val="bottom"/>
            <w:vMerge w:val="continue"/>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1,234,905</w:t>
            </w:r>
          </w:p>
        </w:tc>
        <w:tc>
          <w:tcPr>
            <w:tcW w:w="3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(541,574)</w:t>
            </w:r>
          </w:p>
        </w:tc>
        <w:tc>
          <w:tcPr>
            <w:tcW w:w="32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34.34</w:t>
            </w:r>
          </w:p>
        </w:tc>
        <w:tc>
          <w:tcPr>
            <w:tcW w:w="2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50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4,477,120</w:t>
            </w:r>
          </w:p>
        </w:tc>
        <w:tc>
          <w:tcPr>
            <w:tcW w:w="320" w:type="dxa"/>
            <w:vAlign w:val="bottom"/>
            <w:gridSpan w:val="2"/>
            <w:shd w:val="clear" w:color="auto" w:fill="CCEEFF"/>
          </w:tcPr>
          <w:p>
            <w:pPr>
              <w:jc w:val="right"/>
              <w:ind w:right="12"/>
              <w:spacing w:after="0" w:line="16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60" w:lineRule="exact"/>
              <w:rPr>
                <w:sz w:val="20"/>
                <w:szCs w:val="20"/>
                <w:color w:val="auto"/>
              </w:rPr>
            </w:pPr>
            <w:r>
              <w:rPr>
                <w:rFonts w:ascii="Arial" w:cs="Arial" w:eastAsia="Arial" w:hAnsi="Arial"/>
                <w:sz w:val="18"/>
                <w:szCs w:val="18"/>
                <w:color w:val="auto"/>
              </w:rPr>
              <w:t>23.04</w:t>
            </w:r>
          </w:p>
        </w:tc>
        <w:tc>
          <w:tcPr>
            <w:tcW w:w="26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b w:val="1"/>
                <w:bCs w:val="1"/>
                <w:color w:val="EE2724"/>
                <w:w w:val="91"/>
              </w:rPr>
              <w:t>FN</w:t>
            </w:r>
          </w:p>
        </w:tc>
        <w:tc>
          <w:tcPr>
            <w:tcW w:w="1340" w:type="dxa"/>
            <w:vAlign w:val="bottom"/>
            <w:shd w:val="clear" w:color="auto" w:fill="CCEEFF"/>
          </w:tcPr>
          <w:p>
            <w:pPr>
              <w:jc w:val="center"/>
              <w:spacing w:after="0" w:line="160" w:lineRule="exact"/>
              <w:rPr>
                <w:sz w:val="20"/>
                <w:szCs w:val="20"/>
                <w:color w:val="auto"/>
              </w:rPr>
            </w:pPr>
            <w:r>
              <w:rPr>
                <w:rFonts w:ascii="Arial" w:cs="Arial" w:eastAsia="Arial" w:hAnsi="Arial"/>
                <w:sz w:val="18"/>
                <w:szCs w:val="18"/>
                <w:color w:val="auto"/>
                <w:w w:val="95"/>
              </w:rPr>
              <w:t>5.4</w:t>
            </w:r>
          </w:p>
        </w:tc>
        <w:tc>
          <w:tcPr>
            <w:tcW w:w="4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8"/>
                <w:szCs w:val="18"/>
                <w:b w:val="1"/>
                <w:bCs w:val="1"/>
                <w:color w:val="EE2724"/>
                <w:w w:val="92"/>
              </w:rPr>
              <w:t xml:space="preserve">FN </w:t>
            </w:r>
            <w:r>
              <w:rPr>
                <w:rFonts w:ascii="Arial" w:cs="Arial" w:eastAsia="Arial" w:hAnsi="Arial"/>
                <w:sz w:val="18"/>
                <w:szCs w:val="18"/>
                <w:color w:val="000000"/>
                <w:w w:val="92"/>
              </w:rPr>
              <w:t>$</w:t>
            </w:r>
          </w:p>
        </w:tc>
        <w:tc>
          <w:tcPr>
            <w:tcW w:w="1320" w:type="dxa"/>
            <w:vAlign w:val="bottom"/>
            <w:shd w:val="clear" w:color="auto" w:fill="CCEEFF"/>
          </w:tcPr>
          <w:p>
            <w:pPr>
              <w:jc w:val="right"/>
              <w:spacing w:after="0" w:line="160" w:lineRule="exact"/>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EE2724"/>
                <w:w w:val="87"/>
              </w:rPr>
              <w:t>9.3</w:t>
            </w:r>
          </w:p>
        </w:tc>
        <w:tc>
          <w:tcPr>
            <w:tcW w:w="1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EE2724"/>
                <w:w w:val="95"/>
              </w:rPr>
              <w:t>9.3</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December 31, 2023</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23.25</w:t>
            </w: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3.9</w:t>
            </w:r>
          </w:p>
        </w:tc>
        <w:tc>
          <w:tcPr>
            <w:tcW w:w="4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line="20" w:lineRule="exact"/>
              <w:rPr>
                <w:sz w:val="1"/>
                <w:szCs w:val="1"/>
                <w:color w:val="auto"/>
              </w:rPr>
            </w:pPr>
          </w:p>
        </w:tc>
      </w:tr>
      <w:tr>
        <w:trPr>
          <w:trHeight w:val="198"/>
        </w:trPr>
        <w:tc>
          <w:tcPr>
            <w:tcW w:w="5080" w:type="dxa"/>
            <w:vAlign w:val="bottom"/>
            <w:vMerge w:val="continue"/>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3,113,971</w:t>
            </w:r>
          </w:p>
        </w:tc>
        <w:tc>
          <w:tcPr>
            <w:tcW w:w="3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December 31,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4,228,365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__________</w:t>
      </w:r>
    </w:p>
    <w:p>
      <w:pPr>
        <w:spacing w:after="0" w:line="26" w:lineRule="exact"/>
        <w:rPr>
          <w:sz w:val="20"/>
          <w:szCs w:val="20"/>
          <w:color w:val="auto"/>
        </w:rPr>
      </w:pPr>
    </w:p>
    <w:p>
      <w:pPr>
        <w:ind w:left="160" w:right="180" w:firstLine="5"/>
        <w:spacing w:after="0" w:line="254" w:lineRule="auto"/>
        <w:tabs>
          <w:tab w:leader="none" w:pos="3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years ended December 31, 2023, 2022 and 2021, the Company recorded in aggregate $10.8 million, $14.5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$13.3 million, respectively, of share-based compensation expense related to options. The share-based compensation expense is included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research and development expenses and SG&amp;A expenses in the Company’s consolidated statements of operations.</w:t>
      </w:r>
    </w:p>
    <w:p>
      <w:pPr>
        <w:spacing w:after="0" w:line="148"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As of December 31, 2023, there was $13.8 million in unrecognized compensation expense related to nonvested stock option awards which is expected to be recognized over a weighted average vesting period of 1.3 years.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RSU grants to new employees in the year ended December 31, 2023, 2022 and 2021 generally vest 25% of the total award on the first anniversary of the vesting commencement date, and thereafter vest quarterly over the remaining three years of the award, subject to continued employment through the vesting date.</w:t>
      </w:r>
    </w:p>
    <w:p>
      <w:pPr>
        <w:spacing w:after="0" w:line="11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RSU grants to certain continuing employees in the year ended December 31, 2023 vest: (i) 25% of the total award on the first anniversary of the vesting commencement date, and thereafter vest quarterly over the remaining three years of the award; (ii) 25% of the total award each quarter over four quarters; or (iii) 50% of the total award on the first anniversary of the vesting commencement date, and thereafter vest quarterly over the remaining four quarters of the award, each subject to continued employment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318"/>
        <w:spacing w:after="0" w:line="278" w:lineRule="auto"/>
        <w:rPr>
          <w:sz w:val="20"/>
          <w:szCs w:val="20"/>
          <w:color w:val="auto"/>
        </w:rPr>
      </w:pPr>
      <w:r>
        <w:rPr>
          <w:rFonts w:ascii="Arial" w:cs="Arial" w:eastAsia="Arial" w:hAnsi="Arial"/>
          <w:sz w:val="17"/>
          <w:szCs w:val="17"/>
          <w:color w:val="auto"/>
        </w:rPr>
        <w:t>RSU grants to certain continuing employees in the year ended December 31, 2022 vest 50% of the total award on the first anniversary of the vesting commencement date, and thereafter vest quarterly over the remaining four quarters of the award, subject to continued employment through the vesting date. RSU grants to certain continuing employees in the year ended December 31, 2022 vest 25% of the total award each quarter over four quarters, subject to continued employment through the vesting date. An RSU grant to one executive officer in the year ended December 31, 2022 vested 100% over three months from the vesting commencement date. RSU grants to two executive officers in the year ended December 31, 2022 vest quarterly over four and eight quarters, respectively, subject to continued employment through the vesting date.</w:t>
      </w:r>
    </w:p>
    <w:p>
      <w:pPr>
        <w:spacing w:after="0" w:line="125"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RSU grants in the year ended December 31, 2021 include fully vested RSUs granted to an executive officer issued in settlement of the obligation discussed below under Share-Settled Obligation. RSU grants to continuing employees in the year ended December 31, 2021 generally vest quarterly over 16 quarters, subject to continued employment through the vesting date. In the year ended December 31, 2021, one RSU grant granted to continuing employees vests every 6 months over a two-year period, subject to continued employment through the vesting date.</w:t>
      </w:r>
    </w:p>
    <w:p>
      <w:pPr>
        <w:spacing w:after="0" w:line="120" w:lineRule="exact"/>
        <w:rPr>
          <w:sz w:val="20"/>
          <w:szCs w:val="20"/>
          <w:color w:val="auto"/>
        </w:rPr>
      </w:pPr>
    </w:p>
    <w:p>
      <w:pPr>
        <w:ind w:right="260" w:firstLine="318"/>
        <w:spacing w:after="0" w:line="265" w:lineRule="auto"/>
        <w:rPr>
          <w:sz w:val="20"/>
          <w:szCs w:val="20"/>
          <w:color w:val="auto"/>
        </w:rPr>
      </w:pPr>
      <w:r>
        <w:rPr>
          <w:rFonts w:ascii="Arial" w:cs="Arial" w:eastAsia="Arial" w:hAnsi="Arial"/>
          <w:sz w:val="18"/>
          <w:szCs w:val="18"/>
          <w:color w:val="auto"/>
        </w:rPr>
        <w:t>Annual RSU grants to directors on the Company’s Board of Directors (the “Board”) in 2023, 2022 and 2021 vest monthly over a one-year period and RSU grants to new directors on the Board vest monthly over a three-year period, each subject to continued service through the vesting date. RSU grants to consultants and non-employee brand ambassadors in 2023, 2022 and 2021 have a variety of different vesting schedules.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RSU activity from December 31, 2020 through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8260" w:type="dxa"/>
            <w:vAlign w:val="bottom"/>
          </w:tcPr>
          <w:p>
            <w:pPr>
              <w:spacing w:after="0"/>
              <w:rPr>
                <w:sz w:val="13"/>
                <w:szCs w:val="13"/>
                <w:color w:val="auto"/>
              </w:rPr>
            </w:pPr>
          </w:p>
        </w:tc>
        <w:tc>
          <w:tcPr>
            <w:tcW w:w="144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Number of Units</w:t>
            </w:r>
          </w:p>
        </w:tc>
        <w:tc>
          <w:tcPr>
            <w:tcW w:w="220" w:type="dxa"/>
            <w:vAlign w:val="bottom"/>
          </w:tcPr>
          <w:p>
            <w:pPr>
              <w:spacing w:after="0"/>
              <w:rPr>
                <w:sz w:val="13"/>
                <w:szCs w:val="13"/>
                <w:color w:val="auto"/>
              </w:rPr>
            </w:pPr>
          </w:p>
        </w:tc>
        <w:tc>
          <w:tcPr>
            <w:tcW w:w="132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2"/>
        </w:trPr>
        <w:tc>
          <w:tcPr>
            <w:tcW w:w="82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Value Per Unit</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562,909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1,102,071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1,491,814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(383,260)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years ended December 31, 2023, 2022 and 2021, the Company recorded in aggregate $18.3 million, $19.4 million and</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$12.6 million, respectively, of share-based compensation expense related to RSUs. The share-based compensation expense is included in cost of goods sold, research and development expense and SG&amp;A expenses in the Company’s consolidated statements of operations.</w:t>
      </w:r>
    </w:p>
    <w:p>
      <w:pPr>
        <w:spacing w:after="0" w:line="125"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As of December 31, 2023, there was $17.5 million in unrecognized compensation expense related to nonvested RSUs which is expected to be recognized over a weighted average vesting period of 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64" w:lineRule="exact"/>
        <w:rPr>
          <w:sz w:val="20"/>
          <w:szCs w:val="20"/>
          <w:color w:val="auto"/>
        </w:rPr>
      </w:pPr>
    </w:p>
    <w:p>
      <w:pPr>
        <w:jc w:val="both"/>
        <w:ind w:right="280" w:firstLine="318"/>
        <w:spacing w:after="0" w:line="265" w:lineRule="auto"/>
        <w:rPr>
          <w:sz w:val="20"/>
          <w:szCs w:val="20"/>
          <w:color w:val="auto"/>
        </w:rPr>
      </w:pPr>
      <w:r>
        <w:rPr>
          <w:rFonts w:ascii="Arial" w:cs="Arial" w:eastAsia="Arial" w:hAnsi="Arial"/>
          <w:sz w:val="18"/>
          <w:szCs w:val="18"/>
          <w:color w:val="auto"/>
        </w:rPr>
        <w:t>Share-based compensation expense in 2021 includes $1.5 million, for a liability classified, share-settled obligation to an executive officer related to a sign-on award pursuant to the terms of the executive officer’s offer letter. The share-based compensation expense related to this share-settled obligation is included in SG&amp;A expenses in the Company’s consolidated statements of operations. There was no share-based compensation expense related to the share-settled obligation in 2023 or 2022.</w:t>
      </w:r>
    </w:p>
    <w:p>
      <w:pPr>
        <w:spacing w:after="0" w:line="133"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The Company was obligated to deliver a variable number of shares based on a fixed monetary amount on the first annual anniversary of the executive officer’s commencement date and on each quarterly anniversary thereafter through the second annual anniversary. The liability classified award was considered unearned until the requirements for issuance of the shares were met.</w:t>
      </w:r>
    </w:p>
    <w:p>
      <w:pPr>
        <w:spacing w:after="0" w:line="131" w:lineRule="exact"/>
        <w:rPr>
          <w:sz w:val="20"/>
          <w:szCs w:val="20"/>
          <w:color w:val="auto"/>
        </w:rPr>
      </w:pPr>
    </w:p>
    <w:p>
      <w:pPr>
        <w:ind w:right="60" w:firstLine="318"/>
        <w:spacing w:after="0" w:line="278" w:lineRule="auto"/>
        <w:rPr>
          <w:sz w:val="20"/>
          <w:szCs w:val="20"/>
          <w:color w:val="auto"/>
        </w:rPr>
      </w:pPr>
      <w:r>
        <w:rPr>
          <w:rFonts w:ascii="Arial" w:cs="Arial" w:eastAsia="Arial" w:hAnsi="Arial"/>
          <w:sz w:val="17"/>
          <w:szCs w:val="17"/>
          <w:color w:val="auto"/>
        </w:rPr>
        <w:t>In 2021, two quarterly tranches related to this obligation were earned, and the Company delivered to the executive officer 20,872 fully vested RSUs with a settlement date fair value of $2.5 million. The executive officer separated from the Company effective August 27, 2021. As a result, the fourth quarterly tranche was unearned and canceled. As of December 31, 2023 and 2022, there was no accrued unrecognized compensation expense related to this share-settled obligation in “Accrued expenses and other current liabilities” in the Company’s consolidated balance sheet. Financing activities in the statement of cash flows for the years ended December 31, 2023, 2022 and 2021 include $0, $0 and $2.5 million, respectively, non-cash reclassification of the share-settled obligation from “Other current liabilities” to “Additional paid-in capital.”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2023, 2022 and 2021, the Company issued no restricted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Average</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rPr>
              <w:t>Remaining</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of Shares of</w:t>
            </w:r>
          </w:p>
        </w:tc>
        <w:tc>
          <w:tcPr>
            <w:tcW w:w="100" w:type="dxa"/>
            <w:vAlign w:val="bottom"/>
          </w:tcPr>
          <w:p>
            <w:pPr>
              <w:spacing w:after="0"/>
              <w:rPr>
                <w:sz w:val="13"/>
                <w:szCs w:val="13"/>
                <w:color w:val="auto"/>
              </w:rPr>
            </w:pPr>
          </w:p>
        </w:tc>
        <w:tc>
          <w:tcPr>
            <w:tcW w:w="16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rPr>
              <w:t>Contractual</w:t>
            </w: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2"/>
        </w:trPr>
        <w:tc>
          <w:tcPr>
            <w:tcW w:w="6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Restricted Stock</w:t>
            </w: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 (Years)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9"/>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During the years ended December 31, 2023, 2022 and 2021, the Company recorded in aggregate $0, $ 0 and $0.2 million, respectively, of share-based compensation expense related to restricted stock issued to nonemployee brand ambassadors, which is included in SG&amp;A expenses in the Company’s consolidated statements of operations.</w:t>
      </w:r>
    </w:p>
    <w:p>
      <w:pPr>
        <w:spacing w:after="0" w:line="122" w:lineRule="exact"/>
        <w:rPr>
          <w:sz w:val="20"/>
          <w:szCs w:val="20"/>
          <w:color w:val="auto"/>
        </w:rPr>
      </w:pPr>
    </w:p>
    <w:p>
      <w:pPr>
        <w:ind w:left="320" w:right="1700"/>
        <w:spacing w:after="0" w:line="430" w:lineRule="auto"/>
        <w:rPr>
          <w:sz w:val="20"/>
          <w:szCs w:val="20"/>
          <w:color w:val="auto"/>
        </w:rPr>
      </w:pPr>
      <w:r>
        <w:rPr>
          <w:rFonts w:ascii="Arial" w:cs="Arial" w:eastAsia="Arial" w:hAnsi="Arial"/>
          <w:sz w:val="18"/>
          <w:szCs w:val="18"/>
          <w:color w:val="auto"/>
        </w:rPr>
        <w:t xml:space="preserve">As of December 31, 2023, there was $0 in unrecognized compensation expense related to nonvested restricted stock. </w:t>
      </w:r>
      <w:r>
        <w:rPr>
          <w:rFonts w:ascii="Arial" w:cs="Arial" w:eastAsia="Arial" w:hAnsi="Arial"/>
          <w:sz w:val="18"/>
          <w:szCs w:val="18"/>
          <w:b w:val="1"/>
          <w:bCs w:val="1"/>
          <w:i w:val="1"/>
          <w:iCs w:val="1"/>
          <w:color w:val="auto"/>
        </w:rPr>
        <w:t>Employee Stock Purchase Plan</w:t>
      </w:r>
    </w:p>
    <w:p>
      <w:pPr>
        <w:ind w:right="20" w:firstLine="318"/>
        <w:spacing w:after="0" w:line="260"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component for non-U.S. employees and certain non-U.S. service providers. As of December 31, 2023, the Company has reserved 2,948,715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1.0% of the shares of common stock outstanding on the last day of the prior fiscal year; or (iii) such lesser number of shares determined by the Company’s Board of Directors. As of January 1, 2024, the maximum aggregate number of shares that may be issued under the 2018 ESPP increased to 3,484,845 shares.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w:t>
      </w:r>
    </w:p>
    <w:p>
      <w:pPr>
        <w:spacing w:after="0" w:line="177" w:lineRule="exact"/>
        <w:rPr>
          <w:sz w:val="20"/>
          <w:szCs w:val="20"/>
          <w:color w:val="auto"/>
        </w:rPr>
      </w:pPr>
    </w:p>
    <w:p>
      <w:pPr>
        <w:ind w:right="300" w:firstLine="318"/>
        <w:spacing w:after="0" w:line="290" w:lineRule="auto"/>
        <w:rPr>
          <w:sz w:val="20"/>
          <w:szCs w:val="20"/>
          <w:color w:val="auto"/>
        </w:rPr>
      </w:pPr>
      <w:r>
        <w:rPr>
          <w:rFonts w:ascii="Arial" w:cs="Arial" w:eastAsia="Arial" w:hAnsi="Arial"/>
          <w:sz w:val="18"/>
          <w:szCs w:val="18"/>
          <w:color w:val="auto"/>
        </w:rPr>
        <w:t>On January 14, 2021, the Company entered into the Campus Lease with HC Hornet Way, LLC, a Delaware limited liability company (the “Landlord”), to house the Company’s Campus Headquarters.</w:t>
      </w:r>
    </w:p>
    <w:p>
      <w:pPr>
        <w:spacing w:after="0" w:line="9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Under the terms of the Campus Lease, the Company will lease an aggregate of approximately 282,000 rentable square feet in a portion of a building located in El Segundo, California, to be built out by the Landlord and delivered to the Company in multiple phases. As of December 31, 2023, the Company has recognized a right-of-use asset and lease liability for Phase 1-A and Phase 1-B in its consolidated balance sheet.</w:t>
      </w:r>
    </w:p>
    <w:p>
      <w:pPr>
        <w:spacing w:after="0" w:line="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Aggregate payments towards base rent over the initial lease term associated with the remaining phases not yet delivered to the Company are approximately $79.4 million.</w:t>
      </w:r>
    </w:p>
    <w:p>
      <w:pPr>
        <w:spacing w:after="0" w:line="126"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Concurrent with the Company’s execution of the Campus Lease, as a security deposit, the Company delivered to the Landlord a letter of credit in the amount of $12.5 million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The letter of credit is secured by a $12.6 million deposit reflected in the Company’s consolidated balance sheet as “Restricted cash” as of December 31, 2023 and 2022.</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On September 22, 2020, the Company and its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 In the years ended December 31, 2023, 2022 and 2021, the Company received $0, $0 and $1.1 million in subsidies from the JXEDZ Finance Bureau.</w:t>
      </w:r>
    </w:p>
    <w:p>
      <w:pPr>
        <w:spacing w:after="0" w:line="13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During Phase 1, the Company agreed to invest $10.0 million as the registered capital of BYND JX in the JXEDZ through intercompany</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in BYND JX. and BYND JX agreed to lease a facility in the JXEDZ for a minimum of two years. In connection with such agreement, BYND JX entered into a factory leasing contract with an affiliate of the JX Committee, pursuant to which BYND JX agreed to lease and renovate a facility in the JXEDZ and lease it for a minimum of two years. In the year ended December 31, 2022, the lease was amended to extend the term for an additional five years without rent escalation. In the fourth quarter of 2021, BYND JX leased an approximately 12,000 square foot facility in Shanghai, China, for a period of eight years, which is used as a local research and development facility to support the local manufacturing operations. As of December 31, 2023, the Company had invested $22.0 million as the registered capital of BYND JX and advanced $20.0 million to BYND JX.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increase its registered capital to $40.0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64" w:lineRule="exact"/>
        <w:rPr>
          <w:sz w:val="20"/>
          <w:szCs w:val="20"/>
          <w:color w:val="auto"/>
        </w:rPr>
      </w:pPr>
    </w:p>
    <w:p>
      <w:pPr>
        <w:ind w:right="100" w:firstLine="318"/>
        <w:spacing w:after="0" w:line="263" w:lineRule="auto"/>
        <w:rPr>
          <w:sz w:val="20"/>
          <w:szCs w:val="20"/>
          <w:color w:val="auto"/>
        </w:rPr>
      </w:pPr>
      <w:r>
        <w:rPr>
          <w:rFonts w:ascii="Arial" w:cs="Arial" w:eastAsia="Arial" w:hAnsi="Arial"/>
          <w:sz w:val="18"/>
          <w:szCs w:val="18"/>
          <w:color w:val="auto"/>
        </w:rPr>
        <w:t xml:space="preserve">On January 25, 2021, the Company entered into TPP, a joint venture with PepsiCo, Inc., to develop, produce and market innovative snack and beverage products made from plant-based protein. For the years ended December 31, 2023, 2022 and 2021, the Company recognized its share of the net losses in TPP in the amount of $3.9 million, $ 18.9 million and $3.0 million, respectively. For the year ended December 31, 2021, the Company contributed its share of the investment in TPP, $11.0 million, which was increased to $24.3 million in the year ended December 31, 2022. In 2023, the Company contributed an additional $3.3 million as its share of additional investment in TPP.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13</w:t>
      </w:r>
      <w:r>
        <w:rPr>
          <w:rFonts w:ascii="Arial" w:cs="Arial" w:eastAsia="Arial" w:hAnsi="Arial"/>
          <w:sz w:val="18"/>
          <w:szCs w:val="18"/>
          <w:color w:val="000000"/>
        </w:rPr>
        <w:t>.</w:t>
      </w:r>
    </w:p>
    <w:p>
      <w:pPr>
        <w:spacing w:after="0" w:line="123"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 xml:space="preserve">In 2023, the Company continued the process of renegotiating certain contracts and changing operating activities related to Beyond Meat Jerky and assumed distribution responsibilities for Beyond Meat Jerky in the fourth quarter of 2023. As part of its Global Operations Review, the Company made the decision to discontinue the Beyond Meat Jerky product line.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380" w:firstLine="318"/>
        <w:spacing w:after="0" w:line="283" w:lineRule="auto"/>
        <w:rPr>
          <w:sz w:val="20"/>
          <w:szCs w:val="20"/>
          <w:color w:val="auto"/>
        </w:rPr>
      </w:pPr>
      <w:r>
        <w:rPr>
          <w:rFonts w:ascii="Arial" w:cs="Arial" w:eastAsia="Arial" w:hAnsi="Arial"/>
          <w:sz w:val="17"/>
          <w:szCs w:val="17"/>
          <w:color w:val="auto"/>
        </w:rPr>
        <w:t>On July 1, 2023, the Company and Roquette Frères entered into a second amendment (the “Second Amendment”) to the Company’s existing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the Company has committed to purchase pea protein inventory totaling $10.9 million in 2024 and $17.1 million in 2025.</w:t>
      </w:r>
    </w:p>
    <w:p>
      <w:pPr>
        <w:spacing w:after="0" w:line="106" w:lineRule="exact"/>
        <w:rPr>
          <w:sz w:val="20"/>
          <w:szCs w:val="20"/>
          <w:color w:val="auto"/>
        </w:rPr>
      </w:pPr>
    </w:p>
    <w:p>
      <w:pPr>
        <w:jc w:val="both"/>
        <w:ind w:right="180" w:firstLine="318"/>
        <w:spacing w:after="0" w:line="265" w:lineRule="auto"/>
        <w:rPr>
          <w:sz w:val="20"/>
          <w:szCs w:val="20"/>
          <w:color w:val="auto"/>
        </w:rPr>
      </w:pPr>
      <w:r>
        <w:rPr>
          <w:rFonts w:ascii="Arial" w:cs="Arial" w:eastAsia="Arial" w:hAnsi="Arial"/>
          <w:sz w:val="18"/>
          <w:szCs w:val="18"/>
          <w:color w:val="auto"/>
        </w:rPr>
        <w:t>On April 6, 2022, the Company entered into a co-manufacturing agreement (“Agreement”) with a co-manufacturer to manufacture various products for the Company. The Agreement included a minimum order quantity commitment per month and an aggregate quantity over a five-year term. On November 21, 2023, the Company terminated the Agreement because the co-manufacturer failed to meet its obligations under the Agreement and recorded $4.4 million in termination-related charges.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77"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In connection with the matters described below, the Company has accrued for loss contingencies where it believes that losses are probable and estimable. No loss contingency is recorded for matters where such losses are either not probable or reasonably estimable (or both).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below seek or may seek potentially large and/or indeterminate amounts. Any such loss or excess loss could have a material effect on the Company’s results of operations or cash flows or on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40" w:firstLine="318"/>
        <w:spacing w:after="0" w:line="267" w:lineRule="auto"/>
        <w:rPr>
          <w:sz w:val="20"/>
          <w:szCs w:val="20"/>
          <w:color w:val="auto"/>
        </w:rPr>
      </w:pPr>
      <w:r>
        <w:rPr>
          <w:rFonts w:ascii="Arial" w:cs="Arial" w:eastAsia="Arial" w:hAnsi="Arial"/>
          <w:sz w:val="18"/>
          <w:szCs w:val="18"/>
          <w:color w:val="auto"/>
        </w:rPr>
        <w:t>In addition to the matters described below, the Company is involved in various other legal proceedings, claims and litigation arising in the ordinary course of business. Based on the facts currently available, the Company does not believe that the disposition of such other matters that are pending or asserted will have a material effect on its financial statements.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Aliments BVeggie, Inc.</w:t>
      </w:r>
    </w:p>
    <w:p>
      <w:pPr>
        <w:spacing w:after="0" w:line="177" w:lineRule="exact"/>
        <w:rPr>
          <w:sz w:val="20"/>
          <w:szCs w:val="20"/>
          <w:color w:val="auto"/>
        </w:rPr>
      </w:pPr>
    </w:p>
    <w:p>
      <w:pPr>
        <w:ind w:firstLine="318"/>
        <w:spacing w:after="0" w:line="276" w:lineRule="auto"/>
        <w:rPr>
          <w:sz w:val="20"/>
          <w:szCs w:val="20"/>
          <w:color w:val="auto"/>
        </w:rPr>
      </w:pPr>
      <w:r>
        <w:rPr>
          <w:rFonts w:ascii="Arial" w:cs="Arial" w:eastAsia="Arial" w:hAnsi="Arial"/>
          <w:sz w:val="17"/>
          <w:szCs w:val="17"/>
          <w:color w:val="auto"/>
        </w:rPr>
        <w:t>In November 2023, Aliments BVeggie, Inc. (“BVeggie”) filed and served legal proceedings against the Company before the Superior Court of Quebec’s District of Montreal. BVeggie alleges, among other things that: (i) in 2019, the Company and BVeggie entered into a co-manufacturing agreement, by which BVeggie would produce and deliver products for the benefit of the Company, in exchange for a tolling fee to be paid per pound of product produced and delivered to the Company; (ii) the Company would have made false and misleading statements regarding the volume of purchase orders it would provide BVeggie; (iii) BVeggie invested significant sums to adapt its facilities for the intended production; (iv) the Company fell short of its undertakings and promises; and (v) in March 2023, the Company illegally terminated the business relationship. BVeggie intends to claim damages in the total amount of 129,841,920 CAD, in compensation for its investments, lost profits and the repairs needed to be made to its facility post-termination of the business relationship and removal of the Company’s equipment. The case is at a preliminary stage. The Company intends to vigorously defend against these claims. The Company has filed a motion for declinatory exception set to be heard in April 2024, alleging that these claims should be debated before an arbitration panel in California.</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Saskatchewan Healthcare Employees’ Pension Plan v. Beyond Meat, Inc. et al.</w:t>
      </w:r>
    </w:p>
    <w:p>
      <w:pPr>
        <w:spacing w:after="0" w:line="177" w:lineRule="exact"/>
        <w:rPr>
          <w:sz w:val="20"/>
          <w:szCs w:val="20"/>
          <w:color w:val="auto"/>
        </w:rPr>
      </w:pPr>
    </w:p>
    <w:p>
      <w:pPr>
        <w:ind w:right="20" w:firstLine="318"/>
        <w:spacing w:after="0" w:line="257" w:lineRule="auto"/>
        <w:rPr>
          <w:sz w:val="20"/>
          <w:szCs w:val="20"/>
          <w:color w:val="auto"/>
        </w:rPr>
      </w:pPr>
      <w:r>
        <w:rPr>
          <w:rFonts w:ascii="Arial" w:cs="Arial" w:eastAsia="Arial" w:hAnsi="Arial"/>
          <w:sz w:val="18"/>
          <w:szCs w:val="18"/>
          <w:color w:val="auto"/>
        </w:rPr>
        <w:t>On May 11, 2023, a class action complaint was filed against the Company and certain current and former officers and directors in the United States District Court for the Central District of California, captioned Retail Wholesale Department Store Union Local 338 Retirement Fund v. Beyond Meat, Inc., et al., Case No. 2:23-cv-03602. On July 26, 2023, the Court granted Saskatchewan Healthcare Employees’ Pension Plan’s motion to be appointed lead plaintiff and for its counsel to be appointed lead counsel. On August 9, 2023, the case was recaptioned as Saskatchewan Healthcare Employees’ Pension Plan v. Beyond Meat, Inc., et al., Case No. 2:23-cv-03602 (“SHEPP Action”). On October 9, 2023, the plaintiffs filed a consolidated class action complaint. The complaint alleges, among other things, that the Company and the individual defendants made false and misleading statements or omissions regarding the Company’s ability to manufacture its products at scale and to its partners’ specifications. The complaint seeks an order certifying the class; awarding compensatory damages, interest, costs, expenses, attorneys’ and expert fees; and granting other unspecified equitable or injunctive relief. The complaint alleges causes of action under Sections 10(b), 20(a), and 20A of the Securities Exchange Act of 1934, as amended (the “Exchange Act”) on behalf of a putative class of investors who purchased the Company’s common stock between May 5, 2020, and October 13, 2022, inclusive. On December 8, 2023, the Company and the individual defendants filed a motion to dismiss the consolidated class action complaint. On February 6, 2024, the plaintiffs filed their answering brief. Per the terms of the parties’ stipulation, the defendants’ reply brief is due on or before March 22, 2024. The Company intends to vigorously defend against these claims.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Stockholder Derivative Litigation Actions</w:t>
      </w:r>
    </w:p>
    <w:p>
      <w:pPr>
        <w:spacing w:after="0" w:line="177" w:lineRule="exact"/>
        <w:rPr>
          <w:sz w:val="20"/>
          <w:szCs w:val="20"/>
          <w:color w:val="auto"/>
        </w:rPr>
      </w:pPr>
    </w:p>
    <w:p>
      <w:pPr>
        <w:ind w:right="140" w:firstLine="318"/>
        <w:spacing w:after="0" w:line="278" w:lineRule="auto"/>
        <w:rPr>
          <w:sz w:val="20"/>
          <w:szCs w:val="20"/>
          <w:color w:val="auto"/>
        </w:rPr>
      </w:pPr>
      <w:r>
        <w:rPr>
          <w:rFonts w:ascii="Arial" w:cs="Arial" w:eastAsia="Arial" w:hAnsi="Arial"/>
          <w:sz w:val="17"/>
          <w:szCs w:val="17"/>
          <w:color w:val="auto"/>
        </w:rPr>
        <w:t>On July 21, 2023, a derivative shareholder action was filed against certain current and former officers and directors of the Company in the United States District Court for the Central District of California, captioned Gervat v. Brown, et al., Case No. 2:23-cv-05954 (“Gervat Action”). The complaint asserts claims for breach of fiduciary duty, unjust enrichment, and gross mismanagement. It also asserts violations of Section 14(a) of the Exchange Act against a subset of defendants and seeks contribution for violations of Sections10(b) and 21D of the Exchange Act from the individual defendants named in the SHEPP Action. The Company is named as a nominal defendant only. On July 27, 2023, a second derivative shareholder action was filed in the United States District Court for the Central District of California, captioned Brink v. Brown, et al., Case No. 2:23-cv-06110 (“Brink Action”), alleging substantially the same causes of action and facts as alleged in the Gervat Action.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August 15, 2023, the Gervat and Brink Actions were consolidated into a single matter, with the complaint in the Gervat Action being the operative one, and such consolidated case was captioned In Re Beyond Meat, Inc. Stockholder Derivative Litigation, Case No. 2:23-cv-05954 (“Consolidated Derivative Action”). The Consolidated Derivative Action is stayed pending resolution of the defendants’ motion to dismiss in the SHEPP Action. On August 4, 2023, a third derivative shareholder action was filed in the Superior Court of the State of California for the County of Los Angeles, captioned Moore v. Nelson, et al., Case No. 23STCV18587, alleging claims and causes of action substantially similar to those alleged in the Consolidated Derivative Action (“Moore Action”). On January 23, 2024, the plaintiff dismissed the complaint without prejudice. On December 8, 2023, a fourth derivative action was filed in the United States District Court for the District of Delaware, captioned Gilardy v. Brown, et al., Case No. 1:23-cv-01415 (“Gilardy Action”). The Gilardy Action alleges claims and causes of action substantially similar to those alleged in the Consolidated Derivative Action and Moore Action. The Gilardy Action is stayed pending resolution of the defendants’ motion to dismiss in the SHEPP Action.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Litigation Pursuant to Section 220 of the Delaware General Corporation Law (“DGCL”)</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On November 17, 2023, purported stockholder Christina Brown (“Brown”) issued a books and records demand pursuant to Section 220 of the DGCL seeking documents, including board minutes and materials generally related to the same issues as those raised in the SHEPP Action and related derivative actions. On December 12, 2023, Brown filed a complaint in Delaware Chancery Court naming the Company as defendant and seeking such documents pursuant to Section 220, captioned Brown v. Beyond Meat, Case No. 2023-1262 (Del. Ch.) (“Brown 220 Litigation”). On January 12, 2024, the Brown 220 Litigation was stayed for 90 days, pursuant to a stipulation between the parties.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Consumer Class Actions Regarding Protein Claims</w:t>
      </w:r>
    </w:p>
    <w:p>
      <w:pPr>
        <w:spacing w:after="0" w:line="164" w:lineRule="exact"/>
        <w:rPr>
          <w:sz w:val="20"/>
          <w:szCs w:val="20"/>
          <w:color w:val="auto"/>
        </w:rPr>
      </w:pPr>
    </w:p>
    <w:p>
      <w:pPr>
        <w:ind w:firstLine="318"/>
        <w:spacing w:after="0" w:line="259" w:lineRule="auto"/>
        <w:rPr>
          <w:sz w:val="20"/>
          <w:szCs w:val="20"/>
          <w:color w:val="auto"/>
        </w:rPr>
      </w:pPr>
      <w:r>
        <w:rPr>
          <w:rFonts w:ascii="Arial" w:cs="Arial" w:eastAsia="Arial" w:hAnsi="Arial"/>
          <w:sz w:val="18"/>
          <w:szCs w:val="18"/>
          <w:color w:val="auto"/>
        </w:rPr>
        <w:t>From May 31, 2022 through January 13, 2023, multiple putative class action lawsuits were filed against the Company in various federal and state courts alleging that the labeling and marketing of certain of the Company’s products is false and/or misleading under federal and/or various states’ laws. Specifically, each of these lawsuits allege one or more of the following theories of liability: (i) that the labels and related marketing of the challenged products misstate the quantitative amount of protein that is provided by each serving of the product; (ii) that the labels and related marketing of the challenged products misstate the percent daily value of protein that is provided by each serving of the product; and (iii) that the Company has represented that the challenged products are “all-natural,” “organic,” or contain no “synthetic” ingredients when they in fact contain methylcellulose, an allegedly synthetic ingredient. The named plaintiffs of each complaint seek to represent classes of nationwide and/or state-specific consumers, and seek on behalf of the putative classes damages, restitution, and injunctive relief, among other relief. Additional complaints asserting these theories of liability are possible. Some lawsuits previously filed were voluntarily withdrawn or dismissed without prejudice, though they may be refiled.</w:t>
      </w:r>
    </w:p>
    <w:p>
      <w:pPr>
        <w:spacing w:after="0" w:line="138"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On November 14, 2022, the Company filed a motion with the Judicial Panel on Multidistrict Litigation to transfer and consolidate all pending class actions. No party opposed the motion, and the Panel held oral argument on the motion on January 26, 2023. The Panel granted the motion on February 1, 2023, consolidating the pending class action lawsuits and transferring them to Judge Sara Ellis in the Northern District of Illinois for pre-trial proceedings.</w:t>
      </w:r>
    </w:p>
    <w:p>
      <w:pPr>
        <w:spacing w:after="0" w:line="119"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On March 3, 2023, the court held the initial status conference. The court granted plaintiffs’ motion to appoint interim class counsel and set a briefing schedule on the Company’s anticipated motion to dismiss. On May 3, 2023, plaintiffs filed an amended consolidated complaint. The Company’s motion to dismiss was filed on June 5, 2023, and plaintiffs filed a brief in opposition on July 7, 2023. The Company’s reply in support of the motion to dismiss was filed on July 21, 2023.</w:t>
      </w:r>
    </w:p>
    <w:p>
      <w:pPr>
        <w:spacing w:after="0" w:line="133" w:lineRule="exact"/>
        <w:rPr>
          <w:sz w:val="20"/>
          <w:szCs w:val="20"/>
          <w:color w:val="auto"/>
        </w:rPr>
      </w:pPr>
    </w:p>
    <w:p>
      <w:pPr>
        <w:ind w:right="80" w:firstLine="318"/>
        <w:spacing w:after="0" w:line="267" w:lineRule="auto"/>
        <w:rPr>
          <w:sz w:val="20"/>
          <w:szCs w:val="20"/>
          <w:color w:val="auto"/>
        </w:rPr>
      </w:pPr>
      <w:r>
        <w:rPr>
          <w:rFonts w:ascii="Arial" w:cs="Arial" w:eastAsia="Arial" w:hAnsi="Arial"/>
          <w:sz w:val="18"/>
          <w:szCs w:val="18"/>
          <w:color w:val="auto"/>
        </w:rPr>
        <w:t>On February 22, 2024, the court issued an order granting in part and dismissing in part the Company’s motion to dismiss. The parties have until March 5, 2024, to submit a joint status report, including a date by which the plaintiffs intend to file an amended complaint, if applicable, a proposed briefing schedule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740"/>
        <w:spacing w:after="0" w:line="290" w:lineRule="auto"/>
        <w:rPr>
          <w:sz w:val="20"/>
          <w:szCs w:val="20"/>
          <w:color w:val="auto"/>
        </w:rPr>
      </w:pPr>
      <w:r>
        <w:rPr>
          <w:rFonts w:ascii="Arial" w:cs="Arial" w:eastAsia="Arial" w:hAnsi="Arial"/>
          <w:sz w:val="18"/>
          <w:szCs w:val="18"/>
          <w:color w:val="auto"/>
        </w:rPr>
        <w:t>Company intends to file a motion to dismiss, and a proposed discovery schedule. The Company’s deadline to respond to the operative complaint is March 6, 2024. A telephonic status conference is set for March 12, 2024.</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active lawsuits are:</w:t>
      </w:r>
    </w:p>
    <w:p>
      <w:pPr>
        <w:spacing w:after="0" w:line="177"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Roberts v. Beyond Meat, Inc., No. 1:22-cv-02861 (N.D. Ill.) (filed May 31,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Cascio v. Beyond Meat, Inc., No. 1:22-cv-04018 (E.D.N.Y.) (filed July 8, 2022)</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Miller v. Beyond Meat, Inc., No. 1:22-cv-06336 (S.D.N.Y.) (filed July 26,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Garcia v. Beyond Meat, Inc., No. 4:22-cv-00297 (S.D. Iowa) (filed September 9,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Borovoy v. Beyond Meat, Inc., No. 1:22-cv-06302 (N.D. Ill.) (filed September 30, 2022 in DuPage Co., Ill.; removed on Nov. 10, 2022)</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Zakinov v Beyond Meat, Inc., No. 4:23-cv-00144 (S.D. Tex.) (filed January 13, 2023)</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intends to vigorously defend against all remaining claims asserted in the complaints.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Interbev</w:t>
      </w:r>
    </w:p>
    <w:p>
      <w:pPr>
        <w:spacing w:after="0" w:line="164"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In October 2020, Interbev, a French trade association for the livestock and meat industry sent a cease-and-desist letter to one of the Company’s contract manufacturers alleging that the use of “meat” and meat-related terms is misleading the French consumer. Despite the Company’s best efforts to reach a settlement, including a formal settlement proposal from the Company in March 2021, the association no longer responded. Instead, on March 13, 2022, the Company was served a summons by Interbev to appear before the Commercial Court of Paris. The summons alleges that the Company misleads the French consumer with references to e.g.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 and (iii) damages of EUR 200,000. On October 12, 2022, the Company submitted its brief in defense.</w:t>
      </w:r>
    </w:p>
    <w:p>
      <w:pPr>
        <w:spacing w:after="0" w:line="127"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On February 1, 2023, the French trade association submitted updated pleadings to the Commercial Court. The association maintains its position that the Company is misleading the consumer, and additionally alleges that it is engaging in unlawful comparative advertising of its products with respect to meat and meat products. The relief sought is unchanged. On May 24, 2023, the Company submitted its defense, strongly disputing these claims. In September 2023, the Company submitted a request to stay proceedings in the commercial litigation proceedings, pending the decision of the Court of Justice of the European Union (“CJEU”) in the administrative litigation case against the French Decree prohibiting meat names. On September 27, 2023, Interbev obtained an extension to submit a response to the Company. On October 25, 2023, Interbev submitted its response opposing the Company’s request to stay proceedings and asking that the written procedure of the case be closed. The Company responded on November 22, 2023, and Interbev submitted an additional reply on January 16, 2024. On January 31, 2024, the commercial court set March 20, 2024, as the date for a hearing on the decision to stay proceedings. The commercial litigation is expected to take at least another 12 months in the first instance, and at least 18 to 24 months if the stay is granted. If the Court rules against the Company, it could disrupt the Company’s ability to market in France. The Company intends to vigorously defend against these claims.</w:t>
      </w:r>
    </w:p>
    <w:p>
      <w:pPr>
        <w:spacing w:after="0" w:line="129"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On April 21, 2023, Interbev filed two actions before the European Union Intellectual Property Office to cancel the Company’s EU trademark registration for the Caped Steer logo. Interbev is seeking cancellation of the trademark, alleging that the trademark is invalid because it allegedly misleads the public about the nature and characteristics of the products offered under the mark. Interbev is also seeking cancellation on the basis of lack of genuine use, despite the fact that the mark is within the five-year grace period where it cannot be challenged for lack of use. On July 7, 2023, the Company submitted its responses to these actions, strongly disputing these claims and defending its use of the Caped Steer logo. Interbev’s response regarding misleading use of the mark was filed on September 14, 2023, and the Company responded on November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Interbev’s response regarding the invalidity of the mark was filed in October 2023, and the Company responded on January 12, 2024.</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Decree prohibiting meat names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On June 29, 2022, France adopted a Decree implementing a prohibition of June 2020 on the use of denominations used for foodstuffs of animal origin to describe, market or promote foodstuffs containing plant proteins (“Contested Decree”). The Contested Decree prohibited the use of meat names (such as “sausage” or “meatballs”) for plant-based products, from its date of entry into force on October 1, 2022. On July 27, 2022, the French High Administrative Court issued a temporary and partial suspension of the execution of the Contested Decree, in response to a motion filed by a French trade association. While the Court has not yet handed down a final decision on the merits, the suspension indicates that it has serious doubts as to the substantive lawfulness of the Contested Decree. However, the abrogation of the Contested Decree has made the procedure before the High Administrative Court without object.</w:t>
      </w:r>
    </w:p>
    <w:p>
      <w:pPr>
        <w:spacing w:after="0" w:line="378"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Company does not believe that the Contested Decree complied with the laws of the European Union (EU), and in particular the principle of free movement of goods, nor with French rules requiring laws to be clear and accessible. On October 21, 2022, the Company filed a request for annulment of the Contested Decree before the French High Administrative Court. On November 16, 2022, the Company filed a voluntary intervention in the French trade association’s own application for annulment, to ensure that both the Company’s voice and strong EU law arguments were heard. On January 23, 2023, the French Ministry for the Economy responded to the Company’s request for annulment and intervention. The Ministry’s response made clear that it would enforce the Contested Decree as a blanket ban on the use of all “meaty” names for plant-based products in France. On April 20, 2023, a number of plant-based companies voluntarily filed interventions in support of the Company’s case.</w:t>
      </w:r>
    </w:p>
    <w:p>
      <w:pPr>
        <w:spacing w:after="0" w:line="127"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On July 12, 2023, the French High Administrative Court issued an intermediate judgment in the proceedings against the French meaty names ban. The Court held that there were a number of difficulties interpreting EU law, which will be decisive for the resolution of the case. For that reason, the French High Administrative Court referred the case to the CJEU, which is the highest court in the EU and can issue a legally binding interpretation of EU law valid in all 27 EU member states, including France. The French High Administrative Court is bound to follow judgments of the CJEU. The procedure before the CJEU started on August 22, 2023, and the Company filed its submission on October 31, 2023. On January 15, 2024, the CJEU closed the written procedure. The period to request an oral hearing closed on February 5, 2024, and the CJEU must now decide whether an oral hearing is necessary in these proceedings. The entire procedure is now without object, as France repealed the Contested Decree. The judgment of the CJEU would have been determinative as to whether the Contested Decree’s ban on meat names for plant-based foods was lawful, or not, under EU law. The judgment of the CJEU would have also set a precedent on the naming of plant-based foods for all other EU member states, which would have significantly disrupted or facilitated the operations of the Company and the entire plant-based protein industry in France and across the EU.</w:t>
      </w:r>
    </w:p>
    <w:p>
      <w:pPr>
        <w:spacing w:after="0" w:line="12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On August 23, 2023, France published a proposal for a new decree replacing the Contested Decree (“New Decree”). The New Decree has removed some of the Contested Decree’s most open-ended language, but essentially maintains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It will enter into force on May 27, 2024. The New Decree abrogates the Contested Decree and makes the current proceedings before the CJEU and the pending proceedings before the French High Administrative Court without object. Thus, the Company or the plant-based protein trade associations may need to initiate new proceedings before the French High Administrative Court and the CJEU against the New Decree. The Company maintains its position that the Contested Decree was, and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Decree is illegal under French and EU law. It will continue to defend against prohibitions on meaty names, among others through plant-based protein trade associations.</w:t>
      </w:r>
    </w:p>
    <w:p>
      <w:pPr>
        <w:spacing w:after="0" w:line="96" w:lineRule="exact"/>
        <w:rPr>
          <w:sz w:val="20"/>
          <w:szCs w:val="20"/>
          <w:color w:val="auto"/>
        </w:rPr>
      </w:pPr>
    </w:p>
    <w:p>
      <w:pPr>
        <w:ind w:right="160" w:firstLine="318"/>
        <w:spacing w:after="0" w:line="275"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66" w:lineRule="exact"/>
        <w:rPr>
          <w:sz w:val="20"/>
          <w:szCs w:val="20"/>
          <w:color w:val="auto"/>
        </w:rPr>
      </w:pPr>
    </w:p>
    <w:p>
      <w:pPr>
        <w:ind w:right="200" w:firstLine="318"/>
        <w:spacing w:after="0" w:line="290" w:lineRule="auto"/>
        <w:rPr>
          <w:sz w:val="20"/>
          <w:szCs w:val="20"/>
          <w:color w:val="auto"/>
        </w:rPr>
      </w:pPr>
      <w:r>
        <w:rPr>
          <w:rFonts w:ascii="Arial" w:cs="Arial" w:eastAsia="Arial" w:hAnsi="Arial"/>
          <w:sz w:val="18"/>
          <w:szCs w:val="18"/>
          <w:color w:val="auto"/>
        </w:rPr>
        <w:t>A reconciliation of loss before income taxes for domestic and foreign locations for the years ended December 31, 2023, 2022 and 2021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80" w:type="dxa"/>
            <w:vAlign w:val="bottom"/>
            <w:gridSpan w:val="9"/>
          </w:tcPr>
          <w:p>
            <w:pPr>
              <w:jc w:val="center"/>
              <w:ind w:left="754"/>
              <w:spacing w:after="0"/>
              <w:rPr>
                <w:sz w:val="20"/>
                <w:szCs w:val="20"/>
                <w:color w:val="auto"/>
              </w:rPr>
            </w:pPr>
            <w:r>
              <w:rPr>
                <w:rFonts w:ascii="Arial" w:cs="Arial" w:eastAsia="Arial" w:hAnsi="Arial"/>
                <w:sz w:val="16"/>
                <w:szCs w:val="16"/>
                <w:b w:val="1"/>
                <w:bCs w:val="1"/>
                <w:color w:val="auto"/>
                <w:w w:val="98"/>
              </w:rPr>
              <w:t>Year Ended 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(290,765)</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8"/>
                <w:szCs w:val="18"/>
                <w:color w:val="auto"/>
              </w:rPr>
              <w:t>The provision for income taxes was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(in thousands)</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9"/>
          </w:tcPr>
          <w:p>
            <w:pPr>
              <w:jc w:val="center"/>
              <w:ind w:left="794"/>
              <w:spacing w:after="0"/>
              <w:rPr>
                <w:sz w:val="20"/>
                <w:szCs w:val="20"/>
                <w:color w:val="auto"/>
              </w:rPr>
            </w:pPr>
            <w:r>
              <w:rPr>
                <w:rFonts w:ascii="Arial" w:cs="Arial" w:eastAsia="Arial" w:hAnsi="Arial"/>
                <w:sz w:val="16"/>
                <w:szCs w:val="16"/>
                <w:b w:val="1"/>
                <w:bCs w:val="1"/>
                <w:color w:val="auto"/>
                <w:w w:val="98"/>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80" w:firstLine="318"/>
        <w:spacing w:after="0" w:line="290" w:lineRule="auto"/>
        <w:rPr>
          <w:sz w:val="20"/>
          <w:szCs w:val="20"/>
          <w:color w:val="auto"/>
        </w:rPr>
      </w:pPr>
      <w:r>
        <w:rPr>
          <w:rFonts w:ascii="Arial" w:cs="Arial" w:eastAsia="Arial" w:hAnsi="Arial"/>
          <w:sz w:val="18"/>
          <w:szCs w:val="18"/>
          <w:color w:val="auto"/>
        </w:rPr>
        <w:t>The Company has provided a 100% valuation allowance on its deferred tax assets. The provision for income taxes in 2023, 2022 and 2021 is primarily for taxes payable to the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A reconciliation of income tax expense from continuing operations to the amount computed by applying the statutory federal income tax rate to the net loss from continuing operations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64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4"/>
                <w:szCs w:val="14"/>
                <w:color w:val="auto"/>
              </w:rPr>
            </w:pPr>
          </w:p>
        </w:tc>
        <w:tc>
          <w:tcPr>
            <w:tcW w:w="1180" w:type="dxa"/>
            <w:vAlign w:val="bottom"/>
          </w:tcPr>
          <w:p>
            <w:pPr>
              <w:jc w:val="right"/>
              <w:ind w:right="49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3"/>
              <w:spacing w:after="0" w:line="16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93"/>
              <w:spacing w:after="0" w:line="16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income tax at federal statutory rate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(38,229)</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State income tax, net of federal benefits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Change in tax rates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5"/>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25"/>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49,165</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Company's deferred tax assets and liabilities as of December 31, 2023, and 2022 are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b w:val="1"/>
                <w:bCs w:val="1"/>
                <w:color w:val="auto"/>
                <w:w w:val="97"/>
              </w:rPr>
              <w:t>(in thousands)</w:t>
            </w:r>
          </w:p>
        </w:tc>
        <w:tc>
          <w:tcPr>
            <w:tcW w:w="6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653"/>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652"/>
              <w:spacing w:after="0" w:line="16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(NOL)</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liability</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provision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334,441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249,796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liabilities: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25,302</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224,494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As of December 31, 2023 and 2022, management assessed the realizability of deferred tax assets and evaluated the need for an amount of a valuation allowance for deferred tax assets on a jurisdictional basis. This evaluation utilizes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that they will not be realized.</w:t>
      </w:r>
    </w:p>
    <w:p>
      <w:pPr>
        <w:spacing w:after="0" w:line="138"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overcome.” Based upon available evidence, it was concluded on a more-likely-than-not basis that certain deferred tax assets were not realizable as of December 31, 2023. Accordingly, a valuation allowance of $299.2 million has been recorded to offset these deferred tax assets. The change in valuation allowance for the year ended December 31, 2023 and 2022, was an increase of $74.7 million.</w:t>
      </w:r>
    </w:p>
    <w:p>
      <w:pPr>
        <w:spacing w:after="0" w:line="131"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As of December 31, 2023, the Company has accumulated federal, state and foreign net operating loss carryforwards of approximately $983.6 million, $413.3 million and $104.0 million, respectively, of which approximately $891.9 million of the federal net operating losses and $63.4 million of the state net operating losses do not expire and the remaining federal, state and foreign tax loss carryforwards begin to expire in 2031, 2031 and 2025 respectively, unless previously utilized. As of December 31, 2022, the Company had accumulated federal, state and foreign net operating loss carryforwards of approximately $744.5 million, $314.2 million and $84.1 million, respectively.</w:t>
      </w:r>
    </w:p>
    <w:p>
      <w:pPr>
        <w:spacing w:after="0" w:line="12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(NOLs) and research and development credit carryforwards may be limited in the event a cumulative change in ownership of more than 50% occurs within a three-year period. The Company has completed a section 382 analysis through October 1, 2022 and concluded ownership changes occurred in 2011, 2013 and 2015. However, these ownership changes are not expected to result in a material limitation on future use of the Company’s NOLs and credit carryforwards generated prior to these ownership changes pursuant. Changes may have occurred in 2023 and may occur in the future that could limit the Company's ability to utilize tax attributes. Any adjustment to the Company's tax attributes as a result of such ownership changes will result in a corresponding decrease to the valuation allowance recorded against the Company's deferred tax assets.</w:t>
      </w:r>
    </w:p>
    <w:p>
      <w:pPr>
        <w:spacing w:after="0" w:line="140" w:lineRule="exact"/>
        <w:rPr>
          <w:sz w:val="20"/>
          <w:szCs w:val="20"/>
          <w:color w:val="auto"/>
        </w:rPr>
      </w:pPr>
    </w:p>
    <w:p>
      <w:pPr>
        <w:ind w:right="40" w:firstLine="318"/>
        <w:spacing w:after="0" w:line="290"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6"/>
                <w:szCs w:val="16"/>
                <w:b w:val="1"/>
                <w:bCs w:val="1"/>
                <w:color w:val="auto"/>
              </w:rPr>
              <w:t>Year Ended December 31,</w:t>
            </w:r>
          </w:p>
        </w:tc>
      </w:tr>
      <w:tr>
        <w:trPr>
          <w:trHeight w:val="166"/>
        </w:trPr>
        <w:tc>
          <w:tcPr>
            <w:tcW w:w="20" w:type="dxa"/>
            <w:vAlign w:val="bottom"/>
          </w:tcPr>
          <w:p>
            <w:pPr>
              <w:spacing w:after="0"/>
              <w:rPr>
                <w:sz w:val="14"/>
                <w:szCs w:val="14"/>
                <w:color w:val="auto"/>
              </w:rPr>
            </w:pPr>
          </w:p>
        </w:tc>
        <w:tc>
          <w:tcPr>
            <w:tcW w:w="74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4"/>
                <w:szCs w:val="14"/>
                <w:color w:val="auto"/>
              </w:rPr>
            </w:pPr>
          </w:p>
        </w:tc>
        <w:tc>
          <w:tcPr>
            <w:tcW w:w="1420" w:type="dxa"/>
            <w:vAlign w:val="bottom"/>
          </w:tcPr>
          <w:p>
            <w:pPr>
              <w:jc w:val="right"/>
              <w:ind w:right="654"/>
              <w:spacing w:after="0" w:line="16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53"/>
              <w:spacing w:after="0" w:line="165" w:lineRule="exact"/>
              <w:rPr>
                <w:sz w:val="20"/>
                <w:szCs w:val="20"/>
                <w:color w:val="auto"/>
              </w:rPr>
            </w:pPr>
            <w:r>
              <w:rPr>
                <w:rFonts w:ascii="Arial" w:cs="Arial" w:eastAsia="Arial" w:hAnsi="Arial"/>
                <w:sz w:val="16"/>
                <w:szCs w:val="16"/>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at the beginning of the year</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Increases related to current year positions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Increases/Decreases related to prior year positions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Expiration of unrecognized tax benefits</w:t>
            </w: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at the end of the year</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580" w:firstLine="318"/>
        <w:spacing w:after="0" w:line="274" w:lineRule="auto"/>
        <w:rPr>
          <w:sz w:val="20"/>
          <w:szCs w:val="20"/>
          <w:color w:val="auto"/>
        </w:rPr>
      </w:pPr>
      <w:r>
        <w:rPr>
          <w:rFonts w:ascii="Arial" w:cs="Arial" w:eastAsia="Arial" w:hAnsi="Arial"/>
          <w:sz w:val="18"/>
          <w:szCs w:val="18"/>
          <w:color w:val="auto"/>
        </w:rPr>
        <w:t>As of December 31, 2023 and 2022, the Company had $10.7 million and $9.4 million, respectively, of unrecognized tax benefits from research and development tax credits, none of which, if recognized, would affect the Company’s effective tax rate.</w:t>
      </w:r>
    </w:p>
    <w:p>
      <w:pPr>
        <w:spacing w:after="0" w:line="12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8"/>
          <w:szCs w:val="18"/>
          <w:color w:val="auto"/>
        </w:rPr>
        <w:t>The Company recognizes interest and penalties accrued related to unrecognized tax benefits in income tax expense. During the years ended December 31, 2023, 2022 and 2021, interest and penalties recognized were insignificant. The Company does not expect any significant increases or decreases to its unrecognized tax benefits within the next 12 months.</w:t>
      </w:r>
    </w:p>
    <w:p>
      <w:pPr>
        <w:spacing w:after="0" w:line="131"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8"/>
          <w:szCs w:val="18"/>
          <w:color w:val="auto"/>
        </w:rPr>
        <w:t>The Company files U.S. federal, state and foreign income tax returns in jurisdictions with varying statute of limitations. The Company’s tax years from 2011 (inception) are subject to examination by the US federal, state and foreign tax authorities due to the carry forward of unutilized tax attributes.</w:t>
      </w:r>
    </w:p>
    <w:p>
      <w:pPr>
        <w:spacing w:after="0" w:line="131" w:lineRule="exact"/>
        <w:rPr>
          <w:sz w:val="20"/>
          <w:szCs w:val="20"/>
          <w:color w:val="auto"/>
        </w:rPr>
      </w:pPr>
    </w:p>
    <w:p>
      <w:pPr>
        <w:ind w:right="680" w:firstLine="318"/>
        <w:spacing w:after="0" w:line="290" w:lineRule="auto"/>
        <w:rPr>
          <w:sz w:val="20"/>
          <w:szCs w:val="20"/>
          <w:color w:val="auto"/>
        </w:rPr>
      </w:pPr>
      <w:r>
        <w:rPr>
          <w:rFonts w:ascii="Arial" w:cs="Arial" w:eastAsia="Arial" w:hAnsi="Arial"/>
          <w:sz w:val="17"/>
          <w:szCs w:val="17"/>
          <w:color w:val="auto"/>
        </w:rPr>
        <w:t>With respect to the income of its foreign subsidiaries, the Company asserts the position that the undistributed earnings of its foreign subsidiaries are permanently invested in that jurisdiction. As a result, no additional income taxes have been provided on the possible repatriation of these earnings to the parent company. The Company does not have any unremitted earnings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Tax Cuts and Jobs Act subjects a U.S. shareholder to tax on Global Intangible Low-taxes Income (“GILTI”) earned by certain foreign subsidiaries. Pursuant to the FASB Staff Q&amp;A, Topic 740 No.5. Accounting for Global Intangible Low-taxed Income, the Company is allowed to make an accounting policy election to either recognize deferred taxes for temporary basis differences expected to reverse as GILTI in future years or to provide for the tax expense related to GILTI in the year the tax is incurred as period expense only. The Company has elected to account for GILTI in the year the tax is incurred.</w:t>
      </w:r>
    </w:p>
    <w:p>
      <w:pPr>
        <w:spacing w:after="0" w:line="120" w:lineRule="exact"/>
        <w:rPr>
          <w:sz w:val="20"/>
          <w:szCs w:val="20"/>
          <w:color w:val="auto"/>
        </w:rPr>
      </w:pPr>
    </w:p>
    <w:p>
      <w:pPr>
        <w:ind w:right="260" w:firstLine="318"/>
        <w:spacing w:after="0" w:line="275" w:lineRule="auto"/>
        <w:rPr>
          <w:sz w:val="20"/>
          <w:szCs w:val="20"/>
          <w:color w:val="auto"/>
        </w:rPr>
      </w:pPr>
      <w:r>
        <w:rPr>
          <w:rFonts w:ascii="Arial" w:cs="Arial" w:eastAsia="Arial" w:hAnsi="Arial"/>
          <w:sz w:val="18"/>
          <w:szCs w:val="18"/>
          <w:color w:val="auto"/>
        </w:rPr>
        <w:t>Deferred income taxes have not been provided for undistributed earnings of the Company’s consolidated foreign subsidiaries because of the Company's intent to reinvest such earnings indefinitely in active foreign operations. At December 31, 2023, the Company had $0 in unremitted earnings that were permanently reinvested related to its consolidated foreign 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 Available to Common Stockholders (“EPS”)</w:t>
      </w:r>
    </w:p>
    <w:p>
      <w:pPr>
        <w:spacing w:after="0" w:line="166" w:lineRule="exact"/>
        <w:rPr>
          <w:sz w:val="20"/>
          <w:szCs w:val="20"/>
          <w:color w:val="auto"/>
        </w:rPr>
      </w:pPr>
    </w:p>
    <w:p>
      <w:pPr>
        <w:ind w:right="300" w:firstLine="318"/>
        <w:spacing w:after="0" w:line="272" w:lineRule="auto"/>
        <w:rPr>
          <w:sz w:val="20"/>
          <w:szCs w:val="20"/>
          <w:color w:val="auto"/>
        </w:rPr>
      </w:pPr>
      <w:r>
        <w:rPr>
          <w:rFonts w:ascii="Arial" w:cs="Arial" w:eastAsia="Arial" w:hAnsi="Arial"/>
          <w:sz w:val="18"/>
          <w:szCs w:val="18"/>
          <w:color w:val="auto"/>
        </w:rPr>
        <w:t xml:space="preserve">The Company calculates basic and diluted net loss per share available to common stockholders in conformity with the two-class method required for companies with participating securities. Pursuant to ASU 2020-06, the Company applies the more dilutive of the if-converted method and the two-class method to its Notes.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6"/>
                <w:szCs w:val="16"/>
                <w:b w:val="1"/>
                <w:bCs w:val="1"/>
                <w:color w:val="auto"/>
                <w:w w:val="96"/>
              </w:rPr>
              <w:t>Year Ended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0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592"/>
              <w:spacing w:after="0"/>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(338,144)</w:t>
            </w:r>
          </w:p>
        </w:tc>
        <w:tc>
          <w:tcPr>
            <w:tcW w:w="5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(366,137)</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(182,105)</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income available to unvested restricted stockholders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stockholders—basic</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(338,144)</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(366,137)</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(182,105)</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64,300,099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63,622,432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63,172,368</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Dilutive effect of RSUs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share-settled obligation</w:t>
            </w:r>
          </w:p>
        </w:tc>
        <w:tc>
          <w:tcPr>
            <w:tcW w:w="40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gridSpan w:val="2"/>
          </w:tcPr>
          <w:p>
            <w:pPr>
              <w:ind w:left="160"/>
              <w:spacing w:after="0" w:line="225"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outstanding—diluted</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64,300,099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63,622,432</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63,172,368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gridSpan w:val="2"/>
          </w:tcPr>
          <w:p>
            <w:pPr>
              <w:spacing w:after="0" w:line="198" w:lineRule="exact"/>
              <w:rPr>
                <w:sz w:val="20"/>
                <w:szCs w:val="20"/>
                <w:color w:val="auto"/>
              </w:rPr>
            </w:pPr>
            <w:r>
              <w:rPr>
                <w:rFonts w:ascii="Arial" w:cs="Arial" w:eastAsia="Arial" w:hAnsi="Arial"/>
                <w:sz w:val="18"/>
                <w:szCs w:val="18"/>
                <w:color w:val="auto"/>
              </w:rPr>
              <w:t>Net loss per share available to common stockholders—basic</w:t>
            </w:r>
          </w:p>
        </w:tc>
        <w:tc>
          <w:tcPr>
            <w:tcW w:w="400" w:type="dxa"/>
            <w:vAlign w:val="bottom"/>
            <w:tcBorders>
              <w:top w:val="single" w:sz="8" w:color="auto"/>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(5.75)</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(2.88)</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45" w:lineRule="exact"/>
        <w:rPr>
          <w:sz w:val="20"/>
          <w:szCs w:val="20"/>
          <w:color w:val="auto"/>
        </w:rPr>
      </w:pPr>
    </w:p>
    <w:p>
      <w:pPr>
        <w:ind w:left="240" w:right="500" w:hanging="234"/>
        <w:spacing w:after="0" w:line="304" w:lineRule="auto"/>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As the Company recorded a net loss in the years ended </w:t>
      </w:r>
      <w:r>
        <w:rPr>
          <w:rFonts w:ascii="Arial" w:cs="Arial" w:eastAsia="Arial" w:hAnsi="Arial"/>
          <w:sz w:val="17"/>
          <w:szCs w:val="17"/>
          <w:color w:val="auto"/>
        </w:rPr>
        <w:t>December 31, 2023, 2022 and 2021</w:t>
      </w:r>
      <w:r>
        <w:rPr>
          <w:rFonts w:ascii="Arial" w:cs="Arial" w:eastAsia="Arial" w:hAnsi="Arial"/>
          <w:sz w:val="16"/>
          <w:szCs w:val="16"/>
          <w:color w:val="auto"/>
        </w:rPr>
        <w:t xml:space="preserve">, inclusion of shares from the conversion premium or spread would be anti-dilutive. The Company had $1.2 billion and Notes outstanding during the year ended </w:t>
      </w:r>
      <w:r>
        <w:rPr>
          <w:rFonts w:ascii="Arial" w:cs="Arial" w:eastAsia="Arial" w:hAnsi="Arial"/>
          <w:sz w:val="17"/>
          <w:szCs w:val="17"/>
          <w:color w:val="auto"/>
        </w:rPr>
        <w:t>December 31, 2023, 2022 and 2021</w:t>
      </w:r>
      <w:r>
        <w:rPr>
          <w:rFonts w:ascii="Arial" w:cs="Arial" w:eastAsia="Arial" w:hAnsi="Arial"/>
          <w:sz w:val="16"/>
          <w:szCs w:val="16"/>
          <w:color w:val="auto"/>
        </w:rPr>
        <w:t>.</w:t>
      </w:r>
    </w:p>
    <w:p>
      <w:pPr>
        <w:spacing w:after="0" w:line="379"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loss per share available to common stockholders for the periods presented because the impact of including them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99"/>
              </w:rPr>
              <w:t>Year Ended December 31,</w:t>
            </w:r>
          </w:p>
        </w:tc>
        <w:tc>
          <w:tcPr>
            <w:tcW w:w="1700" w:type="dxa"/>
            <w:vAlign w:val="bottom"/>
            <w:tcBorders>
              <w:bottom w:val="single" w:sz="8" w:color="auto"/>
            </w:tcBorders>
          </w:tcPr>
          <w:p>
            <w:pPr>
              <w:spacing w:after="0"/>
              <w:rPr>
                <w:sz w:val="18"/>
                <w:szCs w:val="18"/>
                <w:color w:val="auto"/>
              </w:rPr>
            </w:pPr>
          </w:p>
        </w:tc>
      </w:tr>
      <w:tr>
        <w:trPr>
          <w:trHeight w:val="232"/>
        </w:trPr>
        <w:tc>
          <w:tcPr>
            <w:tcW w:w="584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840" w:type="dxa"/>
            <w:vAlign w:val="bottom"/>
            <w:gridSpan w:val="2"/>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20"/>
                <w:szCs w:val="20"/>
                <w:color w:val="auto"/>
              </w:rPr>
            </w:pPr>
          </w:p>
        </w:tc>
        <w:tc>
          <w:tcPr>
            <w:tcW w:w="1700" w:type="dxa"/>
            <w:vAlign w:val="bottom"/>
          </w:tcPr>
          <w:p>
            <w:pPr>
              <w:jc w:val="right"/>
              <w:ind w:right="574"/>
              <w:spacing w:after="0"/>
              <w:rPr>
                <w:sz w:val="20"/>
                <w:szCs w:val="20"/>
                <w:color w:val="auto"/>
              </w:rPr>
            </w:pPr>
            <w:r>
              <w:rPr>
                <w:rFonts w:ascii="Arial" w:cs="Arial" w:eastAsia="Arial" w:hAnsi="Arial"/>
                <w:sz w:val="16"/>
                <w:szCs w:val="16"/>
                <w:b w:val="1"/>
                <w:bCs w:val="1"/>
                <w:color w:val="auto"/>
              </w:rPr>
              <w:t>2021</w:t>
            </w:r>
          </w:p>
        </w:tc>
      </w:tr>
      <w:tr>
        <w:trPr>
          <w:trHeight w:val="152"/>
        </w:trPr>
        <w:tc>
          <w:tcPr>
            <w:tcW w:w="584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color w:val="auto"/>
                <w:w w:val="96"/>
              </w:rPr>
              <w:t>FN</w:t>
            </w:r>
          </w:p>
        </w:tc>
        <w:tc>
          <w:tcPr>
            <w:tcW w:w="1700" w:type="dxa"/>
            <w:vAlign w:val="bottom"/>
            <w:tcBorders>
              <w:top w:val="single" w:sz="8" w:color="auto"/>
            </w:tcBorders>
            <w:shd w:val="clear" w:color="auto" w:fill="CCEEFF"/>
          </w:tcPr>
          <w:p>
            <w:pPr>
              <w:spacing w:after="0"/>
              <w:rPr>
                <w:sz w:val="13"/>
                <w:szCs w:val="13"/>
                <w:color w:val="auto"/>
              </w:rPr>
            </w:pPr>
          </w:p>
        </w:tc>
      </w:tr>
      <w:tr>
        <w:trPr>
          <w:trHeight w:val="182"/>
        </w:trPr>
        <w:tc>
          <w:tcPr>
            <w:tcW w:w="5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87"/>
              </w:rPr>
              <w:t>12,</w:t>
            </w:r>
          </w:p>
        </w:tc>
        <w:tc>
          <w:tcPr>
            <w:tcW w:w="1700" w:type="dxa"/>
            <w:vAlign w:val="bottom"/>
            <w:shd w:val="clear" w:color="auto" w:fill="CCEEFF"/>
          </w:tcPr>
          <w:p>
            <w:pPr>
              <w:spacing w:after="0"/>
              <w:rPr>
                <w:sz w:val="15"/>
                <w:szCs w:val="15"/>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4,477,120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3,999,933</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PY</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3,956,364</w:t>
            </w:r>
          </w:p>
        </w:tc>
      </w:tr>
      <w:tr>
        <w:trPr>
          <w:trHeight w:val="172"/>
        </w:trPr>
        <w:tc>
          <w:tcPr>
            <w:tcW w:w="5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ind w:left="20"/>
              <w:spacing w:after="0" w:line="172" w:lineRule="exact"/>
              <w:rPr>
                <w:sz w:val="20"/>
                <w:szCs w:val="20"/>
                <w:color w:val="auto"/>
              </w:rPr>
            </w:pPr>
            <w:r>
              <w:rPr>
                <w:rFonts w:ascii="Arial" w:cs="Arial" w:eastAsia="Arial" w:hAnsi="Arial"/>
                <w:sz w:val="18"/>
                <w:szCs w:val="18"/>
                <w:color w:val="auto"/>
                <w:w w:val="91"/>
              </w:rPr>
              <w:t>FN</w:t>
            </w:r>
          </w:p>
        </w:tc>
        <w:tc>
          <w:tcPr>
            <w:tcW w:w="1700" w:type="dxa"/>
            <w:vAlign w:val="bottom"/>
          </w:tcPr>
          <w:p>
            <w:pPr>
              <w:spacing w:after="0"/>
              <w:rPr>
                <w:sz w:val="14"/>
                <w:szCs w:val="14"/>
                <w:color w:val="auto"/>
              </w:rPr>
            </w:pPr>
          </w:p>
        </w:tc>
      </w:tr>
      <w:tr>
        <w:trPr>
          <w:trHeight w:val="182"/>
        </w:trPr>
        <w:tc>
          <w:tcPr>
            <w:tcW w:w="5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w w:val="87"/>
              </w:rPr>
              <w:t>12,</w:t>
            </w:r>
          </w:p>
        </w:tc>
        <w:tc>
          <w:tcPr>
            <w:tcW w:w="1700" w:type="dxa"/>
            <w:vAlign w:val="bottom"/>
          </w:tcPr>
          <w:p>
            <w:pPr>
              <w:spacing w:after="0"/>
              <w:rPr>
                <w:sz w:val="15"/>
                <w:szCs w:val="15"/>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00" w:type="dxa"/>
            <w:vAlign w:val="bottom"/>
          </w:tcPr>
          <w:p>
            <w:pPr>
              <w:jc w:val="right"/>
              <w:spacing w:after="0"/>
              <w:rPr>
                <w:sz w:val="20"/>
                <w:szCs w:val="20"/>
                <w:color w:val="auto"/>
              </w:rPr>
            </w:pPr>
            <w:r>
              <w:rPr>
                <w:rFonts w:ascii="Arial" w:cs="Arial" w:eastAsia="Arial" w:hAnsi="Arial"/>
                <w:sz w:val="18"/>
                <w:szCs w:val="18"/>
                <w:color w:val="auto"/>
              </w:rPr>
              <w:t>1,411,310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993,313</w:t>
            </w:r>
          </w:p>
        </w:tc>
        <w:tc>
          <w:tcPr>
            <w:tcW w:w="260" w:type="dxa"/>
            <w:vAlign w:val="bottom"/>
          </w:tcPr>
          <w:p>
            <w:pPr>
              <w:ind w:left="20"/>
              <w:spacing w:after="0"/>
              <w:rPr>
                <w:sz w:val="20"/>
                <w:szCs w:val="20"/>
                <w:color w:val="auto"/>
              </w:rPr>
            </w:pPr>
            <w:r>
              <w:rPr>
                <w:rFonts w:ascii="Arial" w:cs="Arial" w:eastAsia="Arial" w:hAnsi="Arial"/>
                <w:sz w:val="18"/>
                <w:szCs w:val="18"/>
                <w:color w:val="auto"/>
                <w:w w:val="91"/>
              </w:rPr>
              <w:t>PY</w:t>
            </w:r>
          </w:p>
        </w:tc>
        <w:tc>
          <w:tcPr>
            <w:tcW w:w="1700" w:type="dxa"/>
            <w:vAlign w:val="bottom"/>
          </w:tcPr>
          <w:p>
            <w:pPr>
              <w:jc w:val="right"/>
              <w:spacing w:after="0"/>
              <w:rPr>
                <w:sz w:val="20"/>
                <w:szCs w:val="20"/>
                <w:color w:val="auto"/>
              </w:rPr>
            </w:pPr>
            <w:r>
              <w:rPr>
                <w:rFonts w:ascii="Arial" w:cs="Arial" w:eastAsia="Arial" w:hAnsi="Arial"/>
                <w:sz w:val="18"/>
                <w:szCs w:val="18"/>
                <w:color w:val="auto"/>
              </w:rPr>
              <w:t>608,175</w:t>
            </w:r>
          </w:p>
        </w:tc>
      </w:tr>
      <w:tr>
        <w:trPr>
          <w:trHeight w:val="243"/>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5,888,430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4,993,246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4,564,539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TPP</w:t>
      </w:r>
    </w:p>
    <w:p>
      <w:pPr>
        <w:spacing w:after="0" w:line="164"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 xml:space="preserve">In connection with the Company’s investment in TPP, a joint venture with PepsiCo, Inc., the Company sold certain products directly to the joint venture. In the year ended December 31, 2022, the Company also entered into an agreement for a nonrefundable up-front fee associated with its manufacturing and supply agreement with TPP. As part of renegotiating certain contracts and changing operating activities related to Beyond Meat Jerky, in the first quarter of 2023, the Company recognized in full the remaining balance of this fee. See </w:t>
      </w:r>
      <w:r>
        <w:rPr>
          <w:rFonts w:ascii="Arial" w:cs="Arial" w:eastAsia="Arial" w:hAnsi="Arial"/>
          <w:sz w:val="17"/>
          <w:szCs w:val="17"/>
          <w:u w:val="single" w:color="auto"/>
          <w:color w:val="0000FF"/>
        </w:rPr>
        <w:t>Note 10</w:t>
      </w:r>
      <w:r>
        <w:rPr>
          <w:rFonts w:ascii="Arial" w:cs="Arial" w:eastAsia="Arial" w:hAnsi="Arial"/>
          <w:sz w:val="17"/>
          <w:szCs w:val="17"/>
          <w:color w:val="auto"/>
        </w:rPr>
        <w:t>.</w:t>
      </w:r>
    </w:p>
    <w:p>
      <w:pPr>
        <w:spacing w:after="0" w:line="115"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Net revenues earned from TPP included in U.S. retail channel net revenues were $5.3 million, $33.5 million and $0 for the years ended December 31, 2023, 2022 and 2021, respectively.</w:t>
      </w:r>
    </w:p>
    <w:p>
      <w:pPr>
        <w:spacing w:after="0" w:line="124" w:lineRule="exact"/>
        <w:rPr>
          <w:sz w:val="20"/>
          <w:szCs w:val="20"/>
          <w:color w:val="auto"/>
        </w:rPr>
      </w:pPr>
    </w:p>
    <w:p>
      <w:pPr>
        <w:ind w:right="60" w:firstLine="318"/>
        <w:spacing w:after="0" w:line="267" w:lineRule="auto"/>
        <w:rPr>
          <w:sz w:val="20"/>
          <w:szCs w:val="20"/>
          <w:color w:val="auto"/>
        </w:rPr>
      </w:pPr>
      <w:r>
        <w:rPr>
          <w:rFonts w:ascii="Arial" w:cs="Arial" w:eastAsia="Arial" w:hAnsi="Arial"/>
          <w:sz w:val="18"/>
          <w:szCs w:val="18"/>
          <w:color w:val="auto"/>
        </w:rPr>
        <w:t>Accounts receivable from TPP were $0 and $0.4 million at December 31, 2023 and 2022, respectively. Unrecognized revenues associated with the up-front fee charged to TPP were $0 million and $2.0 million and included in "Accrued expenses and other current liabilities" in the Company's consolidated balance sheet as of December 31, 2023 and December 31, 2022,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In 2022, the Company entered into a Master Services Agreement with CA Consulting LLC, a restaurant, food tech and beverage consulting firm, led by Don Thompson, one of the former directors on the Company’s Board of Directors who served until the end of his term in May 2021, for strategic consulting services rendered by CA Consulting LLC. In 2021, the Company accrued $1.0 million in payment towards these consulting services and paid it in 2022. The Company did not incur any such costs in 2023 or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Termination of Purchase Agreement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Given the Company’s intention to reduce its overall operating expenses and cash expenditures, on February 2, 2024, the Company</w:t>
      </w:r>
    </w:p>
    <w:p>
      <w:pPr>
        <w:spacing w:after="0" w:line="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terminated the agreement to purchase a property in Enschede, the Netherlands and the security deposit was returned to the Company. The Company entered into a lease agreement with the subsequent purchaser of the property to lease the approximately 114,000 square foot property for an initial period of five years with an option to renew for an additional five years at a first year annual rent of approximately €1.0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4"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10"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10"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Based on our evaluation under the framework set forth in Internal Control - Integrated Framework (2013), our management concluded that our internal control over financial reporting was effective as of December 31, 2023.</w:t>
      </w:r>
    </w:p>
    <w:p>
      <w:pPr>
        <w:spacing w:after="0" w:line="109" w:lineRule="exact"/>
        <w:rPr>
          <w:sz w:val="20"/>
          <w:szCs w:val="20"/>
          <w:color w:val="auto"/>
        </w:rPr>
      </w:pPr>
    </w:p>
    <w:p>
      <w:pPr>
        <w:ind w:right="260" w:firstLine="318"/>
        <w:spacing w:after="0" w:line="274" w:lineRule="auto"/>
        <w:rPr>
          <w:sz w:val="20"/>
          <w:szCs w:val="20"/>
          <w:color w:val="auto"/>
        </w:rPr>
      </w:pPr>
      <w:r>
        <w:rPr>
          <w:rFonts w:ascii="Arial" w:cs="Arial" w:eastAsia="Arial" w:hAnsi="Arial"/>
          <w:sz w:val="18"/>
          <w:szCs w:val="18"/>
          <w:color w:val="auto"/>
        </w:rPr>
        <w:t>The effectiveness of our internal control over financial reporting as of December 31, 2023 has been audited by Deloitte &amp; Touche LLP, an independent registered public accounting firm, as stated in its report which is included below.</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Attestation Report of Independent Registered Public Accounting Firm on Internal Control Over Financial Reporting</w:t>
      </w:r>
    </w:p>
    <w:p>
      <w:pPr>
        <w:spacing w:after="0" w:line="164"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The attestation report of the independent registered public accounting firm, Deloitte &amp; Touche LLP, on the Company’s internal control over financial reporting is included below under the heading “Report of Independent Registered Public Accounting Firm.”</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64" w:lineRule="exact"/>
        <w:rPr>
          <w:sz w:val="20"/>
          <w:szCs w:val="20"/>
          <w:color w:val="auto"/>
        </w:rPr>
      </w:pPr>
    </w:p>
    <w:p>
      <w:pPr>
        <w:ind w:firstLine="318"/>
        <w:spacing w:after="0" w:line="283"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39" w:name="page140"/>
    <w:bookmarkEnd w:id="139"/>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Beyond Meat,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audited the internal control over financial reporting of Beyond Meat,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62"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March 1, 2024, expressed an unqualified opinion on those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March 1,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During the quarter ended December 31, 2023, no director or officer of the Company adopted or terminated a “Rule 10b5-1 trading arrangement” or “non-Rule 10b5-1 trading arrangement,” as each term is defined in Item 408 of Regulation 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40"/>
          </w:cols>
          <w:pgMar w:left="320" w:top="1440" w:right="1139" w:bottom="1440" w:gutter="0" w:footer="0" w:header="0"/>
        </w:sectPr>
      </w:pPr>
    </w:p>
    <w:bookmarkStart w:id="141" w:name="page142"/>
    <w:bookmarkEnd w:id="141"/>
    <w:p>
      <w:pPr>
        <w:spacing w:after="0" w:line="11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by reference. The Proxy Statement will be filed with the SEC within 120 days of the fiscal year ended December 31, 2023.</w:t>
      </w:r>
    </w:p>
    <w:p>
      <w:pPr>
        <w:spacing w:after="0" w:line="96" w:lineRule="exact"/>
        <w:rPr>
          <w:sz w:val="20"/>
          <w:szCs w:val="20"/>
          <w:color w:val="auto"/>
        </w:rPr>
      </w:pPr>
    </w:p>
    <w:p>
      <w:pPr>
        <w:ind w:right="220" w:firstLine="318"/>
        <w:spacing w:after="0" w:line="263"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https://investors.beyondmeat.com/investor-relations. We will post any amendments to our code of business conduct and ethics other than technical, administrative or other non-substantive amendments, or waivers of its requirements, on our website or in a Form 8-K filed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2023.</w:t>
      </w:r>
    </w:p>
    <w:p>
      <w:pPr>
        <w:spacing w:after="0" w:line="107" w:lineRule="exact"/>
        <w:rPr>
          <w:sz w:val="20"/>
          <w:szCs w:val="20"/>
          <w:color w:val="auto"/>
        </w:rPr>
      </w:pPr>
    </w:p>
    <w:p>
      <w:pPr>
        <w:ind w:right="800"/>
        <w:spacing w:after="0" w:line="28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8"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6"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2" w:name="page143"/>
    <w:bookmarkEnd w:id="142"/>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Index to Financial Statements in Item 8 of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66"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2"/>
          </w:tcPr>
          <w:p>
            <w:pPr>
              <w:ind w:left="50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160" w:type="dxa"/>
            <w:vAlign w:val="bottom"/>
            <w:gridSpan w:val="17"/>
            <w:vMerge w:val="restart"/>
          </w:tcPr>
          <w:p>
            <w:pPr>
              <w:ind w:left="66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60" w:type="dxa"/>
            <w:vAlign w:val="bottom"/>
            <w:gridSpan w:val="17"/>
            <w:vMerge w:val="continue"/>
          </w:tcPr>
          <w:p>
            <w:pPr>
              <w:spacing w:after="0"/>
              <w:rPr>
                <w:sz w:val="20"/>
                <w:szCs w:val="20"/>
                <w:color w:val="auto"/>
              </w:rPr>
            </w:pPr>
          </w:p>
        </w:tc>
        <w:tc>
          <w:tcPr>
            <w:tcW w:w="340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9"/>
        </w:trPr>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bottom w:val="single" w:sz="8" w:color="CCEEFF"/>
            </w:tcBorders>
            <w:shd w:val="clear" w:color="auto" w:fill="CCEEFF"/>
          </w:tcPr>
          <w:p>
            <w:pPr>
              <w:jc w:val="center"/>
              <w:spacing w:after="0" w:line="165" w:lineRule="exact"/>
              <w:rPr>
                <w:sz w:val="20"/>
                <w:szCs w:val="20"/>
                <w:color w:val="auto"/>
              </w:rPr>
            </w:pPr>
            <w:r>
              <w:rPr>
                <w:rFonts w:ascii="Arial" w:cs="Arial" w:eastAsia="Arial" w:hAnsi="Arial"/>
                <w:sz w:val="18"/>
                <w:szCs w:val="18"/>
                <w:color w:val="auto"/>
                <w:w w:val="95"/>
              </w:rPr>
              <w:t>3.1</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920" w:type="dxa"/>
            <w:vAlign w:val="bottom"/>
            <w:tcBorders>
              <w:top w:val="single" w:sz="8" w:color="CCEEFF"/>
              <w:bottom w:val="single" w:sz="8" w:color="0000FF"/>
              <w:right w:val="single" w:sz="8" w:color="CCEEFF"/>
            </w:tcBorders>
            <w:gridSpan w:val="6"/>
            <w:shd w:val="clear" w:color="auto" w:fill="CCEEFF"/>
          </w:tcPr>
          <w:p>
            <w:pPr>
              <w:spacing w:after="0" w:line="146" w:lineRule="exact"/>
              <w:rPr>
                <w:rFonts w:ascii="Arial" w:cs="Arial" w:eastAsia="Arial" w:hAnsi="Arial"/>
                <w:sz w:val="15"/>
                <w:szCs w:val="15"/>
                <w:color w:val="0000FF"/>
              </w:rPr>
            </w:pPr>
            <w:hyperlink r:id="rId197">
              <w:r>
                <w:rPr>
                  <w:rFonts w:ascii="Arial" w:cs="Arial" w:eastAsia="Arial" w:hAnsi="Arial"/>
                  <w:sz w:val="15"/>
                  <w:szCs w:val="15"/>
                  <w:color w:val="0000FF"/>
                </w:rPr>
                <w:t>Restated Certificate of Incorporation.</w:t>
              </w:r>
            </w:hyperlink>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jc w:val="center"/>
              <w:spacing w:after="0" w:line="165" w:lineRule="exact"/>
              <w:rPr>
                <w:sz w:val="20"/>
                <w:szCs w:val="20"/>
                <w:color w:val="auto"/>
              </w:rPr>
            </w:pPr>
            <w:r>
              <w:rPr>
                <w:rFonts w:ascii="Arial" w:cs="Arial" w:eastAsia="Arial" w:hAnsi="Arial"/>
                <w:sz w:val="18"/>
                <w:szCs w:val="18"/>
                <w:color w:val="auto"/>
                <w:w w:val="99"/>
              </w:rPr>
              <w:t>10-Q</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jc w:val="center"/>
              <w:spacing w:after="0" w:line="165" w:lineRule="exact"/>
              <w:rPr>
                <w:sz w:val="20"/>
                <w:szCs w:val="20"/>
                <w:color w:val="auto"/>
              </w:rPr>
            </w:pPr>
            <w:r>
              <w:rPr>
                <w:rFonts w:ascii="Arial" w:cs="Arial" w:eastAsia="Arial" w:hAnsi="Arial"/>
                <w:sz w:val="18"/>
                <w:szCs w:val="18"/>
                <w:color w:val="auto"/>
                <w:w w:val="97"/>
              </w:rPr>
              <w:t>6/12/2019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center"/>
              <w:spacing w:after="0" w:line="165"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8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40" w:type="dxa"/>
            <w:vAlign w:val="bottom"/>
            <w:tcBorders>
              <w:top w:val="single" w:sz="8" w:color="CCEEFF"/>
            </w:tcBorders>
          </w:tcPr>
          <w:p>
            <w:pPr>
              <w:spacing w:after="0"/>
              <w:rPr>
                <w:sz w:val="16"/>
                <w:szCs w:val="16"/>
                <w:color w:val="auto"/>
              </w:rPr>
            </w:pPr>
          </w:p>
        </w:tc>
        <w:tc>
          <w:tcPr>
            <w:tcW w:w="5280" w:type="dxa"/>
            <w:vAlign w:val="bottom"/>
            <w:tcBorders>
              <w:top w:val="single" w:sz="8" w:color="CCEEFF"/>
            </w:tcBorders>
            <w:gridSpan w:val="19"/>
          </w:tcPr>
          <w:p>
            <w:pPr>
              <w:spacing w:after="0" w:line="186" w:lineRule="exact"/>
              <w:rPr>
                <w:rFonts w:ascii="Arial" w:cs="Arial" w:eastAsia="Arial" w:hAnsi="Arial"/>
                <w:sz w:val="18"/>
                <w:szCs w:val="18"/>
                <w:color w:val="0000FF"/>
              </w:rPr>
            </w:pPr>
            <w:hyperlink r:id="rId198">
              <w:r>
                <w:rPr>
                  <w:rFonts w:ascii="Arial" w:cs="Arial" w:eastAsia="Arial" w:hAnsi="Arial"/>
                  <w:sz w:val="18"/>
                  <w:szCs w:val="18"/>
                  <w:color w:val="0000FF"/>
                </w:rPr>
                <w:t>Amended and Restated Bylaws</w:t>
              </w:r>
            </w:hyperlink>
            <w:r>
              <w:rPr>
                <w:rFonts w:ascii="Arial" w:cs="Arial" w:eastAsia="Arial" w:hAnsi="Arial"/>
                <w:sz w:val="18"/>
                <w:szCs w:val="18"/>
                <w:color w:val="000000"/>
              </w:rPr>
              <w:t>.</w:t>
            </w:r>
          </w:p>
        </w:tc>
        <w:tc>
          <w:tcPr>
            <w:tcW w:w="940" w:type="dxa"/>
            <w:vAlign w:val="bottom"/>
            <w:tcBorders>
              <w:top w:val="single" w:sz="8" w:color="CCEEFF"/>
            </w:tcBorders>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7"/>
              </w:rPr>
              <w:t>2/13/2024</w:t>
            </w:r>
          </w:p>
        </w:tc>
        <w:tc>
          <w:tcPr>
            <w:tcW w:w="1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19"/>
            <w:shd w:val="clear" w:color="auto" w:fill="CCEEFF"/>
          </w:tcPr>
          <w:p>
            <w:pPr>
              <w:spacing w:after="0" w:line="195" w:lineRule="exact"/>
              <w:rPr>
                <w:rFonts w:ascii="Arial" w:cs="Arial" w:eastAsia="Arial" w:hAnsi="Arial"/>
                <w:sz w:val="18"/>
                <w:szCs w:val="18"/>
                <w:color w:val="0000FF"/>
              </w:rPr>
            </w:pPr>
            <w:hyperlink r:id="rId199">
              <w:r>
                <w:rPr>
                  <w:rFonts w:ascii="Arial" w:cs="Arial" w:eastAsia="Arial" w:hAnsi="Arial"/>
                  <w:sz w:val="18"/>
                  <w:szCs w:val="18"/>
                  <w:color w:val="0000FF"/>
                </w:rPr>
                <w:t>Form of Common Stock Certificate.</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3/27/2019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40" w:type="dxa"/>
            <w:vAlign w:val="bottom"/>
          </w:tcPr>
          <w:p>
            <w:pPr>
              <w:spacing w:after="0"/>
              <w:rPr>
                <w:sz w:val="16"/>
                <w:szCs w:val="16"/>
                <w:color w:val="auto"/>
              </w:rPr>
            </w:pPr>
          </w:p>
        </w:tc>
        <w:tc>
          <w:tcPr>
            <w:tcW w:w="5280" w:type="dxa"/>
            <w:vAlign w:val="bottom"/>
            <w:gridSpan w:val="19"/>
          </w:tcPr>
          <w:p>
            <w:pPr>
              <w:spacing w:after="0" w:line="186" w:lineRule="exact"/>
              <w:rPr>
                <w:rFonts w:ascii="Arial" w:cs="Arial" w:eastAsia="Arial" w:hAnsi="Arial"/>
                <w:sz w:val="18"/>
                <w:szCs w:val="18"/>
                <w:color w:val="0000FF"/>
              </w:rPr>
            </w:pPr>
            <w:hyperlink r:id="rId200">
              <w:r>
                <w:rPr>
                  <w:rFonts w:ascii="Arial" w:cs="Arial" w:eastAsia="Arial" w:hAnsi="Arial"/>
                  <w:sz w:val="18"/>
                  <w:szCs w:val="18"/>
                  <w:color w:val="0000FF"/>
                </w:rPr>
                <w:t>Amended and Restated Investors’ Rights Agreement, dated as of</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00">
              <w:r>
                <w:rPr>
                  <w:rFonts w:ascii="Arial" w:cs="Arial" w:eastAsia="Arial" w:hAnsi="Arial"/>
                  <w:sz w:val="17"/>
                  <w:szCs w:val="17"/>
                  <w:color w:val="0000FF"/>
                </w:rPr>
                <w:t>October 5, 2018, by and among the Registrant and the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tcBorders>
              <w:top w:val="single" w:sz="8" w:color="0000FF"/>
            </w:tcBorders>
            <w:gridSpan w:val="10"/>
          </w:tcPr>
          <w:p>
            <w:pPr>
              <w:spacing w:after="0" w:line="152" w:lineRule="exact"/>
              <w:rPr>
                <w:rFonts w:ascii="Arial" w:cs="Arial" w:eastAsia="Arial" w:hAnsi="Arial"/>
                <w:sz w:val="17"/>
                <w:szCs w:val="17"/>
                <w:color w:val="0000FF"/>
              </w:rPr>
            </w:pPr>
            <w:hyperlink r:id="rId200">
              <w:r>
                <w:rPr>
                  <w:rFonts w:ascii="Arial" w:cs="Arial" w:eastAsia="Arial" w:hAnsi="Arial"/>
                  <w:sz w:val="17"/>
                  <w:szCs w:val="17"/>
                  <w:color w:val="0000FF"/>
                </w:rPr>
                <w:t>parties thereto</w:t>
              </w:r>
              <w:r>
                <w:rPr>
                  <w:rFonts w:ascii="Arial" w:cs="Arial" w:eastAsia="Arial" w:hAnsi="Arial"/>
                  <w:sz w:val="17"/>
                  <w:szCs w:val="17"/>
                  <w:color w:val="000000"/>
                </w:rPr>
                <w:t>.</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4.3</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19"/>
            <w:shd w:val="clear" w:color="auto" w:fill="CCEEFF"/>
          </w:tcPr>
          <w:p>
            <w:pPr>
              <w:spacing w:after="0" w:line="186" w:lineRule="exact"/>
              <w:rPr>
                <w:rFonts w:ascii="Arial" w:cs="Arial" w:eastAsia="Arial" w:hAnsi="Arial"/>
                <w:sz w:val="18"/>
                <w:szCs w:val="18"/>
                <w:color w:val="0000FF"/>
              </w:rPr>
            </w:pPr>
            <w:hyperlink r:id="rId201">
              <w:r>
                <w:rPr>
                  <w:rFonts w:ascii="Arial" w:cs="Arial" w:eastAsia="Arial" w:hAnsi="Arial"/>
                  <w:sz w:val="18"/>
                  <w:szCs w:val="18"/>
                  <w:color w:val="0000FF"/>
                </w:rPr>
                <w:t>Description of Registrant’s Securities.</w:t>
              </w:r>
            </w:hyperlink>
          </w:p>
        </w:tc>
        <w:tc>
          <w:tcPr>
            <w:tcW w:w="940" w:type="dxa"/>
            <w:vAlign w:val="bottom"/>
            <w:gridSpan w:val="2"/>
            <w:shd w:val="clear" w:color="auto" w:fill="CCEEFF"/>
          </w:tcPr>
          <w:p>
            <w:pPr>
              <w:jc w:val="center"/>
              <w:ind w:right="120"/>
              <w:spacing w:after="0" w:line="186"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3/1/2023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5"/>
              </w:rPr>
              <w:t>4.4</w:t>
            </w:r>
          </w:p>
        </w:tc>
        <w:tc>
          <w:tcPr>
            <w:tcW w:w="140" w:type="dxa"/>
            <w:vAlign w:val="bottom"/>
          </w:tcPr>
          <w:p>
            <w:pPr>
              <w:spacing w:after="0"/>
              <w:rPr>
                <w:sz w:val="16"/>
                <w:szCs w:val="16"/>
                <w:color w:val="auto"/>
              </w:rPr>
            </w:pPr>
          </w:p>
        </w:tc>
        <w:tc>
          <w:tcPr>
            <w:tcW w:w="5280" w:type="dxa"/>
            <w:vAlign w:val="bottom"/>
            <w:gridSpan w:val="19"/>
          </w:tcPr>
          <w:p>
            <w:pPr>
              <w:spacing w:after="0" w:line="186" w:lineRule="exact"/>
              <w:rPr>
                <w:rFonts w:ascii="Arial" w:cs="Arial" w:eastAsia="Arial" w:hAnsi="Arial"/>
                <w:sz w:val="18"/>
                <w:szCs w:val="18"/>
                <w:color w:val="0000FF"/>
              </w:rPr>
            </w:pPr>
            <w:hyperlink r:id="rId202">
              <w:r>
                <w:rPr>
                  <w:rFonts w:ascii="Arial" w:cs="Arial" w:eastAsia="Arial" w:hAnsi="Arial"/>
                  <w:sz w:val="18"/>
                  <w:szCs w:val="18"/>
                  <w:color w:val="0000FF"/>
                </w:rPr>
                <w:t>Indenture, dated as of March 5, 2021, between Beyond Meat, Inc.</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3/5/2021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6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02">
              <w:r>
                <w:rPr>
                  <w:rFonts w:ascii="Arial" w:cs="Arial" w:eastAsia="Arial" w:hAnsi="Arial"/>
                  <w:sz w:val="17"/>
                  <w:szCs w:val="17"/>
                  <w:color w:val="0000FF"/>
                </w:rPr>
                <w:t>and U.S. Bank National Association, as trustee.</w:t>
              </w:r>
            </w:hyperlink>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4.5</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19"/>
            <w:shd w:val="clear" w:color="auto" w:fill="CCEEFF"/>
          </w:tcPr>
          <w:p>
            <w:pPr>
              <w:spacing w:after="0" w:line="186" w:lineRule="exact"/>
              <w:rPr>
                <w:rFonts w:ascii="Arial" w:cs="Arial" w:eastAsia="Arial" w:hAnsi="Arial"/>
                <w:sz w:val="18"/>
                <w:szCs w:val="18"/>
                <w:color w:val="0000FF"/>
              </w:rPr>
            </w:pPr>
            <w:hyperlink r:id="rId202">
              <w:r>
                <w:rPr>
                  <w:rFonts w:ascii="Arial" w:cs="Arial" w:eastAsia="Arial" w:hAnsi="Arial"/>
                  <w:sz w:val="18"/>
                  <w:szCs w:val="18"/>
                  <w:color w:val="0000FF"/>
                </w:rPr>
                <w:t>Form of certificate representing 0% Convertible Senior Notes due</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3/5/2021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02">
              <w:r>
                <w:rPr>
                  <w:rFonts w:ascii="Arial" w:cs="Arial" w:eastAsia="Arial" w:hAnsi="Arial"/>
                  <w:sz w:val="17"/>
                  <w:szCs w:val="17"/>
                  <w:color w:val="0000FF"/>
                </w:rPr>
                <w:t>2027 (included as Exhibit A in Exhibit 4.1 to the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120" w:type="dxa"/>
            <w:vAlign w:val="bottom"/>
            <w:tcBorders>
              <w:top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202">
              <w:r>
                <w:rPr>
                  <w:rFonts w:ascii="Arial" w:cs="Arial" w:eastAsia="Arial" w:hAnsi="Arial"/>
                  <w:sz w:val="17"/>
                  <w:szCs w:val="17"/>
                  <w:color w:val="0000FF"/>
                </w:rPr>
                <w:t>3/5/21).</w:t>
              </w:r>
            </w:hyperlink>
          </w:p>
        </w:tc>
        <w:tc>
          <w:tcPr>
            <w:tcW w:w="134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54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40" w:type="dxa"/>
            <w:vAlign w:val="bottom"/>
          </w:tcPr>
          <w:p>
            <w:pPr>
              <w:spacing w:after="0"/>
              <w:rPr>
                <w:sz w:val="16"/>
                <w:szCs w:val="16"/>
                <w:color w:val="auto"/>
              </w:rPr>
            </w:pPr>
          </w:p>
        </w:tc>
        <w:tc>
          <w:tcPr>
            <w:tcW w:w="5280" w:type="dxa"/>
            <w:vAlign w:val="bottom"/>
            <w:gridSpan w:val="19"/>
          </w:tcPr>
          <w:p>
            <w:pPr>
              <w:spacing w:after="0" w:line="186" w:lineRule="exact"/>
              <w:rPr>
                <w:rFonts w:ascii="Arial" w:cs="Arial" w:eastAsia="Arial" w:hAnsi="Arial"/>
                <w:sz w:val="18"/>
                <w:szCs w:val="18"/>
                <w:color w:val="0000FF"/>
              </w:rPr>
            </w:pPr>
            <w:hyperlink r:id="rId203">
              <w:r>
                <w:rPr>
                  <w:rFonts w:ascii="Arial" w:cs="Arial" w:eastAsia="Arial" w:hAnsi="Arial"/>
                  <w:sz w:val="18"/>
                  <w:szCs w:val="18"/>
                  <w:color w:val="0000FF"/>
                </w:rPr>
                <w:t>Standard Industrial/Commercial Single-Tenant Lease, dated as of</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January 18, 2017, by and between Smoky Hollow Industries, LLC</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40" w:type="dxa"/>
            <w:vAlign w:val="bottom"/>
            <w:gridSpan w:val="16"/>
          </w:tcPr>
          <w:p>
            <w:pPr>
              <w:spacing w:after="0" w:line="152" w:lineRule="exact"/>
              <w:rPr>
                <w:rFonts w:ascii="Arial" w:cs="Arial" w:eastAsia="Arial" w:hAnsi="Arial"/>
                <w:sz w:val="17"/>
                <w:szCs w:val="17"/>
                <w:color w:val="0000FF"/>
              </w:rPr>
            </w:pPr>
            <w:hyperlink r:id="rId203">
              <w:r>
                <w:rPr>
                  <w:rFonts w:ascii="Arial" w:cs="Arial" w:eastAsia="Arial" w:hAnsi="Arial"/>
                  <w:sz w:val="17"/>
                  <w:szCs w:val="17"/>
                  <w:color w:val="0000FF"/>
                </w:rPr>
                <w:t>and Registrant with attachments thereto.</w:t>
              </w:r>
            </w:hyperlink>
          </w:p>
        </w:tc>
        <w:tc>
          <w:tcPr>
            <w:tcW w:w="1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10.2</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4220" w:type="dxa"/>
            <w:vAlign w:val="bottom"/>
            <w:tcBorders>
              <w:bottom w:val="single" w:sz="8" w:color="0000FF"/>
            </w:tcBorders>
            <w:gridSpan w:val="9"/>
            <w:shd w:val="clear" w:color="auto" w:fill="CCEEFF"/>
          </w:tcPr>
          <w:p>
            <w:pPr>
              <w:spacing w:after="0" w:line="186"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First Amendment dated as of July 1, 2021 to Standard</w:t>
              </w:r>
            </w:hyperlink>
          </w:p>
        </w:tc>
        <w:tc>
          <w:tcPr>
            <w:tcW w:w="1060" w:type="dxa"/>
            <w:vAlign w:val="bottom"/>
            <w:tcBorders>
              <w:bottom w:val="single" w:sz="8" w:color="CCEEFF"/>
            </w:tcBorders>
            <w:gridSpan w:val="10"/>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8/12/2021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80" w:type="dxa"/>
            <w:vAlign w:val="bottom"/>
            <w:gridSpan w:val="19"/>
            <w:shd w:val="clear" w:color="auto" w:fill="CCEEFF"/>
          </w:tcPr>
          <w:p>
            <w:pPr>
              <w:spacing w:after="0" w:line="152" w:lineRule="exact"/>
              <w:rPr>
                <w:rFonts w:ascii="Arial" w:cs="Arial" w:eastAsia="Arial" w:hAnsi="Arial"/>
                <w:sz w:val="17"/>
                <w:szCs w:val="17"/>
                <w:color w:val="0000FF"/>
              </w:rPr>
            </w:pPr>
            <w:hyperlink r:id="rId204">
              <w:r>
                <w:rPr>
                  <w:rFonts w:ascii="Arial" w:cs="Arial" w:eastAsia="Arial" w:hAnsi="Arial"/>
                  <w:sz w:val="17"/>
                  <w:szCs w:val="17"/>
                  <w:color w:val="0000FF"/>
                </w:rPr>
                <w:t>Industrial/Commercial Single-Tenant Lease, dated as of January</w:t>
              </w:r>
            </w:hyperlink>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00" w:type="dxa"/>
            <w:vAlign w:val="bottom"/>
            <w:tcBorders>
              <w:top w:val="single" w:sz="8" w:color="0000FF"/>
            </w:tcBorders>
            <w:gridSpan w:val="12"/>
            <w:shd w:val="clear" w:color="auto" w:fill="CCEEFF"/>
          </w:tcPr>
          <w:p>
            <w:pPr>
              <w:spacing w:after="0" w:line="152" w:lineRule="exact"/>
              <w:rPr>
                <w:rFonts w:ascii="Arial" w:cs="Arial" w:eastAsia="Arial" w:hAnsi="Arial"/>
                <w:sz w:val="17"/>
                <w:szCs w:val="17"/>
                <w:color w:val="0000FF"/>
              </w:rPr>
            </w:pPr>
            <w:hyperlink r:id="rId204">
              <w:r>
                <w:rPr>
                  <w:rFonts w:ascii="Arial" w:cs="Arial" w:eastAsia="Arial" w:hAnsi="Arial"/>
                  <w:sz w:val="17"/>
                  <w:szCs w:val="17"/>
                  <w:color w:val="0000FF"/>
                </w:rPr>
                <w:t>18, 2017, by and between Smoky Hollow Industries, LLC and</w:t>
              </w:r>
            </w:hyperlink>
          </w:p>
        </w:tc>
        <w:tc>
          <w:tcPr>
            <w:tcW w:w="280" w:type="dxa"/>
            <w:vAlign w:val="bottom"/>
            <w:tcBorders>
              <w:top w:val="single" w:sz="8" w:color="CCEEFF"/>
            </w:tcBorders>
            <w:gridSpan w:val="7"/>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20" w:type="dxa"/>
            <w:vAlign w:val="bottom"/>
            <w:tcBorders>
              <w:top w:val="single" w:sz="8" w:color="0000FF"/>
              <w:bottom w:val="single" w:sz="8" w:color="0000FF"/>
            </w:tcBorders>
            <w:gridSpan w:val="5"/>
            <w:shd w:val="clear" w:color="auto" w:fill="CCEEFF"/>
          </w:tcPr>
          <w:p>
            <w:pPr>
              <w:spacing w:after="0" w:line="165"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Registrant with attachments thereto.</w:t>
              </w:r>
            </w:hyperlink>
          </w:p>
        </w:tc>
        <w:tc>
          <w:tcPr>
            <w:tcW w:w="194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52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80" w:type="dxa"/>
            <w:vAlign w:val="bottom"/>
          </w:tcPr>
          <w:p>
            <w:pPr>
              <w:jc w:val="center"/>
              <w:spacing w:after="0" w:line="185" w:lineRule="exact"/>
              <w:rPr>
                <w:sz w:val="20"/>
                <w:szCs w:val="20"/>
                <w:color w:val="auto"/>
              </w:rPr>
            </w:pPr>
            <w:r>
              <w:rPr>
                <w:rFonts w:ascii="Arial" w:cs="Arial" w:eastAsia="Arial" w:hAnsi="Arial"/>
                <w:sz w:val="18"/>
                <w:szCs w:val="18"/>
                <w:color w:val="auto"/>
                <w:w w:val="96"/>
              </w:rPr>
              <w:t>10.3</w:t>
            </w:r>
          </w:p>
        </w:tc>
        <w:tc>
          <w:tcPr>
            <w:tcW w:w="140" w:type="dxa"/>
            <w:vAlign w:val="bottom"/>
          </w:tcPr>
          <w:p>
            <w:pPr>
              <w:spacing w:after="0"/>
              <w:rPr>
                <w:sz w:val="16"/>
                <w:szCs w:val="16"/>
                <w:color w:val="auto"/>
              </w:rPr>
            </w:pPr>
          </w:p>
        </w:tc>
        <w:tc>
          <w:tcPr>
            <w:tcW w:w="5280" w:type="dxa"/>
            <w:vAlign w:val="bottom"/>
            <w:gridSpan w:val="19"/>
          </w:tcPr>
          <w:p>
            <w:pPr>
              <w:spacing w:after="0" w:line="185" w:lineRule="exact"/>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Second Amendment dated as of January 27, 2022 to Standard</w:t>
              </w:r>
            </w:hyperlink>
          </w:p>
        </w:tc>
        <w:tc>
          <w:tcPr>
            <w:tcW w:w="940" w:type="dxa"/>
            <w:vAlign w:val="bottom"/>
            <w:gridSpan w:val="2"/>
          </w:tcPr>
          <w:p>
            <w:pPr>
              <w:jc w:val="center"/>
              <w:ind w:right="100"/>
              <w:spacing w:after="0" w:line="18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5" w:lineRule="exact"/>
              <w:rPr>
                <w:sz w:val="20"/>
                <w:szCs w:val="20"/>
                <w:color w:val="auto"/>
              </w:rPr>
            </w:pPr>
            <w:r>
              <w:rPr>
                <w:rFonts w:ascii="Arial" w:cs="Arial" w:eastAsia="Arial" w:hAnsi="Arial"/>
                <w:sz w:val="18"/>
                <w:szCs w:val="18"/>
                <w:color w:val="auto"/>
                <w:w w:val="97"/>
              </w:rPr>
              <w:t>5/12/2022</w:t>
            </w:r>
          </w:p>
        </w:tc>
        <w:tc>
          <w:tcPr>
            <w:tcW w:w="100" w:type="dxa"/>
            <w:vAlign w:val="bottom"/>
          </w:tcPr>
          <w:p>
            <w:pPr>
              <w:spacing w:after="0"/>
              <w:rPr>
                <w:sz w:val="16"/>
                <w:szCs w:val="16"/>
                <w:color w:val="auto"/>
              </w:rPr>
            </w:pPr>
          </w:p>
        </w:tc>
        <w:tc>
          <w:tcPr>
            <w:tcW w:w="1020" w:type="dxa"/>
            <w:vAlign w:val="bottom"/>
          </w:tcPr>
          <w:p>
            <w:pPr>
              <w:jc w:val="center"/>
              <w:spacing w:after="0" w:line="185" w:lineRule="exact"/>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300"/>
        <w:spacing w:after="0" w:line="199"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Industrial/Commercial Single-Tenant Lease, dated as of January</w:t>
        </w:r>
      </w:hyperlink>
    </w:p>
    <w:p>
      <w:pPr>
        <w:ind w:left="1300"/>
        <w:spacing w:after="0" w:line="215"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18, 2017, as amended, by and between Smoky Hollow Industries,</w:t>
        </w:r>
      </w:hyperlink>
    </w:p>
    <w:p>
      <w:pPr>
        <w:spacing w:after="0" w:line="1" w:lineRule="exact"/>
        <w:rPr>
          <w:sz w:val="20"/>
          <w:szCs w:val="20"/>
          <w:color w:val="auto"/>
        </w:rPr>
      </w:pPr>
    </w:p>
    <w:p>
      <w:pPr>
        <w:ind w:left="1300"/>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LLC and Registrant.</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gridSpan w:val="22"/>
          </w:tcPr>
          <w:p>
            <w:pPr>
              <w:jc w:val="right"/>
              <w:ind w:right="34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3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25"/>
            <w:vMerge w:val="restart"/>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vMerge w:val="restart"/>
          </w:tcPr>
          <w:p>
            <w:pPr>
              <w:spacing w:after="0"/>
              <w:rPr>
                <w:sz w:val="19"/>
                <w:szCs w:val="19"/>
                <w:color w:val="auto"/>
              </w:rPr>
            </w:pP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2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19"/>
                <w:szCs w:val="19"/>
                <w:color w:val="auto"/>
              </w:rPr>
            </w:pPr>
          </w:p>
        </w:tc>
        <w:tc>
          <w:tcPr>
            <w:tcW w:w="5300" w:type="dxa"/>
            <w:vAlign w:val="bottom"/>
            <w:gridSpan w:val="30"/>
            <w:vMerge w:val="restart"/>
          </w:tcPr>
          <w:p>
            <w:pPr>
              <w:spacing w:after="0"/>
              <w:rPr>
                <w:rFonts w:ascii="Arial" w:cs="Arial" w:eastAsia="Arial" w:hAnsi="Arial"/>
                <w:sz w:val="18"/>
                <w:szCs w:val="18"/>
                <w:color w:val="0000FF"/>
              </w:rPr>
            </w:pPr>
            <w:hyperlink r:id="rId207">
              <w:r>
                <w:rPr>
                  <w:rFonts w:ascii="Arial" w:cs="Arial" w:eastAsia="Arial" w:hAnsi="Arial"/>
                  <w:sz w:val="18"/>
                  <w:szCs w:val="18"/>
                  <w:color w:val="0000FF"/>
                </w:rPr>
                <w:t>Third Amendment dated as of March 28, 2022 to Standard</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gridSpan w:val="30"/>
            <w:vMerge w:val="continue"/>
          </w:tcPr>
          <w:p>
            <w:pPr>
              <w:spacing w:after="0"/>
              <w:rPr>
                <w:sz w:val="14"/>
                <w:szCs w:val="14"/>
                <w:color w:val="auto"/>
              </w:rPr>
            </w:pPr>
          </w:p>
        </w:tc>
        <w:tc>
          <w:tcPr>
            <w:tcW w:w="8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10-Q</w:t>
            </w: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5/12/2022</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280" w:type="dxa"/>
            <w:vAlign w:val="bottom"/>
            <w:gridSpan w:val="29"/>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Industrial/Commercial Single-Tenant Lease, dated as of January</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21"/>
          </w:tcPr>
          <w:p>
            <w:pPr>
              <w:spacing w:after="0" w:line="165"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18, 2017, as amended, by and between Smoky Hollow Industries,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gridSpan w:val="27"/>
          </w:tcPr>
          <w:p>
            <w:pPr>
              <w:spacing w:after="0" w:line="152" w:lineRule="exact"/>
              <w:rPr>
                <w:rFonts w:ascii="Arial" w:cs="Arial" w:eastAsia="Arial" w:hAnsi="Arial"/>
                <w:sz w:val="17"/>
                <w:szCs w:val="17"/>
                <w:color w:val="0000FF"/>
              </w:rPr>
            </w:pPr>
            <w:hyperlink r:id="rId207">
              <w:r>
                <w:rPr>
                  <w:rFonts w:ascii="Arial" w:cs="Arial" w:eastAsia="Arial" w:hAnsi="Arial"/>
                  <w:sz w:val="17"/>
                  <w:szCs w:val="17"/>
                  <w:color w:val="0000FF"/>
                </w:rPr>
                <w:t>LLC and Registrant.+</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10.5</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08">
              <w:r>
                <w:rPr>
                  <w:rFonts w:ascii="Arial" w:cs="Arial" w:eastAsia="Arial" w:hAnsi="Arial"/>
                  <w:sz w:val="18"/>
                  <w:szCs w:val="18"/>
                  <w:color w:val="0000FF"/>
                </w:rPr>
                <w:t>Fourth Amendment dated as of May 23, 2022 to Lease dated as</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8/11/2022</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2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208">
              <w:r>
                <w:rPr>
                  <w:rFonts w:ascii="Arial" w:cs="Arial" w:eastAsia="Arial" w:hAnsi="Arial"/>
                  <w:sz w:val="17"/>
                  <w:szCs w:val="17"/>
                  <w:color w:val="0000FF"/>
                </w:rPr>
                <w:t>of July 1, 2021, as amended, by and between Smoky Hollow</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208">
              <w:r>
                <w:rPr>
                  <w:rFonts w:ascii="Arial" w:cs="Arial" w:eastAsia="Arial" w:hAnsi="Arial"/>
                  <w:sz w:val="18"/>
                  <w:szCs w:val="18"/>
                  <w:color w:val="0000FF"/>
                </w:rPr>
                <w:t>Industries, LLC and Registrant.+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10.6</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09">
              <w:r>
                <w:rPr>
                  <w:rFonts w:ascii="Arial" w:cs="Arial" w:eastAsia="Arial" w:hAnsi="Arial"/>
                  <w:sz w:val="18"/>
                  <w:szCs w:val="18"/>
                  <w:color w:val="0000FF"/>
                </w:rPr>
                <w:t>Fifth Amendment dated as of June 21, 2022 to Lease dated as of</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8/11/2022</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09">
              <w:r>
                <w:rPr>
                  <w:rFonts w:ascii="Arial" w:cs="Arial" w:eastAsia="Arial" w:hAnsi="Arial"/>
                  <w:sz w:val="17"/>
                  <w:szCs w:val="17"/>
                  <w:color w:val="0000FF"/>
                </w:rPr>
                <w:t>July 1, 2021, as amended, by and between Smoky Hollow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Borders>
              <w:top w:val="single" w:sz="8" w:color="0000FF"/>
            </w:tcBorders>
            <w:gridSpan w:val="10"/>
          </w:tcPr>
          <w:p>
            <w:pPr>
              <w:spacing w:after="0" w:line="165" w:lineRule="exact"/>
              <w:rPr>
                <w:rFonts w:ascii="Arial" w:cs="Arial" w:eastAsia="Arial" w:hAnsi="Arial"/>
                <w:sz w:val="18"/>
                <w:szCs w:val="18"/>
                <w:color w:val="0000FF"/>
              </w:rPr>
            </w:pPr>
            <w:hyperlink r:id="rId209">
              <w:r>
                <w:rPr>
                  <w:rFonts w:ascii="Arial" w:cs="Arial" w:eastAsia="Arial" w:hAnsi="Arial"/>
                  <w:sz w:val="18"/>
                  <w:szCs w:val="18"/>
                  <w:color w:val="0000FF"/>
                </w:rPr>
                <w:t>Industries, LLC and Registrant.+</w:t>
              </w:r>
            </w:hyperlink>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10">
              <w:r>
                <w:rPr>
                  <w:rFonts w:ascii="Arial" w:cs="Arial" w:eastAsia="Arial" w:hAnsi="Arial"/>
                  <w:sz w:val="18"/>
                  <w:szCs w:val="18"/>
                  <w:color w:val="0000FF"/>
                </w:rPr>
                <w:t>Sixth Amendment dated as of August 30, 2022 to Lease dated as</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5"/>
              </w:rPr>
              <w:t>11/10/2022</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of July 1, 2021, as amended, by and between Smoky Hollow</w:t>
              </w:r>
            </w:hyperlink>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210">
              <w:r>
                <w:rPr>
                  <w:rFonts w:ascii="Arial" w:cs="Arial" w:eastAsia="Arial" w:hAnsi="Arial"/>
                  <w:sz w:val="18"/>
                  <w:szCs w:val="18"/>
                  <w:color w:val="0000FF"/>
                </w:rPr>
                <w:t>Industries, LLC and Registrant.+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17"/>
                <w:szCs w:val="17"/>
                <w:color w:val="auto"/>
              </w:rPr>
            </w:pPr>
          </w:p>
        </w:tc>
        <w:tc>
          <w:tcPr>
            <w:tcW w:w="450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Seventh Amendment effective as of November 1, 2023 to</w:t>
            </w:r>
          </w:p>
        </w:tc>
        <w:tc>
          <w:tcPr>
            <w:tcW w:w="80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gridSpan w:val="30"/>
          </w:tcPr>
          <w:p>
            <w:pPr>
              <w:spacing w:after="0" w:line="152" w:lineRule="exact"/>
              <w:rPr>
                <w:sz w:val="20"/>
                <w:szCs w:val="20"/>
                <w:color w:val="auto"/>
              </w:rPr>
            </w:pPr>
            <w:r>
              <w:rPr>
                <w:rFonts w:ascii="Arial" w:cs="Arial" w:eastAsia="Arial" w:hAnsi="Arial"/>
                <w:sz w:val="17"/>
                <w:szCs w:val="17"/>
                <w:color w:val="0000FF"/>
              </w:rPr>
              <w:t>Standard Industrial/Commercial Single-Tenant Lease dated as of</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tcBorders>
            <w:gridSpan w:val="23"/>
          </w:tcPr>
          <w:p>
            <w:pPr>
              <w:spacing w:after="0" w:line="165" w:lineRule="exact"/>
              <w:rPr>
                <w:sz w:val="20"/>
                <w:szCs w:val="20"/>
                <w:color w:val="auto"/>
              </w:rPr>
            </w:pPr>
            <w:r>
              <w:rPr>
                <w:rFonts w:ascii="Arial" w:cs="Arial" w:eastAsia="Arial" w:hAnsi="Arial"/>
                <w:sz w:val="18"/>
                <w:szCs w:val="18"/>
                <w:color w:val="0000FF"/>
              </w:rPr>
              <w:t>January 18, 2017, as amended, by and between Smoky Hollow</w:t>
            </w: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Industries, LLC and Registran</w:t>
            </w:r>
            <w:r>
              <w:rPr>
                <w:rFonts w:ascii="Arial" w:cs="Arial" w:eastAsia="Arial" w:hAnsi="Arial"/>
                <w:sz w:val="17"/>
                <w:szCs w:val="17"/>
                <w:color w:val="000000"/>
              </w:rPr>
              <w:t>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11">
              <w:r>
                <w:rPr>
                  <w:rFonts w:ascii="Arial" w:cs="Arial" w:eastAsia="Arial" w:hAnsi="Arial"/>
                  <w:sz w:val="18"/>
                  <w:szCs w:val="18"/>
                  <w:color w:val="0000FF"/>
                </w:rPr>
                <w:t>Lease, dated March 13, 2014, as amended, by and between Sara</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Maguire LeMone as Trustee of the Sara Maguire LeMone</w:t>
              </w:r>
            </w:hyperlink>
          </w:p>
        </w:tc>
        <w:tc>
          <w:tcPr>
            <w:tcW w:w="680" w:type="dxa"/>
            <w:vAlign w:val="bottom"/>
            <w:tcBorders>
              <w:top w:val="single" w:sz="8" w:color="0000FF"/>
            </w:tcBorders>
            <w:gridSpan w:val="19"/>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gridSpan w:val="30"/>
          </w:tcPr>
          <w:p>
            <w:pPr>
              <w:spacing w:after="0" w:line="165" w:lineRule="exact"/>
              <w:rPr>
                <w:rFonts w:ascii="Arial" w:cs="Arial" w:eastAsia="Arial" w:hAnsi="Arial"/>
                <w:sz w:val="18"/>
                <w:szCs w:val="18"/>
                <w:color w:val="0000FF"/>
              </w:rPr>
            </w:pPr>
            <w:hyperlink r:id="rId211">
              <w:r>
                <w:rPr>
                  <w:rFonts w:ascii="Arial" w:cs="Arial" w:eastAsia="Arial" w:hAnsi="Arial"/>
                  <w:sz w:val="18"/>
                  <w:szCs w:val="18"/>
                  <w:color w:val="0000FF"/>
                </w:rPr>
                <w:t>Revocable Trust dated February 6, 2004 and Registrant and</w:t>
              </w:r>
            </w:hyperlink>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amendment thereto dated November 1,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10.10</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12">
              <w:r>
                <w:rPr>
                  <w:rFonts w:ascii="Arial" w:cs="Arial" w:eastAsia="Arial" w:hAnsi="Arial"/>
                  <w:sz w:val="18"/>
                  <w:szCs w:val="18"/>
                  <w:color w:val="0000FF"/>
                </w:rPr>
                <w:t>Second Lease Amendment to Lease, dated March 13, 2014, as</w:t>
              </w:r>
            </w:hyperlink>
          </w:p>
        </w:tc>
        <w:tc>
          <w:tcPr>
            <w:tcW w:w="940" w:type="dxa"/>
            <w:vAlign w:val="bottom"/>
            <w:gridSpan w:val="2"/>
          </w:tcPr>
          <w:p>
            <w:pPr>
              <w:jc w:val="center"/>
              <w:ind w:right="120"/>
              <w:spacing w:after="0" w:line="205"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3/19/2020</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amended, by and between Sara Maguire LeMone as Trustee of</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tcBorders>
            <w:gridSpan w:val="18"/>
          </w:tcPr>
          <w:p>
            <w:pPr>
              <w:spacing w:after="0" w:line="165"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the Sara Maguire Lemone Revocable Trust and the Company,</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6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dated May 6, 2019.</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80" w:type="dxa"/>
            <w:vAlign w:val="bottom"/>
          </w:tcPr>
          <w:p>
            <w:pPr>
              <w:jc w:val="center"/>
              <w:spacing w:after="0" w:line="192" w:lineRule="exact"/>
              <w:rPr>
                <w:sz w:val="20"/>
                <w:szCs w:val="20"/>
                <w:color w:val="auto"/>
              </w:rPr>
            </w:pPr>
            <w:r>
              <w:rPr>
                <w:rFonts w:ascii="Arial" w:cs="Arial" w:eastAsia="Arial" w:hAnsi="Arial"/>
                <w:sz w:val="18"/>
                <w:szCs w:val="18"/>
                <w:color w:val="auto"/>
                <w:w w:val="97"/>
              </w:rPr>
              <w:t>10.11</w:t>
            </w:r>
          </w:p>
        </w:tc>
        <w:tc>
          <w:tcPr>
            <w:tcW w:w="120" w:type="dxa"/>
            <w:vAlign w:val="bottom"/>
          </w:tcPr>
          <w:p>
            <w:pPr>
              <w:spacing w:after="0"/>
              <w:rPr>
                <w:sz w:val="17"/>
                <w:szCs w:val="17"/>
                <w:color w:val="auto"/>
              </w:rPr>
            </w:pPr>
          </w:p>
        </w:tc>
        <w:tc>
          <w:tcPr>
            <w:tcW w:w="5300" w:type="dxa"/>
            <w:vAlign w:val="bottom"/>
            <w:gridSpan w:val="30"/>
          </w:tcPr>
          <w:p>
            <w:pPr>
              <w:spacing w:after="0" w:line="192" w:lineRule="exact"/>
              <w:rPr>
                <w:rFonts w:ascii="Arial" w:cs="Arial" w:eastAsia="Arial" w:hAnsi="Arial"/>
                <w:sz w:val="18"/>
                <w:szCs w:val="18"/>
                <w:color w:val="0000FF"/>
              </w:rPr>
            </w:pPr>
            <w:hyperlink r:id="rId213">
              <w:r>
                <w:rPr>
                  <w:rFonts w:ascii="Arial" w:cs="Arial" w:eastAsia="Arial" w:hAnsi="Arial"/>
                  <w:sz w:val="18"/>
                  <w:szCs w:val="18"/>
                  <w:color w:val="0000FF"/>
                </w:rPr>
                <w:t>Third Lease Amendment to Lease, dated March 13, 2014, as</w:t>
              </w:r>
            </w:hyperlink>
          </w:p>
        </w:tc>
        <w:tc>
          <w:tcPr>
            <w:tcW w:w="940" w:type="dxa"/>
            <w:vAlign w:val="bottom"/>
            <w:gridSpan w:val="2"/>
          </w:tcPr>
          <w:p>
            <w:pPr>
              <w:jc w:val="center"/>
              <w:ind w:right="120"/>
              <w:spacing w:after="0" w:line="192"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192" w:lineRule="exact"/>
              <w:rPr>
                <w:sz w:val="20"/>
                <w:szCs w:val="20"/>
                <w:color w:val="auto"/>
              </w:rPr>
            </w:pPr>
            <w:r>
              <w:rPr>
                <w:rFonts w:ascii="Arial" w:cs="Arial" w:eastAsia="Arial" w:hAnsi="Arial"/>
                <w:sz w:val="18"/>
                <w:szCs w:val="18"/>
                <w:color w:val="auto"/>
                <w:w w:val="97"/>
              </w:rPr>
              <w:t>3/19/2020</w:t>
            </w:r>
          </w:p>
        </w:tc>
        <w:tc>
          <w:tcPr>
            <w:tcW w:w="100" w:type="dxa"/>
            <w:vAlign w:val="bottom"/>
          </w:tcPr>
          <w:p>
            <w:pPr>
              <w:spacing w:after="0"/>
              <w:rPr>
                <w:sz w:val="17"/>
                <w:szCs w:val="17"/>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8"/>
                <w:szCs w:val="18"/>
                <w:color w:val="auto"/>
                <w:w w:val="96"/>
              </w:rPr>
              <w:t>10.4</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60" w:type="dxa"/>
            <w:vAlign w:val="bottom"/>
            <w:tcBorders>
              <w:top w:val="single" w:sz="8" w:color="0000FF"/>
            </w:tcBorders>
            <w:gridSpan w:val="13"/>
          </w:tcPr>
          <w:p>
            <w:pPr>
              <w:spacing w:after="0" w:line="159" w:lineRule="exact"/>
              <w:rPr>
                <w:rFonts w:ascii="Arial" w:cs="Arial" w:eastAsia="Arial" w:hAnsi="Arial"/>
                <w:sz w:val="18"/>
                <w:szCs w:val="18"/>
                <w:color w:val="0000FF"/>
                <w:w w:val="97"/>
              </w:rPr>
            </w:pPr>
            <w:hyperlink r:id="rId213">
              <w:r>
                <w:rPr>
                  <w:rFonts w:ascii="Arial" w:cs="Arial" w:eastAsia="Arial" w:hAnsi="Arial"/>
                  <w:sz w:val="18"/>
                  <w:szCs w:val="18"/>
                  <w:color w:val="0000FF"/>
                  <w:w w:val="97"/>
                </w:rPr>
                <w:t>amended, by and between Sara Maguire LeMone as Trustee</w:t>
              </w:r>
            </w:hyperlink>
          </w:p>
        </w:tc>
        <w:tc>
          <w:tcPr>
            <w:tcW w:w="20" w:type="dxa"/>
            <w:vAlign w:val="bottom"/>
          </w:tcPr>
          <w:p>
            <w:pPr>
              <w:spacing w:after="0"/>
              <w:rPr>
                <w:sz w:val="13"/>
                <w:szCs w:val="13"/>
                <w:color w:val="auto"/>
              </w:rPr>
            </w:pPr>
          </w:p>
        </w:tc>
        <w:tc>
          <w:tcPr>
            <w:tcW w:w="520" w:type="dxa"/>
            <w:vAlign w:val="bottom"/>
            <w:gridSpan w:val="16"/>
          </w:tcPr>
          <w:p>
            <w:pPr>
              <w:jc w:val="right"/>
              <w:ind w:right="340"/>
              <w:spacing w:after="0" w:line="159" w:lineRule="exact"/>
              <w:rPr>
                <w:rFonts w:ascii="Arial" w:cs="Arial" w:eastAsia="Arial" w:hAnsi="Arial"/>
                <w:sz w:val="18"/>
                <w:szCs w:val="18"/>
                <w:color w:val="0000FF"/>
              </w:rPr>
            </w:pPr>
            <w:hyperlink r:id="rId213">
              <w:r>
                <w:rPr>
                  <w:rFonts w:ascii="Arial" w:cs="Arial" w:eastAsia="Arial" w:hAnsi="Arial"/>
                  <w:sz w:val="18"/>
                  <w:szCs w:val="18"/>
                  <w:color w:val="0000FF"/>
                </w:rPr>
                <w:t>of</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tcBorders>
            <w:gridSpan w:val="18"/>
          </w:tcPr>
          <w:p>
            <w:pPr>
              <w:spacing w:after="0" w:line="165"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the Sara Maguire Lemone Revocable Trust and the Company,</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13">
              <w:r>
                <w:rPr>
                  <w:rFonts w:ascii="Arial" w:cs="Arial" w:eastAsia="Arial" w:hAnsi="Arial"/>
                  <w:sz w:val="17"/>
                  <w:szCs w:val="17"/>
                  <w:color w:val="0000FF"/>
                </w:rPr>
                <w:t>dated March 16, 2020.</w:t>
              </w:r>
            </w:hyperlink>
          </w:p>
        </w:tc>
        <w:tc>
          <w:tcPr>
            <w:tcW w:w="30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10.12</w:t>
            </w:r>
          </w:p>
        </w:tc>
        <w:tc>
          <w:tcPr>
            <w:tcW w:w="120" w:type="dxa"/>
            <w:vAlign w:val="bottom"/>
          </w:tcPr>
          <w:p>
            <w:pPr>
              <w:spacing w:after="0"/>
              <w:rPr>
                <w:sz w:val="17"/>
                <w:szCs w:val="17"/>
                <w:color w:val="auto"/>
              </w:rPr>
            </w:pPr>
          </w:p>
        </w:tc>
        <w:tc>
          <w:tcPr>
            <w:tcW w:w="4880" w:type="dxa"/>
            <w:vAlign w:val="bottom"/>
            <w:tcBorders>
              <w:bottom w:val="single" w:sz="8" w:color="0000FF"/>
            </w:tcBorders>
            <w:gridSpan w:val="16"/>
          </w:tcPr>
          <w:p>
            <w:pPr>
              <w:spacing w:after="0" w:line="205" w:lineRule="exact"/>
              <w:rPr>
                <w:rFonts w:ascii="Arial" w:cs="Arial" w:eastAsia="Arial" w:hAnsi="Arial"/>
                <w:sz w:val="18"/>
                <w:szCs w:val="18"/>
                <w:color w:val="0000FF"/>
                <w:w w:val="97"/>
              </w:rPr>
            </w:pPr>
            <w:hyperlink r:id="rId214">
              <w:r>
                <w:rPr>
                  <w:rFonts w:ascii="Arial" w:cs="Arial" w:eastAsia="Arial" w:hAnsi="Arial"/>
                  <w:sz w:val="18"/>
                  <w:szCs w:val="18"/>
                  <w:color w:val="0000FF"/>
                  <w:w w:val="97"/>
                </w:rPr>
                <w:t>Fourth Lease Amendment to Lease, dated March 13, 2014, as</w:t>
              </w:r>
            </w:hyperlink>
          </w:p>
        </w:tc>
        <w:tc>
          <w:tcPr>
            <w:tcW w:w="420" w:type="dxa"/>
            <w:vAlign w:val="bottom"/>
            <w:gridSpan w:val="14"/>
          </w:tcPr>
          <w:p>
            <w:pPr>
              <w:spacing w:after="0"/>
              <w:rPr>
                <w:sz w:val="17"/>
                <w:szCs w:val="17"/>
                <w:color w:val="auto"/>
              </w:rPr>
            </w:pPr>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5/12/2022</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gridSpan w:val="30"/>
          </w:tcPr>
          <w:p>
            <w:pPr>
              <w:spacing w:after="0" w:line="152" w:lineRule="exact"/>
              <w:rPr>
                <w:rFonts w:ascii="Arial" w:cs="Arial" w:eastAsia="Arial" w:hAnsi="Arial"/>
                <w:sz w:val="17"/>
                <w:szCs w:val="17"/>
                <w:color w:val="0000FF"/>
              </w:rPr>
            </w:pPr>
            <w:hyperlink r:id="rId214">
              <w:r>
                <w:rPr>
                  <w:rFonts w:ascii="Arial" w:cs="Arial" w:eastAsia="Arial" w:hAnsi="Arial"/>
                  <w:sz w:val="17"/>
                  <w:szCs w:val="17"/>
                  <w:color w:val="0000FF"/>
                </w:rPr>
                <w:t>amended, by and between Sara Maguire LeMone as Trustee of</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tcBorders>
            <w:gridSpan w:val="18"/>
          </w:tcPr>
          <w:p>
            <w:pPr>
              <w:spacing w:after="0" w:line="165"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the Sara Maguire Lemone Revocable Trust and the Company,</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6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214">
              <w:r>
                <w:rPr>
                  <w:rFonts w:ascii="Arial" w:cs="Arial" w:eastAsia="Arial" w:hAnsi="Arial"/>
                  <w:sz w:val="17"/>
                  <w:szCs w:val="17"/>
                  <w:color w:val="0000FF"/>
                </w:rPr>
                <w:t>dated March 9, 2022</w:t>
              </w:r>
              <w:r>
                <w:rPr>
                  <w:rFonts w:ascii="Arial" w:cs="Arial" w:eastAsia="Arial" w:hAnsi="Arial"/>
                  <w:sz w:val="17"/>
                  <w:szCs w:val="17"/>
                  <w:color w:val="000000"/>
                </w:rPr>
                <w:t>.</w:t>
              </w:r>
            </w:hyperlink>
          </w:p>
        </w:tc>
        <w:tc>
          <w:tcPr>
            <w:tcW w:w="20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10.13</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15">
              <w:r>
                <w:rPr>
                  <w:rFonts w:ascii="Arial" w:cs="Arial" w:eastAsia="Arial" w:hAnsi="Arial"/>
                  <w:sz w:val="18"/>
                  <w:szCs w:val="18"/>
                  <w:color w:val="0000FF"/>
                </w:rPr>
                <w:t>Lease, dated October 12, 2017, by and between LeMone Family</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6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Limited Partnership, LLLP and Registrant as amended by the</w:t>
              </w:r>
            </w:hyperlink>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7"/>
          </w:tcPr>
          <w:p>
            <w:pPr>
              <w:spacing w:after="0" w:line="165"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Lease Amendment dated April 18, 2018.</w:t>
              </w:r>
            </w:hyperlink>
          </w:p>
        </w:tc>
        <w:tc>
          <w:tcPr>
            <w:tcW w:w="1600" w:type="dxa"/>
            <w:vAlign w:val="bottom"/>
            <w:tcBorders>
              <w:top w:val="single" w:sz="8" w:color="0000FF"/>
            </w:tcBorders>
            <w:gridSpan w:val="7"/>
          </w:tcPr>
          <w:p>
            <w:pPr>
              <w:spacing w:after="0"/>
              <w:rPr>
                <w:sz w:val="14"/>
                <w:szCs w:val="14"/>
                <w:color w:val="auto"/>
              </w:rPr>
            </w:pPr>
          </w:p>
        </w:tc>
        <w:tc>
          <w:tcPr>
            <w:tcW w:w="340" w:type="dxa"/>
            <w:vAlign w:val="bottom"/>
            <w:gridSpan w:val="11"/>
          </w:tcPr>
          <w:p>
            <w:pPr>
              <w:spacing w:after="0"/>
              <w:rPr>
                <w:sz w:val="14"/>
                <w:szCs w:val="14"/>
                <w:color w:val="auto"/>
              </w:rPr>
            </w:pPr>
          </w:p>
        </w:tc>
        <w:tc>
          <w:tcPr>
            <w:tcW w:w="18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10.14</w:t>
            </w:r>
          </w:p>
        </w:tc>
        <w:tc>
          <w:tcPr>
            <w:tcW w:w="120" w:type="dxa"/>
            <w:vAlign w:val="bottom"/>
          </w:tcPr>
          <w:p>
            <w:pPr>
              <w:spacing w:after="0"/>
              <w:rPr>
                <w:sz w:val="17"/>
                <w:szCs w:val="17"/>
                <w:color w:val="auto"/>
              </w:rPr>
            </w:pPr>
          </w:p>
        </w:tc>
        <w:tc>
          <w:tcPr>
            <w:tcW w:w="5300" w:type="dxa"/>
            <w:vAlign w:val="bottom"/>
            <w:gridSpan w:val="30"/>
          </w:tcPr>
          <w:p>
            <w:pPr>
              <w:spacing w:after="0" w:line="205" w:lineRule="exact"/>
              <w:rPr>
                <w:rFonts w:ascii="Arial" w:cs="Arial" w:eastAsia="Arial" w:hAnsi="Arial"/>
                <w:sz w:val="18"/>
                <w:szCs w:val="18"/>
                <w:color w:val="0000FF"/>
              </w:rPr>
            </w:pPr>
            <w:hyperlink r:id="rId216">
              <w:r>
                <w:rPr>
                  <w:rFonts w:ascii="Arial" w:cs="Arial" w:eastAsia="Arial" w:hAnsi="Arial"/>
                  <w:sz w:val="18"/>
                  <w:szCs w:val="18"/>
                  <w:color w:val="0000FF"/>
                </w:rPr>
                <w:t>Second Lease Amendment to Lease, dated October 12, 2017, as</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8/11/2020</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10.2</w:t>
            </w: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FF"/>
            </w:tcBorders>
            <w:gridSpan w:val="25"/>
          </w:tcPr>
          <w:p>
            <w:pPr>
              <w:spacing w:after="0" w:line="164" w:lineRule="exact"/>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amended, by and between LeMone Family Limited Partnership,</w:t>
              </w:r>
            </w:hyperlink>
          </w:p>
        </w:tc>
        <w:tc>
          <w:tcPr>
            <w:tcW w:w="18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-4592955</wp:posOffset>
            </wp:positionV>
            <wp:extent cx="7134860" cy="4794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-3742690</wp:posOffset>
            </wp:positionV>
            <wp:extent cx="7134860" cy="3702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-3002280</wp:posOffset>
            </wp:positionV>
            <wp:extent cx="7134860" cy="479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-2043430</wp:posOffset>
            </wp:positionV>
            <wp:extent cx="7134860" cy="4794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-1083945</wp:posOffset>
            </wp:positionV>
            <wp:extent cx="7134860" cy="4794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-234315</wp:posOffset>
            </wp:positionV>
            <wp:extent cx="7134860" cy="3702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1300"/>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LLLP and Registrant, dated May 22, 2020.</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7232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000" w:space="300"/>
            <w:col w:w="740"/>
          </w:cols>
          <w:pgMar w:left="320" w:top="1440" w:right="539" w:bottom="1440" w:gutter="0" w:footer="0" w:header="0"/>
        </w:sectPr>
      </w:pPr>
    </w:p>
    <w:bookmarkStart w:id="144" w:name="page145"/>
    <w:bookmarkEnd w:id="144"/>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Exhibit No.</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22"/>
          </w:tcPr>
          <w:p>
            <w:pPr>
              <w:ind w:left="36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60" w:type="dxa"/>
            <w:vAlign w:val="bottom"/>
            <w:gridSpan w:val="27"/>
            <w:vMerge w:val="restart"/>
          </w:tcPr>
          <w:p>
            <w:pPr>
              <w:ind w:left="6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vMerge w:val="restart"/>
          </w:tcPr>
          <w:p>
            <w:pPr>
              <w:spacing w:after="0"/>
              <w:rPr>
                <w:sz w:val="13"/>
                <w:szCs w:val="13"/>
                <w:color w:val="auto"/>
              </w:rPr>
            </w:pP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7"/>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400" w:type="dxa"/>
            <w:vAlign w:val="bottom"/>
            <w:tcBorders>
              <w:bottom w:val="single" w:sz="8" w:color="auto"/>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7"/>
              </w:rPr>
              <w:t>10.15</w:t>
            </w:r>
          </w:p>
        </w:tc>
        <w:tc>
          <w:tcPr>
            <w:tcW w:w="140" w:type="dxa"/>
            <w:vAlign w:val="bottom"/>
          </w:tcPr>
          <w:p>
            <w:pPr>
              <w:spacing w:after="0"/>
              <w:rPr>
                <w:sz w:val="19"/>
                <w:szCs w:val="19"/>
                <w:color w:val="auto"/>
              </w:rPr>
            </w:pPr>
          </w:p>
        </w:tc>
        <w:tc>
          <w:tcPr>
            <w:tcW w:w="5280" w:type="dxa"/>
            <w:vAlign w:val="bottom"/>
            <w:gridSpan w:val="37"/>
            <w:vMerge w:val="restart"/>
          </w:tcPr>
          <w:p>
            <w:pPr>
              <w:spacing w:after="0"/>
              <w:rPr>
                <w:rFonts w:ascii="Arial" w:cs="Arial" w:eastAsia="Arial" w:hAnsi="Arial"/>
                <w:sz w:val="18"/>
                <w:szCs w:val="18"/>
                <w:color w:val="0000FF"/>
              </w:rPr>
            </w:pPr>
            <w:hyperlink r:id="rId225">
              <w:r>
                <w:rPr>
                  <w:rFonts w:ascii="Arial" w:cs="Arial" w:eastAsia="Arial" w:hAnsi="Arial"/>
                  <w:sz w:val="18"/>
                  <w:szCs w:val="18"/>
                  <w:color w:val="0000FF"/>
                </w:rPr>
                <w:t>Lease, dated as of January 14, 2021, by and between Registrant</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gridSpan w:val="37"/>
            <w:vMerge w:val="continue"/>
          </w:tcPr>
          <w:p>
            <w:pPr>
              <w:spacing w:after="0"/>
              <w:rPr>
                <w:sz w:val="14"/>
                <w:szCs w:val="14"/>
                <w:color w:val="auto"/>
              </w:rPr>
            </w:pPr>
          </w:p>
        </w:tc>
        <w:tc>
          <w:tcPr>
            <w:tcW w:w="8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8-K</w:t>
            </w: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1/15/2021</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225">
              <w:r>
                <w:rPr>
                  <w:rFonts w:ascii="Arial" w:cs="Arial" w:eastAsia="Arial" w:hAnsi="Arial"/>
                  <w:sz w:val="17"/>
                  <w:szCs w:val="17"/>
                  <w:color w:val="0000FF"/>
                </w:rPr>
                <w:t>and HC Hornet Way,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10.16</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rFonts w:ascii="Arial" w:cs="Arial" w:eastAsia="Arial" w:hAnsi="Arial"/>
                <w:sz w:val="18"/>
                <w:szCs w:val="18"/>
                <w:color w:val="0000FF"/>
              </w:rPr>
            </w:pPr>
            <w:hyperlink r:id="rId226">
              <w:r>
                <w:rPr>
                  <w:rFonts w:ascii="Arial" w:cs="Arial" w:eastAsia="Arial" w:hAnsi="Arial"/>
                  <w:sz w:val="18"/>
                  <w:szCs w:val="18"/>
                  <w:color w:val="0000FF"/>
                </w:rPr>
                <w:t>Supply Agreement, dated December 28, 2018, by and between</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4/15/2019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920" w:type="dxa"/>
            <w:vAlign w:val="bottom"/>
            <w:tcBorders>
              <w:top w:val="single" w:sz="8" w:color="0000FF"/>
            </w:tcBorders>
            <w:gridSpan w:val="28"/>
            <w:shd w:val="clear" w:color="auto" w:fill="CCEEFF"/>
          </w:tcPr>
          <w:p>
            <w:pPr>
              <w:spacing w:after="0" w:line="152" w:lineRule="exact"/>
              <w:rPr>
                <w:rFonts w:ascii="Arial" w:cs="Arial" w:eastAsia="Arial" w:hAnsi="Arial"/>
                <w:sz w:val="17"/>
                <w:szCs w:val="17"/>
                <w:color w:val="0000FF"/>
              </w:rPr>
            </w:pPr>
            <w:hyperlink r:id="rId226">
              <w:r>
                <w:rPr>
                  <w:rFonts w:ascii="Arial" w:cs="Arial" w:eastAsia="Arial" w:hAnsi="Arial"/>
                  <w:sz w:val="17"/>
                  <w:szCs w:val="17"/>
                  <w:color w:val="0000FF"/>
                </w:rPr>
                <w:t>Roquette America, Inc. and Registrant.+</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10.17</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27">
              <w:r>
                <w:rPr>
                  <w:rFonts w:ascii="Arial" w:cs="Arial" w:eastAsia="Arial" w:hAnsi="Arial"/>
                  <w:sz w:val="18"/>
                  <w:szCs w:val="18"/>
                  <w:color w:val="0000FF"/>
                </w:rPr>
                <w:t>Multi-Year Sales Agreement, dated January 10, 2020, by and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1/15/2020</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27">
              <w:r>
                <w:rPr>
                  <w:rFonts w:ascii="Arial" w:cs="Arial" w:eastAsia="Arial" w:hAnsi="Arial"/>
                  <w:sz w:val="17"/>
                  <w:szCs w:val="17"/>
                  <w:color w:val="0000FF"/>
                </w:rPr>
                <w:t>between Roquette Frères and Beyond Meat,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10.18</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rFonts w:ascii="Arial" w:cs="Arial" w:eastAsia="Arial" w:hAnsi="Arial"/>
                <w:sz w:val="18"/>
                <w:szCs w:val="18"/>
                <w:color w:val="0000FF"/>
              </w:rPr>
            </w:pPr>
            <w:hyperlink r:id="rId228">
              <w:r>
                <w:rPr>
                  <w:rFonts w:ascii="Arial" w:cs="Arial" w:eastAsia="Arial" w:hAnsi="Arial"/>
                  <w:sz w:val="18"/>
                  <w:szCs w:val="18"/>
                  <w:color w:val="0000FF"/>
                </w:rPr>
                <w:t>First Amendment dated as of August 3, 2022 to the Multi-Year</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8/11/2022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820" w:type="dxa"/>
            <w:vAlign w:val="bottom"/>
            <w:tcBorders>
              <w:top w:val="single" w:sz="8" w:color="0000FF"/>
            </w:tcBorders>
            <w:gridSpan w:val="25"/>
            <w:shd w:val="clear" w:color="auto" w:fill="CCEEFF"/>
          </w:tcPr>
          <w:p>
            <w:pPr>
              <w:spacing w:after="0" w:line="152" w:lineRule="exact"/>
              <w:rPr>
                <w:rFonts w:ascii="Arial" w:cs="Arial" w:eastAsia="Arial" w:hAnsi="Arial"/>
                <w:sz w:val="17"/>
                <w:szCs w:val="17"/>
                <w:color w:val="0000FF"/>
              </w:rPr>
            </w:pPr>
            <w:hyperlink r:id="rId228">
              <w:r>
                <w:rPr>
                  <w:rFonts w:ascii="Arial" w:cs="Arial" w:eastAsia="Arial" w:hAnsi="Arial"/>
                  <w:sz w:val="17"/>
                  <w:szCs w:val="17"/>
                  <w:color w:val="0000FF"/>
                </w:rPr>
                <w:t>Sales Agreement, dated January 10, 2020, by and between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20"/>
            <w:shd w:val="clear" w:color="auto" w:fill="CCEEFF"/>
          </w:tcPr>
          <w:p>
            <w:pPr>
              <w:spacing w:after="0" w:line="165" w:lineRule="exact"/>
              <w:rPr>
                <w:rFonts w:ascii="Arial" w:cs="Arial" w:eastAsia="Arial" w:hAnsi="Arial"/>
                <w:sz w:val="18"/>
                <w:szCs w:val="18"/>
                <w:color w:val="0000FF"/>
              </w:rPr>
            </w:pPr>
            <w:hyperlink r:id="rId228">
              <w:r>
                <w:rPr>
                  <w:rFonts w:ascii="Arial" w:cs="Arial" w:eastAsia="Arial" w:hAnsi="Arial"/>
                  <w:sz w:val="18"/>
                  <w:szCs w:val="18"/>
                  <w:color w:val="0000FF"/>
                </w:rPr>
                <w:t>Roquette Frères and Beyond Meat, Inc.+</w:t>
              </w:r>
            </w:hyperlink>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10.19</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29">
              <w:r>
                <w:rPr>
                  <w:rFonts w:ascii="Arial" w:cs="Arial" w:eastAsia="Arial" w:hAnsi="Arial"/>
                  <w:sz w:val="18"/>
                  <w:szCs w:val="18"/>
                  <w:color w:val="0000FF"/>
                </w:rPr>
                <w:t>Second Amendment dated as of July 1, 2023 to the Multi-Year</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8/9/2023</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gridSpan w:val="37"/>
          </w:tcPr>
          <w:p>
            <w:pPr>
              <w:spacing w:after="0" w:line="152" w:lineRule="exact"/>
              <w:rPr>
                <w:rFonts w:ascii="Arial" w:cs="Arial" w:eastAsia="Arial" w:hAnsi="Arial"/>
                <w:sz w:val="17"/>
                <w:szCs w:val="17"/>
                <w:color w:val="0000FF"/>
              </w:rPr>
            </w:pPr>
            <w:hyperlink r:id="rId229">
              <w:r>
                <w:rPr>
                  <w:rFonts w:ascii="Arial" w:cs="Arial" w:eastAsia="Arial" w:hAnsi="Arial"/>
                  <w:sz w:val="17"/>
                  <w:szCs w:val="17"/>
                  <w:color w:val="0000FF"/>
                </w:rPr>
                <w:t>Sales Agreement, dated January 10, 2020, as amended, by and</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tcBorders>
              <w:top w:val="single" w:sz="8" w:color="0000FF"/>
            </w:tcBorders>
            <w:gridSpan w:val="30"/>
          </w:tcPr>
          <w:p>
            <w:pPr>
              <w:spacing w:after="0" w:line="165" w:lineRule="exact"/>
              <w:rPr>
                <w:rFonts w:ascii="Arial" w:cs="Arial" w:eastAsia="Arial" w:hAnsi="Arial"/>
                <w:sz w:val="18"/>
                <w:szCs w:val="18"/>
                <w:color w:val="0000FF"/>
              </w:rPr>
            </w:pPr>
            <w:hyperlink r:id="rId229">
              <w:r>
                <w:rPr>
                  <w:rFonts w:ascii="Arial" w:cs="Arial" w:eastAsia="Arial" w:hAnsi="Arial"/>
                  <w:sz w:val="18"/>
                  <w:szCs w:val="18"/>
                  <w:color w:val="0000FF"/>
                </w:rPr>
                <w:t>between Roquette Frères and Beyond Meat, Inc</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10.20</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95" w:lineRule="exact"/>
              <w:rPr>
                <w:rFonts w:ascii="Arial" w:cs="Arial" w:eastAsia="Arial" w:hAnsi="Arial"/>
                <w:sz w:val="18"/>
                <w:szCs w:val="18"/>
                <w:color w:val="0000FF"/>
              </w:rPr>
            </w:pPr>
            <w:hyperlink r:id="rId230">
              <w:r>
                <w:rPr>
                  <w:rFonts w:ascii="Arial" w:cs="Arial" w:eastAsia="Arial" w:hAnsi="Arial"/>
                  <w:sz w:val="18"/>
                  <w:szCs w:val="18"/>
                  <w:color w:val="0000FF"/>
                </w:rPr>
                <w:t>Form of Indemnification Agreement with directors and executive</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10.11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980" w:type="dxa"/>
            <w:vAlign w:val="bottom"/>
            <w:tcBorders>
              <w:top w:val="single" w:sz="8" w:color="0000FF"/>
            </w:tcBorders>
            <w:gridSpan w:val="29"/>
            <w:shd w:val="clear" w:color="auto" w:fill="CCEEFF"/>
          </w:tcPr>
          <w:p>
            <w:pPr>
              <w:spacing w:after="0" w:line="152" w:lineRule="exact"/>
              <w:rPr>
                <w:rFonts w:ascii="Arial" w:cs="Arial" w:eastAsia="Arial" w:hAnsi="Arial"/>
                <w:sz w:val="17"/>
                <w:szCs w:val="17"/>
                <w:color w:val="0000FF"/>
              </w:rPr>
            </w:pPr>
            <w:hyperlink r:id="rId230">
              <w:r>
                <w:rPr>
                  <w:rFonts w:ascii="Arial" w:cs="Arial" w:eastAsia="Arial" w:hAnsi="Arial"/>
                  <w:sz w:val="17"/>
                  <w:szCs w:val="17"/>
                  <w:color w:val="0000FF"/>
                </w:rPr>
                <w:t>officers.*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10.21</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31">
              <w:r>
                <w:rPr>
                  <w:rFonts w:ascii="Arial" w:cs="Arial" w:eastAsia="Arial" w:hAnsi="Arial"/>
                  <w:sz w:val="18"/>
                  <w:szCs w:val="18"/>
                  <w:color w:val="0000FF"/>
                </w:rPr>
                <w:t>2011 Equity Incentive Plan, amended as of April 3, 2019, and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4/15/2019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31">
              <w:r>
                <w:rPr>
                  <w:rFonts w:ascii="Arial" w:cs="Arial" w:eastAsia="Arial" w:hAnsi="Arial"/>
                  <w:sz w:val="17"/>
                  <w:szCs w:val="17"/>
                  <w:color w:val="0000FF"/>
                </w:rPr>
                <w:t>related forms of stock award agreements.*</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10.22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rFonts w:ascii="Arial" w:cs="Arial" w:eastAsia="Arial" w:hAnsi="Arial"/>
                <w:sz w:val="18"/>
                <w:szCs w:val="18"/>
                <w:color w:val="0000FF"/>
              </w:rPr>
            </w:pPr>
            <w:hyperlink r:id="rId232">
              <w:r>
                <w:rPr>
                  <w:rFonts w:ascii="Arial" w:cs="Arial" w:eastAsia="Arial" w:hAnsi="Arial"/>
                  <w:sz w:val="18"/>
                  <w:szCs w:val="18"/>
                  <w:color w:val="0000FF"/>
                </w:rPr>
                <w:t>2018 Equity Incentive Plan, and related forms of stock award</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1/9/2019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10.13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22"/>
            <w:shd w:val="clear" w:color="auto" w:fill="CCEEFF"/>
          </w:tcPr>
          <w:p>
            <w:pPr>
              <w:spacing w:after="0" w:line="152" w:lineRule="exact"/>
              <w:rPr>
                <w:rFonts w:ascii="Arial" w:cs="Arial" w:eastAsia="Arial" w:hAnsi="Arial"/>
                <w:sz w:val="17"/>
                <w:szCs w:val="17"/>
                <w:color w:val="0000FF"/>
              </w:rPr>
            </w:pPr>
            <w:hyperlink r:id="rId232">
              <w:r>
                <w:rPr>
                  <w:rFonts w:ascii="Arial" w:cs="Arial" w:eastAsia="Arial" w:hAnsi="Arial"/>
                  <w:sz w:val="17"/>
                  <w:szCs w:val="17"/>
                  <w:color w:val="0000FF"/>
                </w:rPr>
                <w:t>agreements.*</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10.23</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33">
              <w:r>
                <w:rPr>
                  <w:rFonts w:ascii="Arial" w:cs="Arial" w:eastAsia="Arial" w:hAnsi="Arial"/>
                  <w:sz w:val="18"/>
                  <w:szCs w:val="18"/>
                  <w:color w:val="0000FF"/>
                </w:rPr>
                <w:t>Amended form of 2018 Equity Incentive Plan stock option award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7/29/2019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2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233">
              <w:r>
                <w:rPr>
                  <w:rFonts w:ascii="Arial" w:cs="Arial" w:eastAsia="Arial" w:hAnsi="Arial"/>
                  <w:sz w:val="17"/>
                  <w:szCs w:val="17"/>
                  <w:color w:val="0000FF"/>
                </w:rPr>
                <w:t>agreement.*</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10.24</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rFonts w:ascii="Arial" w:cs="Arial" w:eastAsia="Arial" w:hAnsi="Arial"/>
                <w:sz w:val="18"/>
                <w:szCs w:val="18"/>
                <w:color w:val="0000FF"/>
              </w:rPr>
            </w:pPr>
            <w:hyperlink r:id="rId234">
              <w:r>
                <w:rPr>
                  <w:rFonts w:ascii="Arial" w:cs="Arial" w:eastAsia="Arial" w:hAnsi="Arial"/>
                  <w:sz w:val="18"/>
                  <w:szCs w:val="18"/>
                  <w:color w:val="0000FF"/>
                </w:rPr>
                <w:t>Amended form of 2018 Equity Incentive Plan restricted stock unit</w:t>
              </w:r>
            </w:hyperlink>
          </w:p>
        </w:tc>
        <w:tc>
          <w:tcPr>
            <w:tcW w:w="940" w:type="dxa"/>
            <w:vAlign w:val="bottom"/>
            <w:gridSpan w:val="2"/>
            <w:shd w:val="clear" w:color="auto" w:fill="CCEEFF"/>
          </w:tcPr>
          <w:p>
            <w:pPr>
              <w:jc w:val="center"/>
              <w:ind w:right="100"/>
              <w:spacing w:after="0" w:line="186" w:lineRule="exact"/>
              <w:rPr>
                <w:sz w:val="20"/>
                <w:szCs w:val="20"/>
                <w:color w:val="auto"/>
              </w:rPr>
            </w:pPr>
            <w:r>
              <w:rPr>
                <w:rFonts w:ascii="Arial" w:cs="Arial" w:eastAsia="Arial" w:hAnsi="Arial"/>
                <w:sz w:val="18"/>
                <w:szCs w:val="18"/>
                <w:color w:val="auto"/>
                <w:w w:val="99"/>
              </w:rPr>
              <w:t>10-Q</w:t>
            </w:r>
          </w:p>
        </w:tc>
        <w:tc>
          <w:tcPr>
            <w:tcW w:w="13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11/9/2023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32"/>
            <w:shd w:val="clear" w:color="auto" w:fill="CCEEFF"/>
          </w:tcPr>
          <w:p>
            <w:pPr>
              <w:spacing w:after="0" w:line="152" w:lineRule="exact"/>
              <w:rPr>
                <w:rFonts w:ascii="Arial" w:cs="Arial" w:eastAsia="Arial" w:hAnsi="Arial"/>
                <w:sz w:val="17"/>
                <w:szCs w:val="17"/>
                <w:color w:val="0000FF"/>
              </w:rPr>
            </w:pPr>
            <w:hyperlink r:id="rId234">
              <w:r>
                <w:rPr>
                  <w:rFonts w:ascii="Arial" w:cs="Arial" w:eastAsia="Arial" w:hAnsi="Arial"/>
                  <w:sz w:val="17"/>
                  <w:szCs w:val="17"/>
                  <w:color w:val="0000FF"/>
                </w:rPr>
                <w:t>award agreement.*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10.25</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35">
              <w:r>
                <w:rPr>
                  <w:rFonts w:ascii="Arial" w:cs="Arial" w:eastAsia="Arial" w:hAnsi="Arial"/>
                  <w:sz w:val="18"/>
                  <w:szCs w:val="18"/>
                  <w:color w:val="0000FF"/>
                </w:rPr>
                <w:t>2018 Employee Stock Purchase Plan.*</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9"/>
              </w:rPr>
              <w:t>1/9/2019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10.26</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95" w:lineRule="exact"/>
              <w:rPr>
                <w:rFonts w:ascii="Arial" w:cs="Arial" w:eastAsia="Arial" w:hAnsi="Arial"/>
                <w:sz w:val="18"/>
                <w:szCs w:val="18"/>
                <w:color w:val="0000FF"/>
              </w:rPr>
            </w:pPr>
            <w:hyperlink r:id="rId236">
              <w:r>
                <w:rPr>
                  <w:rFonts w:ascii="Arial" w:cs="Arial" w:eastAsia="Arial" w:hAnsi="Arial"/>
                  <w:sz w:val="18"/>
                  <w:szCs w:val="18"/>
                  <w:color w:val="0000FF"/>
                </w:rPr>
                <w:t>Executive Incentive Bonus Plan.*</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11/16/2018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10.15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10.27</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37">
              <w:r>
                <w:rPr>
                  <w:rFonts w:ascii="Arial" w:cs="Arial" w:eastAsia="Arial" w:hAnsi="Arial"/>
                  <w:sz w:val="18"/>
                  <w:szCs w:val="18"/>
                  <w:color w:val="0000FF"/>
                </w:rPr>
                <w:t>Form of Executive Change in Control Severance Agreement.*</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7"/>
              </w:rPr>
              <w:t>10.16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10.28</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95" w:lineRule="exact"/>
              <w:rPr>
                <w:rFonts w:ascii="Arial" w:cs="Arial" w:eastAsia="Arial" w:hAnsi="Arial"/>
                <w:sz w:val="18"/>
                <w:szCs w:val="18"/>
                <w:color w:val="0000FF"/>
              </w:rPr>
            </w:pPr>
            <w:hyperlink r:id="rId238">
              <w:r>
                <w:rPr>
                  <w:rFonts w:ascii="Arial" w:cs="Arial" w:eastAsia="Arial" w:hAnsi="Arial"/>
                  <w:sz w:val="18"/>
                  <w:szCs w:val="18"/>
                  <w:color w:val="0000FF"/>
                </w:rPr>
                <w:t>Employment Agreement by and between Registrant and Ethan</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7"/>
              </w:rPr>
              <w:t>S-1/A</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1/9/2019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10.20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880" w:type="dxa"/>
            <w:vAlign w:val="bottom"/>
            <w:tcBorders>
              <w:top w:val="single" w:sz="8" w:color="0000FF"/>
            </w:tcBorders>
            <w:gridSpan w:val="27"/>
            <w:shd w:val="clear" w:color="auto" w:fill="CCEEFF"/>
          </w:tcPr>
          <w:p>
            <w:pPr>
              <w:spacing w:after="0" w:line="152" w:lineRule="exact"/>
              <w:rPr>
                <w:rFonts w:ascii="Arial" w:cs="Arial" w:eastAsia="Arial" w:hAnsi="Arial"/>
                <w:sz w:val="17"/>
                <w:szCs w:val="17"/>
                <w:color w:val="0000FF"/>
              </w:rPr>
            </w:pPr>
            <w:hyperlink r:id="rId238">
              <w:r>
                <w:rPr>
                  <w:rFonts w:ascii="Arial" w:cs="Arial" w:eastAsia="Arial" w:hAnsi="Arial"/>
                  <w:sz w:val="17"/>
                  <w:szCs w:val="17"/>
                  <w:color w:val="0000FF"/>
                </w:rPr>
                <w:t>Brown.*</w:t>
              </w:r>
            </w:hyperlink>
          </w:p>
        </w:tc>
        <w:tc>
          <w:tcPr>
            <w:tcW w:w="22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10.29</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39">
              <w:r>
                <w:rPr>
                  <w:rFonts w:ascii="Arial" w:cs="Arial" w:eastAsia="Arial" w:hAnsi="Arial"/>
                  <w:sz w:val="18"/>
                  <w:szCs w:val="18"/>
                  <w:color w:val="0000FF"/>
                </w:rPr>
                <w:t>Offer Letter dated April 29, 2019 with Teri L. Witteman.*</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5/20/2019</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10.30</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95" w:lineRule="exact"/>
              <w:rPr>
                <w:rFonts w:ascii="Arial" w:cs="Arial" w:eastAsia="Arial" w:hAnsi="Arial"/>
                <w:sz w:val="18"/>
                <w:szCs w:val="18"/>
                <w:color w:val="0000FF"/>
              </w:rPr>
            </w:pPr>
            <w:hyperlink r:id="rId240">
              <w:r>
                <w:rPr>
                  <w:rFonts w:ascii="Arial" w:cs="Arial" w:eastAsia="Arial" w:hAnsi="Arial"/>
                  <w:sz w:val="18"/>
                  <w:szCs w:val="18"/>
                  <w:color w:val="0000FF"/>
                </w:rPr>
                <w:t>Form of Confirmation of Base Call Option Transaction, dated</w:t>
              </w:r>
            </w:hyperlink>
          </w:p>
        </w:tc>
        <w:tc>
          <w:tcPr>
            <w:tcW w:w="9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3/05/2021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720" w:type="dxa"/>
            <w:vAlign w:val="bottom"/>
            <w:tcBorders>
              <w:top w:val="single" w:sz="8" w:color="0000FF"/>
            </w:tcBorders>
            <w:gridSpan w:val="21"/>
            <w:shd w:val="clear" w:color="auto" w:fill="CCEEFF"/>
          </w:tcPr>
          <w:p>
            <w:pPr>
              <w:spacing w:after="0" w:line="152" w:lineRule="exact"/>
              <w:rPr>
                <w:rFonts w:ascii="Arial" w:cs="Arial" w:eastAsia="Arial" w:hAnsi="Arial"/>
                <w:sz w:val="17"/>
                <w:szCs w:val="17"/>
                <w:color w:val="0000FF"/>
              </w:rPr>
            </w:pPr>
            <w:hyperlink r:id="rId240">
              <w:r>
                <w:rPr>
                  <w:rFonts w:ascii="Arial" w:cs="Arial" w:eastAsia="Arial" w:hAnsi="Arial"/>
                  <w:sz w:val="17"/>
                  <w:szCs w:val="17"/>
                  <w:color w:val="0000FF"/>
                </w:rPr>
                <w:t>March 2, 2021.</w:t>
              </w:r>
            </w:hyperlink>
          </w:p>
        </w:tc>
        <w:tc>
          <w:tcPr>
            <w:tcW w:w="120" w:type="dxa"/>
            <w:vAlign w:val="bottom"/>
            <w:tcBorders>
              <w:top w:val="single" w:sz="8" w:color="CCEEFF"/>
            </w:tcBorders>
            <w:gridSpan w:val="5"/>
            <w:shd w:val="clear" w:color="auto" w:fill="CCEEFF"/>
          </w:tcPr>
          <w:p>
            <w:pPr>
              <w:spacing w:after="0"/>
              <w:rPr>
                <w:sz w:val="13"/>
                <w:szCs w:val="13"/>
                <w:color w:val="auto"/>
              </w:rPr>
            </w:pPr>
          </w:p>
        </w:tc>
        <w:tc>
          <w:tcPr>
            <w:tcW w:w="260" w:type="dxa"/>
            <w:vAlign w:val="bottom"/>
            <w:tcBorders>
              <w:top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10.31</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41">
              <w:r>
                <w:rPr>
                  <w:rFonts w:ascii="Arial" w:cs="Arial" w:eastAsia="Arial" w:hAnsi="Arial"/>
                  <w:sz w:val="18"/>
                  <w:szCs w:val="18"/>
                  <w:color w:val="0000FF"/>
                </w:rPr>
                <w:t>Form of Confirmation of Additional Call Option Transaction, dated</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7"/>
              </w:rPr>
              <w:t>3/16/2021</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tcBorders>
            <w:gridSpan w:val="35"/>
          </w:tcPr>
          <w:p>
            <w:pPr>
              <w:spacing w:after="0" w:line="152" w:lineRule="exact"/>
              <w:rPr>
                <w:rFonts w:ascii="Arial" w:cs="Arial" w:eastAsia="Arial" w:hAnsi="Arial"/>
                <w:sz w:val="17"/>
                <w:szCs w:val="17"/>
                <w:color w:val="0000FF"/>
              </w:rPr>
            </w:pPr>
            <w:hyperlink r:id="rId241">
              <w:r>
                <w:rPr>
                  <w:rFonts w:ascii="Arial" w:cs="Arial" w:eastAsia="Arial" w:hAnsi="Arial"/>
                  <w:sz w:val="17"/>
                  <w:szCs w:val="17"/>
                  <w:color w:val="0000FF"/>
                </w:rPr>
                <w:t>March 12, 2021.</w:t>
              </w:r>
            </w:hyperlink>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10.32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sz w:val="20"/>
                <w:szCs w:val="20"/>
                <w:color w:val="auto"/>
              </w:rPr>
            </w:pPr>
            <w:r>
              <w:rPr>
                <w:rFonts w:ascii="Arial" w:cs="Arial" w:eastAsia="Arial" w:hAnsi="Arial"/>
                <w:sz w:val="18"/>
                <w:szCs w:val="18"/>
                <w:color w:val="0000FF"/>
              </w:rPr>
              <w:t>Offer letter dated December 14, 2018 between the Company and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34"/>
            <w:shd w:val="clear" w:color="auto" w:fill="CCEEFF"/>
          </w:tcPr>
          <w:p>
            <w:pPr>
              <w:spacing w:after="0" w:line="152" w:lineRule="exact"/>
              <w:rPr>
                <w:sz w:val="20"/>
                <w:szCs w:val="20"/>
                <w:color w:val="auto"/>
              </w:rPr>
            </w:pPr>
            <w:r>
              <w:rPr>
                <w:rFonts w:ascii="Arial" w:cs="Arial" w:eastAsia="Arial" w:hAnsi="Arial"/>
                <w:sz w:val="17"/>
                <w:szCs w:val="17"/>
                <w:color w:val="0000FF"/>
              </w:rPr>
              <w:t>Lubi Kutua.</w:t>
            </w:r>
            <w:r>
              <w:rPr>
                <w:rFonts w:ascii="Arial" w:cs="Arial" w:eastAsia="Arial" w:hAnsi="Arial"/>
                <w:sz w:val="17"/>
                <w:szCs w:val="17"/>
                <w:color w:val="000000"/>
              </w:rPr>
              <w:t>*+</w:t>
            </w:r>
          </w:p>
        </w:tc>
        <w:tc>
          <w:tcPr>
            <w:tcW w:w="180" w:type="dxa"/>
            <w:vAlign w:val="bottom"/>
            <w:tcBorders>
              <w:top w:val="single" w:sz="8" w:color="CCEEFF"/>
            </w:tcBorders>
            <w:gridSpan w:val="3"/>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10.33</w:t>
            </w:r>
          </w:p>
        </w:tc>
        <w:tc>
          <w:tcPr>
            <w:tcW w:w="140" w:type="dxa"/>
            <w:vAlign w:val="bottom"/>
          </w:tcPr>
          <w:p>
            <w:pPr>
              <w:spacing w:after="0"/>
              <w:rPr>
                <w:sz w:val="16"/>
                <w:szCs w:val="16"/>
                <w:color w:val="auto"/>
              </w:rPr>
            </w:pPr>
          </w:p>
        </w:tc>
        <w:tc>
          <w:tcPr>
            <w:tcW w:w="5280" w:type="dxa"/>
            <w:vAlign w:val="bottom"/>
            <w:gridSpan w:val="37"/>
          </w:tcPr>
          <w:p>
            <w:pPr>
              <w:spacing w:after="0" w:line="186" w:lineRule="exact"/>
              <w:rPr>
                <w:rFonts w:ascii="Arial" w:cs="Arial" w:eastAsia="Arial" w:hAnsi="Arial"/>
                <w:sz w:val="18"/>
                <w:szCs w:val="18"/>
                <w:color w:val="0000FF"/>
              </w:rPr>
            </w:pPr>
            <w:hyperlink r:id="rId242">
              <w:r>
                <w:rPr>
                  <w:rFonts w:ascii="Arial" w:cs="Arial" w:eastAsia="Arial" w:hAnsi="Arial"/>
                  <w:sz w:val="18"/>
                  <w:szCs w:val="18"/>
                  <w:color w:val="0000FF"/>
                </w:rPr>
                <w:t>Letter agreement dated November 10, 2022 between the</w:t>
              </w:r>
            </w:hyperlink>
          </w:p>
        </w:tc>
        <w:tc>
          <w:tcPr>
            <w:tcW w:w="94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6" w:lineRule="exact"/>
              <w:rPr>
                <w:sz w:val="20"/>
                <w:szCs w:val="20"/>
                <w:color w:val="auto"/>
              </w:rPr>
            </w:pPr>
            <w:r>
              <w:rPr>
                <w:rFonts w:ascii="Arial" w:cs="Arial" w:eastAsia="Arial" w:hAnsi="Arial"/>
                <w:sz w:val="18"/>
                <w:szCs w:val="18"/>
                <w:color w:val="auto"/>
                <w:w w:val="95"/>
              </w:rPr>
              <w:t>11/16/2022</w:t>
            </w:r>
          </w:p>
        </w:tc>
        <w:tc>
          <w:tcPr>
            <w:tcW w:w="100" w:type="dxa"/>
            <w:vAlign w:val="bottom"/>
          </w:tcPr>
          <w:p>
            <w:pPr>
              <w:spacing w:after="0"/>
              <w:rPr>
                <w:sz w:val="16"/>
                <w:szCs w:val="16"/>
                <w:color w:val="auto"/>
              </w:rPr>
            </w:pPr>
          </w:p>
        </w:tc>
        <w:tc>
          <w:tcPr>
            <w:tcW w:w="1020" w:type="dxa"/>
            <w:vAlign w:val="bottom"/>
          </w:tcPr>
          <w:p>
            <w:pPr>
              <w:jc w:val="center"/>
              <w:spacing w:after="0" w:line="186"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42">
              <w:r>
                <w:rPr>
                  <w:rFonts w:ascii="Arial" w:cs="Arial" w:eastAsia="Arial" w:hAnsi="Arial"/>
                  <w:sz w:val="17"/>
                  <w:szCs w:val="17"/>
                  <w:color w:val="0000FF"/>
                </w:rPr>
                <w:t>Company and Lubi Kutua.*</w:t>
              </w:r>
            </w:hyperlink>
          </w:p>
        </w:tc>
        <w:tc>
          <w:tcPr>
            <w:tcW w:w="400" w:type="dxa"/>
            <w:vAlign w:val="bottom"/>
            <w:gridSpan w:val="7"/>
          </w:tcPr>
          <w:p>
            <w:pPr>
              <w:spacing w:after="0"/>
              <w:rPr>
                <w:sz w:val="13"/>
                <w:szCs w:val="13"/>
                <w:color w:val="auto"/>
              </w:rPr>
            </w:pPr>
          </w:p>
        </w:tc>
        <w:tc>
          <w:tcPr>
            <w:tcW w:w="44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10.34</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37"/>
            <w:shd w:val="clear" w:color="auto" w:fill="CCEEFF"/>
          </w:tcPr>
          <w:p>
            <w:pPr>
              <w:spacing w:after="0" w:line="186" w:lineRule="exact"/>
              <w:rPr>
                <w:sz w:val="20"/>
                <w:szCs w:val="20"/>
                <w:color w:val="auto"/>
              </w:rPr>
            </w:pPr>
            <w:r>
              <w:rPr>
                <w:rFonts w:ascii="Arial" w:cs="Arial" w:eastAsia="Arial" w:hAnsi="Arial"/>
                <w:sz w:val="18"/>
                <w:szCs w:val="18"/>
                <w:color w:val="0000FF"/>
              </w:rPr>
              <w:t>Offer Letter dated January 5, 2023 between the Company and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840" w:type="dxa"/>
            <w:vAlign w:val="bottom"/>
            <w:tcBorders>
              <w:top w:val="single" w:sz="8" w:color="0000FF"/>
            </w:tcBorders>
            <w:gridSpan w:val="26"/>
            <w:shd w:val="clear" w:color="auto" w:fill="CCEEFF"/>
          </w:tcPr>
          <w:p>
            <w:pPr>
              <w:spacing w:after="0" w:line="152" w:lineRule="exact"/>
              <w:rPr>
                <w:sz w:val="20"/>
                <w:szCs w:val="20"/>
                <w:color w:val="auto"/>
              </w:rPr>
            </w:pPr>
            <w:r>
              <w:rPr>
                <w:rFonts w:ascii="Arial" w:cs="Arial" w:eastAsia="Arial" w:hAnsi="Arial"/>
                <w:sz w:val="17"/>
                <w:szCs w:val="17"/>
                <w:color w:val="0000FF"/>
              </w:rPr>
              <w:t>Akerho Oghoghomeh.</w:t>
            </w:r>
            <w:r>
              <w:rPr>
                <w:rFonts w:ascii="Arial" w:cs="Arial" w:eastAsia="Arial" w:hAnsi="Arial"/>
                <w:sz w:val="17"/>
                <w:szCs w:val="17"/>
                <w:color w:val="000000"/>
              </w:rPr>
              <w:t>*</w:t>
            </w:r>
          </w:p>
        </w:tc>
        <w:tc>
          <w:tcPr>
            <w:tcW w:w="440" w:type="dxa"/>
            <w:vAlign w:val="bottom"/>
            <w:tcBorders>
              <w:top w:val="single" w:sz="8" w:color="CCEEFF"/>
            </w:tcBorders>
            <w:gridSpan w:val="11"/>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0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gridSpan w:val="14"/>
            <w:vMerge w:val="restart"/>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vMerge w:val="restart"/>
          </w:tcPr>
          <w:p>
            <w:pPr>
              <w:spacing w:after="0"/>
              <w:rPr>
                <w:sz w:val="13"/>
                <w:szCs w:val="13"/>
                <w:color w:val="auto"/>
              </w:rPr>
            </w:pP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4"/>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400" w:type="dxa"/>
            <w:vAlign w:val="bottom"/>
            <w:tcBorders>
              <w:bottom w:val="single" w:sz="8" w:color="auto"/>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7"/>
              </w:rPr>
              <w:t>10.35</w:t>
            </w:r>
          </w:p>
        </w:tc>
        <w:tc>
          <w:tcPr>
            <w:tcW w:w="140" w:type="dxa"/>
            <w:vAlign w:val="bottom"/>
          </w:tcPr>
          <w:p>
            <w:pPr>
              <w:spacing w:after="0"/>
              <w:rPr>
                <w:sz w:val="19"/>
                <w:szCs w:val="19"/>
                <w:color w:val="auto"/>
              </w:rPr>
            </w:pPr>
          </w:p>
        </w:tc>
        <w:tc>
          <w:tcPr>
            <w:tcW w:w="5280" w:type="dxa"/>
            <w:vAlign w:val="bottom"/>
            <w:gridSpan w:val="20"/>
            <w:vMerge w:val="restart"/>
          </w:tcPr>
          <w:p>
            <w:pPr>
              <w:spacing w:after="0"/>
              <w:rPr>
                <w:sz w:val="20"/>
                <w:szCs w:val="20"/>
                <w:color w:val="auto"/>
              </w:rPr>
            </w:pPr>
            <w:r>
              <w:rPr>
                <w:rFonts w:ascii="Arial" w:cs="Arial" w:eastAsia="Arial" w:hAnsi="Arial"/>
                <w:sz w:val="18"/>
                <w:szCs w:val="18"/>
                <w:color w:val="0000FF"/>
              </w:rPr>
              <w:t>Offer Letter dated May 5, 2021 between the Company and</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Date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gridSpan w:val="20"/>
            <w:vMerge w:val="continue"/>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60" w:type="dxa"/>
            <w:vAlign w:val="bottom"/>
            <w:tcBorders>
              <w:top w:val="single" w:sz="8" w:color="0000FF"/>
            </w:tcBorders>
            <w:gridSpan w:val="10"/>
          </w:tcPr>
          <w:p>
            <w:pPr>
              <w:spacing w:after="0" w:line="152" w:lineRule="exact"/>
              <w:rPr>
                <w:sz w:val="20"/>
                <w:szCs w:val="20"/>
                <w:color w:val="auto"/>
              </w:rPr>
            </w:pPr>
            <w:r>
              <w:rPr>
                <w:rFonts w:ascii="Arial" w:cs="Arial" w:eastAsia="Arial" w:hAnsi="Arial"/>
                <w:sz w:val="17"/>
                <w:szCs w:val="17"/>
                <w:color w:val="0000FF"/>
              </w:rPr>
              <w:t>Jonathan Nelson.</w:t>
            </w:r>
            <w:r>
              <w:rPr>
                <w:rFonts w:ascii="Arial" w:cs="Arial" w:eastAsia="Arial" w:hAnsi="Arial"/>
                <w:sz w:val="17"/>
                <w:szCs w:val="17"/>
                <w:color w:val="000000"/>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7"/>
              </w:rPr>
              <w:t>10.36</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0"/>
            <w:shd w:val="clear" w:color="auto" w:fill="CCEEFF"/>
          </w:tcPr>
          <w:p>
            <w:pPr>
              <w:spacing w:after="0" w:line="186" w:lineRule="exact"/>
              <w:rPr>
                <w:sz w:val="20"/>
                <w:szCs w:val="20"/>
                <w:color w:val="auto"/>
              </w:rPr>
            </w:pPr>
            <w:r>
              <w:rPr>
                <w:rFonts w:ascii="Arial" w:cs="Arial" w:eastAsia="Arial" w:hAnsi="Arial"/>
                <w:sz w:val="18"/>
                <w:szCs w:val="18"/>
                <w:color w:val="0000FF"/>
              </w:rPr>
              <w:t>Letter agreement dated October 13, 2022 between the Company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16"/>
            <w:shd w:val="clear" w:color="auto" w:fill="CCEEFF"/>
          </w:tcPr>
          <w:p>
            <w:pPr>
              <w:spacing w:after="0" w:line="152" w:lineRule="exact"/>
              <w:rPr>
                <w:sz w:val="20"/>
                <w:szCs w:val="20"/>
                <w:color w:val="auto"/>
              </w:rPr>
            </w:pPr>
            <w:r>
              <w:rPr>
                <w:rFonts w:ascii="Arial" w:cs="Arial" w:eastAsia="Arial" w:hAnsi="Arial"/>
                <w:sz w:val="17"/>
                <w:szCs w:val="17"/>
                <w:color w:val="0000FF"/>
              </w:rPr>
              <w:t>and Jonathan Nelson.</w:t>
            </w:r>
            <w:r>
              <w:rPr>
                <w:rFonts w:ascii="Arial" w:cs="Arial" w:eastAsia="Arial" w:hAnsi="Arial"/>
                <w:sz w:val="17"/>
                <w:szCs w:val="17"/>
                <w:color w:val="000000"/>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14.1</w:t>
            </w:r>
          </w:p>
        </w:tc>
        <w:tc>
          <w:tcPr>
            <w:tcW w:w="140" w:type="dxa"/>
            <w:vAlign w:val="bottom"/>
          </w:tcPr>
          <w:p>
            <w:pPr>
              <w:spacing w:after="0"/>
              <w:rPr>
                <w:sz w:val="16"/>
                <w:szCs w:val="16"/>
                <w:color w:val="auto"/>
              </w:rPr>
            </w:pPr>
          </w:p>
        </w:tc>
        <w:tc>
          <w:tcPr>
            <w:tcW w:w="5280" w:type="dxa"/>
            <w:vAlign w:val="bottom"/>
            <w:gridSpan w:val="20"/>
          </w:tcPr>
          <w:p>
            <w:pPr>
              <w:spacing w:after="0" w:line="186" w:lineRule="exact"/>
              <w:rPr>
                <w:rFonts w:ascii="Arial" w:cs="Arial" w:eastAsia="Arial" w:hAnsi="Arial"/>
                <w:sz w:val="18"/>
                <w:szCs w:val="18"/>
                <w:color w:val="0000FF"/>
                <w:w w:val="99"/>
              </w:rPr>
            </w:pPr>
            <w:hyperlink r:id="rId244">
              <w:r>
                <w:rPr>
                  <w:rFonts w:ascii="Arial" w:cs="Arial" w:eastAsia="Arial" w:hAnsi="Arial"/>
                  <w:sz w:val="18"/>
                  <w:szCs w:val="18"/>
                  <w:color w:val="0000FF"/>
                  <w:w w:val="99"/>
                </w:rPr>
                <w:t>Code of Business Conduct and Ethics, as amended effective as of</w:t>
              </w:r>
            </w:hyperlink>
          </w:p>
        </w:tc>
        <w:tc>
          <w:tcPr>
            <w:tcW w:w="940" w:type="dxa"/>
            <w:vAlign w:val="bottom"/>
            <w:gridSpan w:val="2"/>
          </w:tcPr>
          <w:p>
            <w:pPr>
              <w:jc w:val="center"/>
              <w:ind w:right="120"/>
              <w:spacing w:after="0" w:line="186"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232"/>
              <w:spacing w:after="0" w:line="186" w:lineRule="exact"/>
              <w:rPr>
                <w:sz w:val="20"/>
                <w:szCs w:val="20"/>
                <w:color w:val="auto"/>
              </w:rPr>
            </w:pPr>
            <w:r>
              <w:rPr>
                <w:rFonts w:ascii="Arial" w:cs="Arial" w:eastAsia="Arial" w:hAnsi="Arial"/>
                <w:sz w:val="18"/>
                <w:szCs w:val="18"/>
                <w:color w:val="auto"/>
              </w:rPr>
              <w:t>3/1/2023</w:t>
            </w:r>
          </w:p>
        </w:tc>
        <w:tc>
          <w:tcPr>
            <w:tcW w:w="100" w:type="dxa"/>
            <w:vAlign w:val="bottom"/>
          </w:tcPr>
          <w:p>
            <w:pPr>
              <w:spacing w:after="0"/>
              <w:rPr>
                <w:sz w:val="16"/>
                <w:szCs w:val="16"/>
                <w:color w:val="auto"/>
              </w:rPr>
            </w:pPr>
          </w:p>
        </w:tc>
        <w:tc>
          <w:tcPr>
            <w:tcW w:w="1020" w:type="dxa"/>
            <w:vAlign w:val="bottom"/>
          </w:tcPr>
          <w:p>
            <w:pPr>
              <w:jc w:val="right"/>
              <w:ind w:right="252"/>
              <w:spacing w:after="0" w:line="186"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244">
              <w:r>
                <w:rPr>
                  <w:rFonts w:ascii="Arial" w:cs="Arial" w:eastAsia="Arial" w:hAnsi="Arial"/>
                  <w:sz w:val="17"/>
                  <w:szCs w:val="17"/>
                  <w:color w:val="0000FF"/>
                </w:rPr>
                <w:t>December 16, 2022.</w:t>
              </w:r>
            </w:hyperlink>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6"/>
              </w:rPr>
              <w:t>19.1</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0"/>
            <w:shd w:val="clear" w:color="auto" w:fill="CCEEFF"/>
          </w:tcPr>
          <w:p>
            <w:pPr>
              <w:spacing w:after="0" w:line="186" w:lineRule="exact"/>
              <w:rPr>
                <w:sz w:val="20"/>
                <w:szCs w:val="20"/>
                <w:color w:val="auto"/>
              </w:rPr>
            </w:pPr>
            <w:r>
              <w:rPr>
                <w:rFonts w:ascii="Arial" w:cs="Arial" w:eastAsia="Arial" w:hAnsi="Arial"/>
                <w:sz w:val="18"/>
                <w:szCs w:val="18"/>
                <w:color w:val="0000FF"/>
              </w:rPr>
              <w:t>Insider Trading Policy amended as of October 27, 2023.</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21.1</w:t>
            </w:r>
          </w:p>
        </w:tc>
        <w:tc>
          <w:tcPr>
            <w:tcW w:w="140" w:type="dxa"/>
            <w:vAlign w:val="bottom"/>
          </w:tcPr>
          <w:p>
            <w:pPr>
              <w:spacing w:after="0"/>
              <w:rPr>
                <w:sz w:val="16"/>
                <w:szCs w:val="16"/>
                <w:color w:val="auto"/>
              </w:rPr>
            </w:pPr>
          </w:p>
        </w:tc>
        <w:tc>
          <w:tcPr>
            <w:tcW w:w="5280" w:type="dxa"/>
            <w:vAlign w:val="bottom"/>
            <w:gridSpan w:val="20"/>
          </w:tcPr>
          <w:p>
            <w:pPr>
              <w:spacing w:after="0" w:line="186" w:lineRule="exact"/>
              <w:rPr>
                <w:sz w:val="20"/>
                <w:szCs w:val="20"/>
                <w:color w:val="auto"/>
              </w:rPr>
            </w:pPr>
            <w:r>
              <w:rPr>
                <w:rFonts w:ascii="Arial" w:cs="Arial" w:eastAsia="Arial" w:hAnsi="Arial"/>
                <w:sz w:val="18"/>
                <w:szCs w:val="18"/>
                <w:color w:val="0000FF"/>
              </w:rPr>
              <w:t>Subsidiaries</w:t>
            </w:r>
            <w:r>
              <w:rPr>
                <w:rFonts w:ascii="Arial" w:cs="Arial" w:eastAsia="Arial" w:hAnsi="Arial"/>
                <w:sz w:val="18"/>
                <w:szCs w:val="18"/>
                <w:color w:val="000000"/>
              </w:rPr>
              <w: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23.1</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rPr>
              <w:t>Consent of Independent Registered Public Accounting Firm</w:t>
            </w:r>
            <w:r>
              <w:rPr>
                <w:rFonts w:ascii="Arial" w:cs="Arial" w:eastAsia="Arial" w:hAnsi="Arial"/>
                <w:sz w:val="18"/>
                <w:szCs w:val="18"/>
                <w:color w:val="000000"/>
              </w:rPr>
              <w: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tcPr>
          <w:p>
            <w:pPr>
              <w:jc w:val="center"/>
              <w:spacing w:after="0" w:line="172" w:lineRule="exact"/>
              <w:rPr>
                <w:sz w:val="20"/>
                <w:szCs w:val="20"/>
                <w:color w:val="auto"/>
              </w:rPr>
            </w:pPr>
            <w:r>
              <w:rPr>
                <w:rFonts w:ascii="Arial" w:cs="Arial" w:eastAsia="Arial" w:hAnsi="Arial"/>
                <w:sz w:val="18"/>
                <w:szCs w:val="18"/>
                <w:color w:val="auto"/>
                <w:w w:val="96"/>
              </w:rPr>
              <w:t>31.1</w:t>
            </w:r>
          </w:p>
        </w:tc>
        <w:tc>
          <w:tcPr>
            <w:tcW w:w="140" w:type="dxa"/>
            <w:vAlign w:val="bottom"/>
          </w:tcPr>
          <w:p>
            <w:pPr>
              <w:spacing w:after="0"/>
              <w:rPr>
                <w:sz w:val="15"/>
                <w:szCs w:val="15"/>
                <w:color w:val="auto"/>
              </w:rPr>
            </w:pPr>
          </w:p>
        </w:tc>
        <w:tc>
          <w:tcPr>
            <w:tcW w:w="5280" w:type="dxa"/>
            <w:vAlign w:val="bottom"/>
            <w:gridSpan w:val="20"/>
          </w:tcPr>
          <w:p>
            <w:pPr>
              <w:spacing w:after="0" w:line="172" w:lineRule="exact"/>
              <w:rPr>
                <w:sz w:val="20"/>
                <w:szCs w:val="20"/>
                <w:color w:val="auto"/>
              </w:rPr>
            </w:pPr>
            <w:r>
              <w:rPr>
                <w:rFonts w:ascii="Arial" w:cs="Arial" w:eastAsia="Arial" w:hAnsi="Arial"/>
                <w:sz w:val="18"/>
                <w:szCs w:val="18"/>
                <w:color w:val="0000FF"/>
              </w:rPr>
              <w:t>Certification of Chief Executive Officer pursuant to Rules 13a-</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2"/>
          </w:tcPr>
          <w:p>
            <w:pPr>
              <w:spacing w:after="0" w:line="159" w:lineRule="exact"/>
              <w:rPr>
                <w:sz w:val="20"/>
                <w:szCs w:val="20"/>
                <w:color w:val="auto"/>
              </w:rPr>
            </w:pPr>
            <w:r>
              <w:rPr>
                <w:rFonts w:ascii="Arial" w:cs="Arial" w:eastAsia="Arial" w:hAnsi="Arial"/>
                <w:sz w:val="18"/>
                <w:szCs w:val="18"/>
                <w:color w:val="0000FF"/>
                <w:w w:val="99"/>
              </w:rPr>
              <w:t>14(a) and 15d-14(a) of the Securities Exchange Act of 1934,</w:t>
            </w:r>
          </w:p>
        </w:tc>
        <w:tc>
          <w:tcPr>
            <w:tcW w:w="140" w:type="dxa"/>
            <w:vAlign w:val="bottom"/>
            <w:tcBorders>
              <w:bottom w:val="single" w:sz="8" w:color="0000FF"/>
            </w:tcBorders>
            <w:gridSpan w:val="2"/>
          </w:tcPr>
          <w:p>
            <w:pPr>
              <w:spacing w:after="0" w:line="159" w:lineRule="exact"/>
              <w:rPr>
                <w:sz w:val="20"/>
                <w:szCs w:val="20"/>
                <w:color w:val="auto"/>
              </w:rPr>
            </w:pPr>
            <w:r>
              <w:rPr>
                <w:rFonts w:ascii="Arial" w:cs="Arial" w:eastAsia="Arial" w:hAnsi="Arial"/>
                <w:sz w:val="15"/>
                <w:szCs w:val="15"/>
                <w:color w:val="0000FF"/>
                <w:w w:val="75"/>
              </w:rPr>
              <w:t>as</w:t>
            </w:r>
          </w:p>
        </w:tc>
        <w:tc>
          <w:tcPr>
            <w:tcW w:w="34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gridSpan w:val="20"/>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60" w:type="dxa"/>
            <w:vAlign w:val="bottom"/>
            <w:tcBorders>
              <w:top w:val="single" w:sz="8" w:color="0000FF"/>
            </w:tcBorders>
            <w:gridSpan w:val="15"/>
          </w:tcPr>
          <w:p>
            <w:pPr>
              <w:spacing w:after="0" w:line="152" w:lineRule="exact"/>
              <w:rPr>
                <w:sz w:val="20"/>
                <w:szCs w:val="20"/>
                <w:color w:val="auto"/>
              </w:rPr>
            </w:pPr>
            <w:r>
              <w:rPr>
                <w:rFonts w:ascii="Arial" w:cs="Arial" w:eastAsia="Arial" w:hAnsi="Arial"/>
                <w:sz w:val="17"/>
                <w:szCs w:val="17"/>
                <w:color w:val="0000FF"/>
              </w:rPr>
              <w:t>Oxley Act of 2002.</w:t>
            </w:r>
          </w:p>
        </w:tc>
        <w:tc>
          <w:tcPr>
            <w:tcW w:w="1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31.2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w w:val="99"/>
              </w:rPr>
              <w:t>Certification of Chief Financial Officer pursuant to Rules 13a-14(a)</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480" w:type="dxa"/>
            <w:vAlign w:val="bottom"/>
            <w:tcBorders>
              <w:top w:val="single" w:sz="8" w:color="0000FF"/>
              <w:bottom w:val="single" w:sz="8" w:color="0000FF"/>
            </w:tcBorders>
            <w:gridSpan w:val="9"/>
            <w:shd w:val="clear" w:color="auto" w:fill="CCEEFF"/>
          </w:tcPr>
          <w:p>
            <w:pPr>
              <w:spacing w:after="0" w:line="152" w:lineRule="exact"/>
              <w:rPr>
                <w:sz w:val="20"/>
                <w:szCs w:val="20"/>
                <w:color w:val="auto"/>
              </w:rPr>
            </w:pPr>
            <w:r>
              <w:rPr>
                <w:rFonts w:ascii="Arial" w:cs="Arial" w:eastAsia="Arial" w:hAnsi="Arial"/>
                <w:sz w:val="17"/>
                <w:szCs w:val="17"/>
                <w:color w:val="0000FF"/>
              </w:rPr>
              <w:t>and 15d-14(a) of the Securities Exchange Act of 1934, as</w:t>
            </w:r>
          </w:p>
        </w:tc>
        <w:tc>
          <w:tcPr>
            <w:tcW w:w="66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280" w:type="dxa"/>
            <w:vAlign w:val="bottom"/>
            <w:gridSpan w:val="20"/>
            <w:shd w:val="clear" w:color="auto" w:fill="CCEEFF"/>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960" w:type="dxa"/>
            <w:vAlign w:val="bottom"/>
            <w:tcBorders>
              <w:top w:val="single" w:sz="8" w:color="0000FF"/>
            </w:tcBorders>
            <w:gridSpan w:val="15"/>
            <w:shd w:val="clear" w:color="auto" w:fill="CCEEFF"/>
          </w:tcPr>
          <w:p>
            <w:pPr>
              <w:spacing w:after="0" w:line="152" w:lineRule="exact"/>
              <w:rPr>
                <w:sz w:val="20"/>
                <w:szCs w:val="20"/>
                <w:color w:val="auto"/>
              </w:rPr>
            </w:pPr>
            <w:r>
              <w:rPr>
                <w:rFonts w:ascii="Arial" w:cs="Arial" w:eastAsia="Arial" w:hAnsi="Arial"/>
                <w:sz w:val="17"/>
                <w:szCs w:val="17"/>
                <w:color w:val="0000FF"/>
              </w:rPr>
              <w:t>Oxley Act of 2002.</w:t>
            </w:r>
          </w:p>
        </w:tc>
        <w:tc>
          <w:tcPr>
            <w:tcW w:w="32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16"/>
                <w:szCs w:val="16"/>
                <w:color w:val="auto"/>
              </w:rPr>
            </w:pPr>
          </w:p>
        </w:tc>
        <w:tc>
          <w:tcPr>
            <w:tcW w:w="5280" w:type="dxa"/>
            <w:vAlign w:val="bottom"/>
            <w:gridSpan w:val="20"/>
          </w:tcPr>
          <w:p>
            <w:pPr>
              <w:spacing w:after="0" w:line="186" w:lineRule="exact"/>
              <w:rPr>
                <w:sz w:val="20"/>
                <w:szCs w:val="20"/>
                <w:color w:val="auto"/>
              </w:rPr>
            </w:pPr>
            <w:r>
              <w:rPr>
                <w:rFonts w:ascii="Arial" w:cs="Arial" w:eastAsia="Arial" w:hAnsi="Arial"/>
                <w:sz w:val="18"/>
                <w:szCs w:val="18"/>
                <w:color w:val="0000FF"/>
              </w:rPr>
              <w:t>Certification of Chief Executive Officer pursuant to 18 U.S.C.</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FF"/>
            </w:tcBorders>
            <w:gridSpan w:val="11"/>
          </w:tcPr>
          <w:p>
            <w:pPr>
              <w:spacing w:after="0" w:line="152" w:lineRule="exact"/>
              <w:rPr>
                <w:sz w:val="20"/>
                <w:szCs w:val="20"/>
                <w:color w:val="auto"/>
              </w:rPr>
            </w:pPr>
            <w:r>
              <w:rPr>
                <w:rFonts w:ascii="Arial" w:cs="Arial" w:eastAsia="Arial" w:hAnsi="Arial"/>
                <w:sz w:val="17"/>
                <w:szCs w:val="17"/>
                <w:color w:val="0000FF"/>
              </w:rPr>
              <w:t>Section 1350, as adopted pursuant to Section 906 of the</w:t>
            </w:r>
          </w:p>
        </w:tc>
        <w:tc>
          <w:tcPr>
            <w:tcW w:w="220" w:type="dxa"/>
            <w:vAlign w:val="bottom"/>
            <w:gridSpan w:val="2"/>
          </w:tcPr>
          <w:p>
            <w:pPr>
              <w:spacing w:after="0"/>
              <w:rPr>
                <w:sz w:val="13"/>
                <w:szCs w:val="13"/>
                <w:color w:val="auto"/>
              </w:rPr>
            </w:pPr>
          </w:p>
        </w:tc>
        <w:tc>
          <w:tcPr>
            <w:tcW w:w="36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0" w:type="dxa"/>
            <w:vAlign w:val="bottom"/>
            <w:tcBorders>
              <w:top w:val="single" w:sz="8" w:color="0000FF"/>
            </w:tcBorders>
            <w:gridSpan w:val="8"/>
          </w:tcPr>
          <w:p>
            <w:pPr>
              <w:spacing w:after="0" w:line="165" w:lineRule="exact"/>
              <w:rPr>
                <w:sz w:val="20"/>
                <w:szCs w:val="20"/>
                <w:color w:val="auto"/>
              </w:rPr>
            </w:pPr>
            <w:r>
              <w:rPr>
                <w:rFonts w:ascii="Arial" w:cs="Arial" w:eastAsia="Arial" w:hAnsi="Arial"/>
                <w:sz w:val="18"/>
                <w:szCs w:val="18"/>
                <w:color w:val="0000FF"/>
              </w:rPr>
              <w:t>Sarbanes-Oxley Act of 2002.</w:t>
            </w:r>
          </w:p>
        </w:tc>
        <w:tc>
          <w:tcPr>
            <w:tcW w:w="30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60" w:type="dxa"/>
            <w:vAlign w:val="bottom"/>
            <w:gridSpan w:val="7"/>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32.2**</w:t>
            </w:r>
          </w:p>
        </w:tc>
        <w:tc>
          <w:tcPr>
            <w:tcW w:w="14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FF"/>
              </w:rPr>
              <w:t>Certification of Chief Financial Officer pursuant to 18 U.S.C.</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4700" w:type="dxa"/>
            <w:vAlign w:val="bottom"/>
            <w:tcBorders>
              <w:top w:val="single" w:sz="8" w:color="0000FF"/>
              <w:right w:val="single" w:sz="8" w:color="CCEEFF"/>
            </w:tcBorders>
            <w:gridSpan w:val="11"/>
            <w:shd w:val="clear" w:color="auto" w:fill="CCEEFF"/>
          </w:tcPr>
          <w:p>
            <w:pPr>
              <w:spacing w:after="0" w:line="152" w:lineRule="exact"/>
              <w:rPr>
                <w:sz w:val="20"/>
                <w:szCs w:val="20"/>
                <w:color w:val="auto"/>
              </w:rPr>
            </w:pPr>
            <w:r>
              <w:rPr>
                <w:rFonts w:ascii="Arial" w:cs="Arial" w:eastAsia="Arial" w:hAnsi="Arial"/>
                <w:sz w:val="17"/>
                <w:szCs w:val="17"/>
                <w:color w:val="0000FF"/>
              </w:rPr>
              <w:t>Section 1350, as adopted pursuant to Section 906 of the</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360" w:type="dxa"/>
            <w:vAlign w:val="bottom"/>
            <w:tcBorders>
              <w:top w:val="single" w:sz="8" w:color="CCEEFF"/>
            </w:tcBorders>
            <w:gridSpan w:val="7"/>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400" w:type="dxa"/>
            <w:vAlign w:val="bottom"/>
            <w:tcBorders>
              <w:top w:val="single" w:sz="8" w:color="0000FF"/>
              <w:right w:val="single" w:sz="8" w:color="CCEEFF"/>
            </w:tcBorders>
            <w:gridSpan w:val="8"/>
            <w:shd w:val="clear" w:color="auto" w:fill="CCEEFF"/>
          </w:tcPr>
          <w:p>
            <w:pPr>
              <w:spacing w:after="0" w:line="165" w:lineRule="exact"/>
              <w:rPr>
                <w:sz w:val="20"/>
                <w:szCs w:val="20"/>
                <w:color w:val="auto"/>
              </w:rPr>
            </w:pPr>
            <w:r>
              <w:rPr>
                <w:rFonts w:ascii="Arial" w:cs="Arial" w:eastAsia="Arial" w:hAnsi="Arial"/>
                <w:sz w:val="18"/>
                <w:szCs w:val="18"/>
                <w:color w:val="0000FF"/>
              </w:rPr>
              <w:t>Sarbanes-Oxley Act of 2002.</w:t>
            </w:r>
          </w:p>
        </w:tc>
        <w:tc>
          <w:tcPr>
            <w:tcW w:w="520" w:type="dxa"/>
            <w:vAlign w:val="bottom"/>
            <w:tcBorders>
              <w:top w:val="single" w:sz="8" w:color="CCEEFF"/>
            </w:tcBorders>
            <w:gridSpan w:val="5"/>
            <w:shd w:val="clear" w:color="auto" w:fill="CCEEFF"/>
          </w:tcPr>
          <w:p>
            <w:pPr>
              <w:spacing w:after="0"/>
              <w:rPr>
                <w:sz w:val="14"/>
                <w:szCs w:val="14"/>
                <w:color w:val="auto"/>
              </w:rPr>
            </w:pPr>
          </w:p>
        </w:tc>
        <w:tc>
          <w:tcPr>
            <w:tcW w:w="360" w:type="dxa"/>
            <w:vAlign w:val="bottom"/>
            <w:tcBorders>
              <w:top w:val="single" w:sz="8" w:color="CCEEFF"/>
            </w:tcBorders>
            <w:gridSpan w:val="7"/>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center"/>
              <w:spacing w:after="0" w:line="186" w:lineRule="exact"/>
              <w:rPr>
                <w:sz w:val="20"/>
                <w:szCs w:val="20"/>
                <w:color w:val="auto"/>
              </w:rPr>
            </w:pPr>
            <w:r>
              <w:rPr>
                <w:rFonts w:ascii="Arial" w:cs="Arial" w:eastAsia="Arial" w:hAnsi="Arial"/>
                <w:sz w:val="18"/>
                <w:szCs w:val="18"/>
                <w:color w:val="auto"/>
                <w:w w:val="96"/>
              </w:rPr>
              <w:t>97.1</w:t>
            </w:r>
          </w:p>
        </w:tc>
        <w:tc>
          <w:tcPr>
            <w:tcW w:w="140" w:type="dxa"/>
            <w:vAlign w:val="bottom"/>
          </w:tcPr>
          <w:p>
            <w:pPr>
              <w:spacing w:after="0"/>
              <w:rPr>
                <w:sz w:val="16"/>
                <w:szCs w:val="16"/>
                <w:color w:val="auto"/>
              </w:rPr>
            </w:pPr>
          </w:p>
        </w:tc>
        <w:tc>
          <w:tcPr>
            <w:tcW w:w="5280" w:type="dxa"/>
            <w:vAlign w:val="bottom"/>
            <w:gridSpan w:val="20"/>
          </w:tcPr>
          <w:p>
            <w:pPr>
              <w:spacing w:after="0" w:line="186" w:lineRule="exact"/>
              <w:rPr>
                <w:sz w:val="20"/>
                <w:szCs w:val="20"/>
                <w:color w:val="auto"/>
              </w:rPr>
            </w:pPr>
            <w:r>
              <w:rPr>
                <w:rFonts w:ascii="Arial" w:cs="Arial" w:eastAsia="Arial" w:hAnsi="Arial"/>
                <w:sz w:val="18"/>
                <w:szCs w:val="18"/>
                <w:color w:val="0000FF"/>
              </w:rPr>
              <w:t>Beyond Meat, Inc. Policy for Recovery of Erroneously Awarded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20" w:type="dxa"/>
            <w:vAlign w:val="bottom"/>
            <w:tcBorders>
              <w:top w:val="single" w:sz="8" w:color="0000FF"/>
            </w:tcBorders>
            <w:gridSpan w:val="13"/>
          </w:tcPr>
          <w:p>
            <w:pPr>
              <w:spacing w:after="0" w:line="152" w:lineRule="exact"/>
              <w:rPr>
                <w:sz w:val="20"/>
                <w:szCs w:val="20"/>
                <w:color w:val="auto"/>
              </w:rPr>
            </w:pPr>
            <w:r>
              <w:rPr>
                <w:rFonts w:ascii="Arial" w:cs="Arial" w:eastAsia="Arial" w:hAnsi="Arial"/>
                <w:sz w:val="17"/>
                <w:szCs w:val="17"/>
                <w:color w:val="0000FF"/>
              </w:rPr>
              <w:t>Compensation effective as of October 2, 2023</w:t>
            </w:r>
            <w:r>
              <w:rPr>
                <w:rFonts w:ascii="Arial" w:cs="Arial" w:eastAsia="Arial" w:hAnsi="Arial"/>
                <w:sz w:val="17"/>
                <w:szCs w:val="17"/>
                <w:color w:val="000000"/>
              </w:rPr>
              <w:t>.</w:t>
            </w:r>
          </w:p>
        </w:tc>
        <w:tc>
          <w:tcPr>
            <w:tcW w:w="360" w:type="dxa"/>
            <w:vAlign w:val="bottom"/>
            <w:gridSpan w:val="7"/>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580" w:type="dxa"/>
            <w:vAlign w:val="bottom"/>
            <w:gridSpan w:val="7"/>
            <w:shd w:val="clear" w:color="auto" w:fill="0000FF"/>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9"/>
              </w:rPr>
              <w:t>101</w:t>
            </w:r>
          </w:p>
        </w:tc>
        <w:tc>
          <w:tcPr>
            <w:tcW w:w="140" w:type="dxa"/>
            <w:vAlign w:val="bottom"/>
          </w:tcPr>
          <w:p>
            <w:pPr>
              <w:spacing w:after="0"/>
              <w:rPr>
                <w:sz w:val="17"/>
                <w:szCs w:val="17"/>
                <w:color w:val="auto"/>
              </w:rPr>
            </w:pPr>
          </w:p>
        </w:tc>
        <w:tc>
          <w:tcPr>
            <w:tcW w:w="5280" w:type="dxa"/>
            <w:vAlign w:val="bottom"/>
            <w:gridSpan w:val="20"/>
          </w:tcPr>
          <w:p>
            <w:pPr>
              <w:spacing w:after="0" w:line="205" w:lineRule="exact"/>
              <w:rPr>
                <w:sz w:val="20"/>
                <w:szCs w:val="20"/>
                <w:color w:val="auto"/>
              </w:rPr>
            </w:pPr>
            <w:r>
              <w:rPr>
                <w:rFonts w:ascii="Arial" w:cs="Arial" w:eastAsia="Arial" w:hAnsi="Arial"/>
                <w:sz w:val="18"/>
                <w:szCs w:val="18"/>
                <w:color w:val="auto"/>
              </w:rPr>
              <w:t>The following financial statements from the Company's Yearly</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gridSpan w:val="20"/>
          </w:tcPr>
          <w:p>
            <w:pPr>
              <w:spacing w:after="0" w:line="198" w:lineRule="exact"/>
              <w:rPr>
                <w:sz w:val="20"/>
                <w:szCs w:val="20"/>
                <w:color w:val="auto"/>
              </w:rPr>
            </w:pPr>
            <w:r>
              <w:rPr>
                <w:rFonts w:ascii="Arial" w:cs="Arial" w:eastAsia="Arial" w:hAnsi="Arial"/>
                <w:sz w:val="18"/>
                <w:szCs w:val="18"/>
                <w:color w:val="auto"/>
              </w:rPr>
              <w:t>Report on Form 10-K for the fiscal year ended December 31,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34860" cy="9340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34860" cy="934085"/>
                    </a:xfrm>
                    <a:prstGeom prst="rect">
                      <a:avLst/>
                    </a:prstGeom>
                    <a:noFill/>
                  </pic:spPr>
                </pic:pic>
              </a:graphicData>
            </a:graphic>
          </wp:anchor>
        </w:drawing>
      </w:r>
    </w:p>
    <w:p>
      <w:pPr>
        <w:ind w:left="1300"/>
        <w:spacing w:after="0" w:line="199" w:lineRule="auto"/>
        <w:rPr>
          <w:sz w:val="20"/>
          <w:szCs w:val="20"/>
          <w:color w:val="auto"/>
        </w:rPr>
      </w:pPr>
      <w:r>
        <w:rPr>
          <w:rFonts w:ascii="Arial" w:cs="Arial" w:eastAsia="Arial" w:hAnsi="Arial"/>
          <w:sz w:val="18"/>
          <w:szCs w:val="18"/>
          <w:color w:val="auto"/>
        </w:rPr>
        <w:t>2023 formatted in Inline XBRL: (i) Consolidated Balance Sheets,</w:t>
      </w:r>
    </w:p>
    <w:p>
      <w:pPr>
        <w:spacing w:after="0" w:line="1" w:lineRule="exact"/>
        <w:rPr>
          <w:sz w:val="20"/>
          <w:szCs w:val="20"/>
          <w:color w:val="auto"/>
        </w:rPr>
      </w:pPr>
    </w:p>
    <w:p>
      <w:pPr>
        <w:ind w:left="1300" w:right="4820" w:firstLine="9"/>
        <w:spacing w:after="0" w:line="225" w:lineRule="auto"/>
        <w:tabs>
          <w:tab w:leader="none" w:pos="15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Consolidated Statements of Operations, (iii) Consolidated Statements of Comprehensive Loss,(iv) Consolidated Statements of Stockholders' Equity (Deficit), (v) Consolidated Statements of Cash Flows and (vi) Notes to Consolidated Financial Statements, tagged as blocks of text and including detailed tags.</w:t>
      </w:r>
    </w:p>
    <w:p>
      <w:pPr>
        <w:spacing w:after="0" w:line="8" w:lineRule="exact"/>
        <w:rPr>
          <w:sz w:val="20"/>
          <w:szCs w:val="20"/>
          <w:color w:val="auto"/>
        </w:rPr>
      </w:pPr>
    </w:p>
    <w:p>
      <w:pPr>
        <w:ind w:left="1300" w:right="500" w:hanging="859"/>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X contained in Exhibit 101)</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285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18" w:lineRule="exact"/>
        <w:rPr>
          <w:sz w:val="20"/>
          <w:szCs w:val="20"/>
          <w:color w:val="auto"/>
        </w:rPr>
      </w:pPr>
    </w:p>
    <w:p>
      <w:pPr>
        <w:ind w:left="20" w:right="580" w:firstLine="4"/>
        <w:spacing w:after="0" w:line="218" w:lineRule="auto"/>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8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4840" w:type="dxa"/>
            <w:vAlign w:val="bottom"/>
            <w:gridSpan w:val="3"/>
            <w:vMerge w:val="continue"/>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gridSpan w:val="4"/>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Pr>
          <w:p>
            <w:pPr>
              <w:ind w:left="1800"/>
              <w:spacing w:after="0"/>
              <w:rPr>
                <w:sz w:val="20"/>
                <w:szCs w:val="20"/>
                <w:color w:val="auto"/>
              </w:rPr>
            </w:pPr>
            <w:r>
              <w:rPr>
                <w:rFonts w:ascii="Arial" w:cs="Arial" w:eastAsia="Arial" w:hAnsi="Arial"/>
                <w:sz w:val="18"/>
                <w:szCs w:val="18"/>
                <w:b w:val="1"/>
                <w:bCs w:val="1"/>
                <w:color w:val="auto"/>
              </w:rPr>
              <w:t>Exhibit Description</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4"/>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31"/>
        </w:trPr>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Date</w:t>
            </w:r>
          </w:p>
        </w:tc>
        <w:tc>
          <w:tcPr>
            <w:tcW w:w="12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260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20" w:right="160"/>
        <w:spacing w:after="0" w:line="224" w:lineRule="auto"/>
        <w:rPr>
          <w:sz w:val="20"/>
          <w:szCs w:val="20"/>
          <w:color w:val="auto"/>
        </w:rPr>
      </w:pPr>
      <w:r>
        <w:rPr>
          <w:rFonts w:ascii="Arial" w:cs="Arial" w:eastAsia="Arial" w:hAnsi="Arial"/>
          <w:sz w:val="18"/>
          <w:szCs w:val="18"/>
          <w:color w:val="auto"/>
        </w:rPr>
        <w:t>‘+Certain portions of this document that constitute confidential information have been redacted in accordance with Regulation S-K, Item601(b) (10).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8" w:name="page149"/>
    <w:bookmarkEnd w:id="148"/>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7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6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BEYOND MEAT, INC.</w:t>
            </w:r>
          </w:p>
        </w:tc>
      </w:tr>
      <w:tr>
        <w:trPr>
          <w:trHeight w:val="5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300"/>
              <w:spacing w:after="0"/>
              <w:rPr>
                <w:sz w:val="20"/>
                <w:szCs w:val="20"/>
                <w:color w:val="auto"/>
              </w:rPr>
            </w:pPr>
            <w:r>
              <w:rPr>
                <w:rFonts w:ascii="Arial" w:cs="Arial" w:eastAsia="Arial" w:hAnsi="Arial"/>
                <w:sz w:val="18"/>
                <w:szCs w:val="18"/>
                <w:color w:val="auto"/>
              </w:rPr>
              <w:t>March 1, 2024</w:t>
            </w:r>
          </w:p>
        </w:tc>
        <w:tc>
          <w:tcPr>
            <w:tcW w:w="2960" w:type="dxa"/>
            <w:vAlign w:val="bottom"/>
          </w:tcPr>
          <w:p>
            <w:pPr>
              <w:ind w:left="21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Ethan Brown</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Ethan Brown</w:t>
            </w:r>
          </w:p>
        </w:tc>
      </w:tr>
      <w:tr>
        <w:trPr>
          <w:trHeight w:val="232"/>
        </w:trPr>
        <w:tc>
          <w:tcPr>
            <w:tcW w:w="7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6" w:lineRule="exact"/>
        <w:rPr>
          <w:sz w:val="20"/>
          <w:szCs w:val="20"/>
          <w:color w:val="auto"/>
        </w:rPr>
      </w:pPr>
    </w:p>
    <w:p>
      <w:pPr>
        <w:ind w:firstLine="318"/>
        <w:spacing w:after="0" w:line="25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Ethan Brown and Lubi Kutua, and each of them, as such person’s true and lawful attorneys-in-fact and agents, with full power of substitution and resubstitution, for such person and in such person’s name, place and stead, in any and all capacities, to sign any and all amendments to this annual report on Form 10-K, and to file the same, with all exhibits thereto, and all other documents in connection therewith, with the Securities and Exchange Commission, granting unto each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such person’s substitute or substitutes, may lawfully do or cause to be done by virtue thereof.</w:t>
      </w:r>
    </w:p>
    <w:p>
      <w:pPr>
        <w:spacing w:after="0" w:line="141"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below on March 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0" w:type="dxa"/>
            <w:vAlign w:val="bottom"/>
          </w:tcPr>
          <w:p>
            <w:pPr>
              <w:spacing w:after="0"/>
              <w:rPr>
                <w:sz w:val="1"/>
                <w:szCs w:val="1"/>
                <w:color w:val="auto"/>
              </w:rPr>
            </w:pPr>
          </w:p>
        </w:tc>
      </w:tr>
      <w:tr>
        <w:trPr>
          <w:trHeight w:val="88"/>
        </w:trPr>
        <w:tc>
          <w:tcPr>
            <w:tcW w:w="5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4"/>
        </w:trPr>
        <w:tc>
          <w:tcPr>
            <w:tcW w:w="566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c>
          <w:tcPr>
            <w:tcW w:w="10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President, Chief Executive Officer, and Director (Principal Executive</w:t>
            </w:r>
          </w:p>
        </w:tc>
        <w:tc>
          <w:tcPr>
            <w:tcW w:w="0" w:type="dxa"/>
            <w:vAlign w:val="bottom"/>
          </w:tcPr>
          <w:p>
            <w:pPr>
              <w:spacing w:after="0"/>
              <w:rPr>
                <w:sz w:val="1"/>
                <w:szCs w:val="1"/>
                <w:color w:val="auto"/>
              </w:rPr>
            </w:pPr>
          </w:p>
        </w:tc>
      </w:tr>
      <w:tr>
        <w:trPr>
          <w:trHeight w:val="40"/>
        </w:trPr>
        <w:tc>
          <w:tcPr>
            <w:tcW w:w="5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225"/>
        </w:trPr>
        <w:tc>
          <w:tcPr>
            <w:tcW w:w="5660" w:type="dxa"/>
            <w:vAlign w:val="bottom"/>
          </w:tcPr>
          <w:p>
            <w:pPr>
              <w:jc w:val="center"/>
              <w:spacing w:after="0"/>
              <w:rPr>
                <w:sz w:val="20"/>
                <w:szCs w:val="20"/>
                <w:color w:val="auto"/>
              </w:rPr>
            </w:pPr>
            <w:r>
              <w:rPr>
                <w:rFonts w:ascii="Arial" w:cs="Arial" w:eastAsia="Arial" w:hAnsi="Arial"/>
                <w:sz w:val="18"/>
                <w:szCs w:val="18"/>
                <w:color w:val="auto"/>
                <w:w w:val="98"/>
              </w:rPr>
              <w:t>Ethan Brown</w:t>
            </w:r>
          </w:p>
        </w:tc>
        <w:tc>
          <w:tcPr>
            <w:tcW w:w="100" w:type="dxa"/>
            <w:vAlign w:val="bottom"/>
            <w:vMerge w:val="continue"/>
          </w:tcPr>
          <w:p>
            <w:pPr>
              <w:spacing w:after="0"/>
              <w:rPr>
                <w:sz w:val="19"/>
                <w:szCs w:val="19"/>
                <w:color w:val="auto"/>
              </w:rPr>
            </w:pPr>
          </w:p>
        </w:tc>
        <w:tc>
          <w:tcPr>
            <w:tcW w:w="5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660" w:type="dxa"/>
            <w:vAlign w:val="bottom"/>
          </w:tcPr>
          <w:p>
            <w:pPr>
              <w:jc w:val="center"/>
              <w:spacing w:after="0"/>
              <w:rPr>
                <w:sz w:val="20"/>
                <w:szCs w:val="20"/>
                <w:color w:val="auto"/>
              </w:rPr>
            </w:pPr>
            <w:r>
              <w:rPr>
                <w:rFonts w:ascii="Arial" w:cs="Arial" w:eastAsia="Arial" w:hAnsi="Arial"/>
                <w:sz w:val="18"/>
                <w:szCs w:val="18"/>
                <w:color w:val="auto"/>
                <w:w w:val="98"/>
              </w:rPr>
              <w:t>/s/ Lubi Kutua</w:t>
            </w:r>
          </w:p>
        </w:tc>
        <w:tc>
          <w:tcPr>
            <w:tcW w:w="10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c>
          <w:tcPr>
            <w:tcW w:w="0" w:type="dxa"/>
            <w:vAlign w:val="bottom"/>
          </w:tcPr>
          <w:p>
            <w:pPr>
              <w:spacing w:after="0"/>
              <w:rPr>
                <w:sz w:val="1"/>
                <w:szCs w:val="1"/>
                <w:color w:val="auto"/>
              </w:rPr>
            </w:pPr>
          </w:p>
        </w:tc>
      </w:tr>
      <w:tr>
        <w:trPr>
          <w:trHeight w:val="40"/>
        </w:trPr>
        <w:tc>
          <w:tcPr>
            <w:tcW w:w="5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0" w:type="dxa"/>
            <w:vAlign w:val="bottom"/>
          </w:tcPr>
          <w:p>
            <w:pPr>
              <w:spacing w:after="0"/>
              <w:rPr>
                <w:sz w:val="1"/>
                <w:szCs w:val="1"/>
                <w:color w:val="auto"/>
              </w:rPr>
            </w:pPr>
          </w:p>
        </w:tc>
      </w:tr>
      <w:tr>
        <w:trPr>
          <w:trHeight w:val="225"/>
        </w:trPr>
        <w:tc>
          <w:tcPr>
            <w:tcW w:w="5660" w:type="dxa"/>
            <w:vAlign w:val="bottom"/>
          </w:tcPr>
          <w:p>
            <w:pPr>
              <w:jc w:val="center"/>
              <w:spacing w:after="0"/>
              <w:rPr>
                <w:sz w:val="20"/>
                <w:szCs w:val="20"/>
                <w:color w:val="auto"/>
              </w:rPr>
            </w:pPr>
            <w:r>
              <w:rPr>
                <w:rFonts w:ascii="Arial" w:cs="Arial" w:eastAsia="Arial" w:hAnsi="Arial"/>
                <w:sz w:val="18"/>
                <w:szCs w:val="18"/>
                <w:color w:val="auto"/>
                <w:w w:val="99"/>
              </w:rPr>
              <w:t>Lubi Kutua</w:t>
            </w:r>
          </w:p>
        </w:tc>
        <w:tc>
          <w:tcPr>
            <w:tcW w:w="100" w:type="dxa"/>
            <w:vAlign w:val="bottom"/>
            <w:vMerge w:val="continue"/>
          </w:tcPr>
          <w:p>
            <w:pPr>
              <w:spacing w:after="0"/>
              <w:rPr>
                <w:sz w:val="19"/>
                <w:szCs w:val="19"/>
                <w:color w:val="auto"/>
              </w:rPr>
            </w:pPr>
          </w:p>
        </w:tc>
        <w:tc>
          <w:tcPr>
            <w:tcW w:w="5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Seth Goldman</w:t>
            </w:r>
          </w:p>
        </w:tc>
        <w:tc>
          <w:tcPr>
            <w:tcW w:w="100" w:type="dxa"/>
            <w:vAlign w:val="bottom"/>
          </w:tcPr>
          <w:p>
            <w:pPr>
              <w:spacing w:after="0"/>
              <w:rPr>
                <w:sz w:val="24"/>
                <w:szCs w:val="24"/>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8"/>
              </w:rPr>
              <w:t>Chair of the Board</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9"/>
              </w:rPr>
              <w:t>Seth Goldman</w:t>
            </w:r>
          </w:p>
        </w:tc>
        <w:tc>
          <w:tcPr>
            <w:tcW w:w="1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Sally Grimes</w:t>
            </w:r>
          </w:p>
        </w:tc>
        <w:tc>
          <w:tcPr>
            <w:tcW w:w="100" w:type="dxa"/>
            <w:vAlign w:val="bottom"/>
          </w:tcPr>
          <w:p>
            <w:pPr>
              <w:spacing w:after="0"/>
              <w:rPr>
                <w:sz w:val="24"/>
                <w:szCs w:val="24"/>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7"/>
              </w:rPr>
              <w:t>Sally Grimes</w:t>
            </w:r>
          </w:p>
        </w:tc>
        <w:tc>
          <w:tcPr>
            <w:tcW w:w="1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Colleen Jay</w:t>
            </w:r>
          </w:p>
        </w:tc>
        <w:tc>
          <w:tcPr>
            <w:tcW w:w="100" w:type="dxa"/>
            <w:vAlign w:val="bottom"/>
          </w:tcPr>
          <w:p>
            <w:pPr>
              <w:spacing w:after="0"/>
              <w:rPr>
                <w:sz w:val="24"/>
                <w:szCs w:val="24"/>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7"/>
              </w:rPr>
              <w:t>Colleen Jay</w:t>
            </w:r>
          </w:p>
        </w:tc>
        <w:tc>
          <w:tcPr>
            <w:tcW w:w="1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Raymond J. Lane</w:t>
            </w:r>
          </w:p>
        </w:tc>
        <w:tc>
          <w:tcPr>
            <w:tcW w:w="100" w:type="dxa"/>
            <w:vAlign w:val="bottom"/>
          </w:tcPr>
          <w:p>
            <w:pPr>
              <w:spacing w:after="0"/>
              <w:rPr>
                <w:sz w:val="24"/>
                <w:szCs w:val="24"/>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7"/>
              </w:rPr>
              <w:t>Raymond J. Lane</w:t>
            </w:r>
          </w:p>
        </w:tc>
        <w:tc>
          <w:tcPr>
            <w:tcW w:w="1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 James Koch</w:t>
            </w:r>
          </w:p>
        </w:tc>
        <w:tc>
          <w:tcPr>
            <w:tcW w:w="100" w:type="dxa"/>
            <w:vAlign w:val="bottom"/>
          </w:tcPr>
          <w:p>
            <w:pPr>
              <w:spacing w:after="0"/>
              <w:rPr>
                <w:sz w:val="24"/>
                <w:szCs w:val="24"/>
                <w:color w:val="auto"/>
              </w:rPr>
            </w:pPr>
          </w:p>
        </w:tc>
        <w:tc>
          <w:tcPr>
            <w:tcW w:w="548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8"/>
              </w:rPr>
              <w:t>C. James Koch</w:t>
            </w:r>
          </w:p>
        </w:tc>
        <w:tc>
          <w:tcPr>
            <w:tcW w:w="10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Muktesh Pant</w:t>
            </w:r>
          </w:p>
        </w:tc>
        <w:tc>
          <w:tcPr>
            <w:tcW w:w="3140" w:type="dxa"/>
            <w:vAlign w:val="bottom"/>
            <w:vMerge w:val="restart"/>
          </w:tcPr>
          <w:p>
            <w:pPr>
              <w:ind w:left="25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8"/>
              </w:rPr>
              <w:t>Muktesh Pant</w:t>
            </w: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7"/>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Ned Segal</w:t>
            </w:r>
          </w:p>
        </w:tc>
        <w:tc>
          <w:tcPr>
            <w:tcW w:w="3140" w:type="dxa"/>
            <w:vAlign w:val="bottom"/>
            <w:vMerge w:val="restart"/>
          </w:tcPr>
          <w:p>
            <w:pPr>
              <w:ind w:left="25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7"/>
              </w:rPr>
              <w:t>Ned Segal</w:t>
            </w: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4"/>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Kathy N. Waller</w:t>
            </w:r>
          </w:p>
        </w:tc>
        <w:tc>
          <w:tcPr>
            <w:tcW w:w="3140" w:type="dxa"/>
            <w:vAlign w:val="bottom"/>
            <w:vMerge w:val="restart"/>
          </w:tcPr>
          <w:p>
            <w:pPr>
              <w:ind w:left="254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9"/>
        </w:trPr>
        <w:tc>
          <w:tcPr>
            <w:tcW w:w="5660" w:type="dxa"/>
            <w:vAlign w:val="bottom"/>
            <w:vMerge w:val="restart"/>
          </w:tcPr>
          <w:p>
            <w:pPr>
              <w:jc w:val="center"/>
              <w:spacing w:after="0"/>
              <w:rPr>
                <w:sz w:val="20"/>
                <w:szCs w:val="20"/>
                <w:color w:val="auto"/>
              </w:rPr>
            </w:pPr>
            <w:r>
              <w:rPr>
                <w:rFonts w:ascii="Arial" w:cs="Arial" w:eastAsia="Arial" w:hAnsi="Arial"/>
                <w:sz w:val="18"/>
                <w:szCs w:val="18"/>
                <w:color w:val="auto"/>
                <w:w w:val="97"/>
              </w:rPr>
              <w:t>Kathy N. Waller</w:t>
            </w: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6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139"/>
          </w:cols>
          <w:pgMar w:left="320" w:top="1440" w:right="1440"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10.8</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u w:val="single" w:color="auto"/>
          <w:color w:val="auto"/>
        </w:rPr>
        <w:t>SEVENTH AMENDMENT TO STANDARD INDUSTRIAL/COMMERCIAL</w:t>
      </w: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SINGLE-TENANT LEASE – NET</w:t>
      </w: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SEVENTH AMENDMENT TO STANDARD INDUSTRIAL/COMMERCIAL SINGLE-TENANT LEASE – NET (this</w:t>
      </w:r>
    </w:p>
    <w:p>
      <w:pPr>
        <w:spacing w:after="0" w:line="2" w:lineRule="exact"/>
        <w:rPr>
          <w:sz w:val="20"/>
          <w:szCs w:val="20"/>
          <w:color w:val="auto"/>
        </w:rPr>
      </w:pPr>
    </w:p>
    <w:p>
      <w:pPr>
        <w:ind w:right="560"/>
        <w:spacing w:after="0" w:line="21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Seventh Amendment</w:t>
      </w:r>
      <w:r>
        <w:rPr>
          <w:rFonts w:ascii="Times New Roman" w:cs="Times New Roman" w:eastAsia="Times New Roman" w:hAnsi="Times New Roman"/>
          <w:sz w:val="19"/>
          <w:szCs w:val="19"/>
          <w:color w:val="auto"/>
        </w:rPr>
        <w:t>”) is entered into as of December 29, 2023, and made effective as of November 1, 2023, by and between SMOKY HOLLOW INDUSTRIES, LLC, a California limited liability company (“</w:t>
      </w:r>
      <w:r>
        <w:rPr>
          <w:rFonts w:ascii="Times New Roman" w:cs="Times New Roman" w:eastAsia="Times New Roman" w:hAnsi="Times New Roman"/>
          <w:sz w:val="19"/>
          <w:szCs w:val="19"/>
          <w:b w:val="1"/>
          <w:bCs w:val="1"/>
          <w:color w:val="auto"/>
        </w:rPr>
        <w:t>Lessor</w:t>
      </w:r>
      <w:r>
        <w:rPr>
          <w:rFonts w:ascii="Times New Roman" w:cs="Times New Roman" w:eastAsia="Times New Roman" w:hAnsi="Times New Roman"/>
          <w:sz w:val="19"/>
          <w:szCs w:val="19"/>
          <w:color w:val="auto"/>
        </w:rPr>
        <w:t>”), and BEYOND MEAT, INC., a Delaware corporation</w:t>
      </w:r>
    </w:p>
    <w:p>
      <w:pPr>
        <w:spacing w:after="0"/>
        <w:rPr>
          <w:sz w:val="20"/>
          <w:szCs w:val="20"/>
          <w:color w:val="auto"/>
        </w:rPr>
      </w:pPr>
      <w:r>
        <w:rPr>
          <w:rFonts w:ascii="Times New Roman" w:cs="Times New Roman" w:eastAsia="Times New Roman" w:hAnsi="Times New Roman"/>
          <w:sz w:val="19"/>
          <w:szCs w:val="19"/>
          <w:color w:val="auto"/>
        </w:rPr>
        <w:t>formerly known as Savage River, Inc. (“</w:t>
      </w:r>
      <w:r>
        <w:rPr>
          <w:rFonts w:ascii="Times New Roman" w:cs="Times New Roman" w:eastAsia="Times New Roman" w:hAnsi="Times New Roman"/>
          <w:sz w:val="19"/>
          <w:szCs w:val="19"/>
          <w:b w:val="1"/>
          <w:bCs w:val="1"/>
          <w:color w:val="auto"/>
        </w:rPr>
        <w:t>Lessee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183" w:lineRule="exact"/>
        <w:rPr>
          <w:sz w:val="20"/>
          <w:szCs w:val="20"/>
          <w:color w:val="auto"/>
        </w:rPr>
      </w:pPr>
    </w:p>
    <w:p>
      <w:pPr>
        <w:ind w:right="160" w:firstLine="642"/>
        <w:spacing w:after="0" w:line="198" w:lineRule="auto"/>
        <w:tabs>
          <w:tab w:leader="none" w:pos="101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Lessor and Lessee entered into that certain AIR Commercial Real Estate Association Standard Industrial/Commercial Single-Tenant Lease – Net dated (for reference purposes only) January 18, 2017 (the “</w:t>
      </w:r>
      <w:r>
        <w:rPr>
          <w:rFonts w:ascii="Times New Roman" w:cs="Times New Roman" w:eastAsia="Times New Roman" w:hAnsi="Times New Roman"/>
          <w:sz w:val="19"/>
          <w:szCs w:val="19"/>
          <w:b w:val="1"/>
          <w:bCs w:val="1"/>
          <w:color w:val="auto"/>
        </w:rPr>
        <w:t>Initial Lease</w:t>
      </w:r>
      <w:r>
        <w:rPr>
          <w:rFonts w:ascii="Times New Roman" w:cs="Times New Roman" w:eastAsia="Times New Roman" w:hAnsi="Times New Roman"/>
          <w:sz w:val="19"/>
          <w:szCs w:val="19"/>
          <w:color w:val="auto"/>
        </w:rPr>
        <w:t>”), as amended by that certain: (a) Amendment to Lease dated as of July 21, 2021 (the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(b) Lease Extension Letter dated July 28, 2021 from Lessee to Lessor (the “</w:t>
      </w:r>
      <w:r>
        <w:rPr>
          <w:rFonts w:ascii="Times New Roman" w:cs="Times New Roman" w:eastAsia="Times New Roman" w:hAnsi="Times New Roman"/>
          <w:sz w:val="19"/>
          <w:szCs w:val="19"/>
          <w:b w:val="1"/>
          <w:bCs w:val="1"/>
          <w:color w:val="auto"/>
        </w:rPr>
        <w:t>Extension Letter</w:t>
      </w:r>
      <w:r>
        <w:rPr>
          <w:rFonts w:ascii="Times New Roman" w:cs="Times New Roman" w:eastAsia="Times New Roman" w:hAnsi="Times New Roman"/>
          <w:sz w:val="19"/>
          <w:szCs w:val="19"/>
          <w:color w:val="auto"/>
        </w:rPr>
        <w:t>”); (c) Amendment to First Amendment dated as of January 27, 2022 (the “</w:t>
      </w:r>
      <w:r>
        <w:rPr>
          <w:rFonts w:ascii="Times New Roman" w:cs="Times New Roman" w:eastAsia="Times New Roman" w:hAnsi="Times New Roman"/>
          <w:sz w:val="19"/>
          <w:szCs w:val="19"/>
          <w:b w:val="1"/>
          <w:bCs w:val="1"/>
          <w:color w:val="auto"/>
        </w:rPr>
        <w:t>Second Amendment</w:t>
      </w:r>
      <w:r>
        <w:rPr>
          <w:rFonts w:ascii="Times New Roman" w:cs="Times New Roman" w:eastAsia="Times New Roman" w:hAnsi="Times New Roman"/>
          <w:sz w:val="19"/>
          <w:szCs w:val="19"/>
          <w:color w:val="auto"/>
        </w:rPr>
        <w:t>”); (d)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Amendment to Lease dated as of March 28, 2022 (the “</w:t>
      </w:r>
      <w:r>
        <w:rPr>
          <w:rFonts w:ascii="Times New Roman" w:cs="Times New Roman" w:eastAsia="Times New Roman" w:hAnsi="Times New Roman"/>
          <w:sz w:val="19"/>
          <w:szCs w:val="19"/>
          <w:b w:val="1"/>
          <w:bCs w:val="1"/>
          <w:color w:val="auto"/>
        </w:rPr>
        <w:t>Third Amendment</w:t>
      </w:r>
      <w:r>
        <w:rPr>
          <w:rFonts w:ascii="Times New Roman" w:cs="Times New Roman" w:eastAsia="Times New Roman" w:hAnsi="Times New Roman"/>
          <w:sz w:val="19"/>
          <w:szCs w:val="19"/>
          <w:color w:val="auto"/>
        </w:rPr>
        <w:t>”); (e)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Amendment to Lease dated as of May 23, 2022 (the “</w:t>
      </w:r>
      <w:r>
        <w:rPr>
          <w:rFonts w:ascii="Times New Roman" w:cs="Times New Roman" w:eastAsia="Times New Roman" w:hAnsi="Times New Roman"/>
          <w:sz w:val="19"/>
          <w:szCs w:val="19"/>
          <w:b w:val="1"/>
          <w:bCs w:val="1"/>
          <w:color w:val="auto"/>
        </w:rPr>
        <w:t>Fourth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(f)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to Lease dated as of June 21, 2022 (the “</w:t>
      </w:r>
      <w:r>
        <w:rPr>
          <w:rFonts w:ascii="Times New Roman" w:cs="Times New Roman" w:eastAsia="Times New Roman" w:hAnsi="Times New Roman"/>
          <w:sz w:val="19"/>
          <w:szCs w:val="19"/>
          <w:b w:val="1"/>
          <w:bCs w:val="1"/>
          <w:color w:val="auto"/>
        </w:rPr>
        <w:t>Fifth Amendment</w:t>
      </w:r>
      <w:r>
        <w:rPr>
          <w:rFonts w:ascii="Times New Roman" w:cs="Times New Roman" w:eastAsia="Times New Roman" w:hAnsi="Times New Roman"/>
          <w:sz w:val="19"/>
          <w:szCs w:val="19"/>
          <w:color w:val="auto"/>
        </w:rPr>
        <w:t>”); and (g)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to Lease dated as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August 30, 2022 (the “</w:t>
      </w:r>
      <w:r>
        <w:rPr>
          <w:rFonts w:ascii="Times New Roman" w:cs="Times New Roman" w:eastAsia="Times New Roman" w:hAnsi="Times New Roman"/>
          <w:sz w:val="19"/>
          <w:szCs w:val="19"/>
          <w:b w:val="1"/>
          <w:bCs w:val="1"/>
          <w:color w:val="auto"/>
        </w:rPr>
        <w:t>Sixth Amendment</w:t>
      </w:r>
      <w:r>
        <w:rPr>
          <w:rFonts w:ascii="Times New Roman" w:cs="Times New Roman" w:eastAsia="Times New Roman" w:hAnsi="Times New Roman"/>
          <w:sz w:val="19"/>
          <w:szCs w:val="19"/>
          <w:color w:val="auto"/>
        </w:rPr>
        <w:t>”). The Initial Lease, the First Amendment, the Extension Letter, the Second Amendment, the Third Amendment, the Fourth Amendment, the Fifth Amendment, and the Sixth Amendment are collectively defined as the “</w:t>
      </w:r>
      <w:r>
        <w:rPr>
          <w:rFonts w:ascii="Times New Roman" w:cs="Times New Roman" w:eastAsia="Times New Roman" w:hAnsi="Times New Roman"/>
          <w:sz w:val="19"/>
          <w:szCs w:val="19"/>
          <w:b w:val="1"/>
          <w:bCs w:val="1"/>
          <w:color w:val="auto"/>
        </w:rPr>
        <w:t>Original Lease</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ind w:right="120" w:firstLine="642"/>
        <w:spacing w:after="0" w:line="224" w:lineRule="auto"/>
        <w:tabs>
          <w:tab w:leader="none" w:pos="100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the terms of the Original Lease, Lessor currently leases to Lessee, and Lessee leases from Lessor, certain premises consisting of approximately 30,000 rentable square feet of space within the building located at 1325 E. El Segundo Boulevard, El Segundo, California (the “</w:t>
      </w:r>
      <w:r>
        <w:rPr>
          <w:rFonts w:ascii="Times New Roman" w:cs="Times New Roman" w:eastAsia="Times New Roman" w:hAnsi="Times New Roman"/>
          <w:sz w:val="19"/>
          <w:szCs w:val="19"/>
          <w:b w:val="1"/>
          <w:bCs w:val="1"/>
          <w:color w:val="auto"/>
        </w:rPr>
        <w:t>Premises</w:t>
      </w:r>
      <w:r>
        <w:rPr>
          <w:rFonts w:ascii="Times New Roman" w:cs="Times New Roman" w:eastAsia="Times New Roman" w:hAnsi="Times New Roman"/>
          <w:sz w:val="19"/>
          <w:szCs w:val="19"/>
          <w:color w:val="auto"/>
        </w:rPr>
        <w:t>”) and has the exclusive right to use certain parking stalls (i) in the parking garage at 1310 E. Franklin Avenue, El Segundo, California (the “</w:t>
      </w:r>
      <w:r>
        <w:rPr>
          <w:rFonts w:ascii="Times New Roman" w:cs="Times New Roman" w:eastAsia="Times New Roman" w:hAnsi="Times New Roman"/>
          <w:sz w:val="19"/>
          <w:szCs w:val="19"/>
          <w:b w:val="1"/>
          <w:bCs w:val="1"/>
          <w:color w:val="auto"/>
        </w:rPr>
        <w:t>Garage</w:t>
      </w:r>
      <w:r>
        <w:rPr>
          <w:rFonts w:ascii="Times New Roman" w:cs="Times New Roman" w:eastAsia="Times New Roman" w:hAnsi="Times New Roman"/>
          <w:sz w:val="19"/>
          <w:szCs w:val="19"/>
          <w:color w:val="auto"/>
        </w:rPr>
        <w:t>”), which is immediately to the north of the Premises, and (ii) at the Building’s south parking lot (the “</w:t>
      </w:r>
      <w:r>
        <w:rPr>
          <w:rFonts w:ascii="Times New Roman" w:cs="Times New Roman" w:eastAsia="Times New Roman" w:hAnsi="Times New Roman"/>
          <w:sz w:val="19"/>
          <w:szCs w:val="19"/>
          <w:b w:val="1"/>
          <w:bCs w:val="1"/>
          <w:color w:val="auto"/>
        </w:rPr>
        <w:t>South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Lot</w:t>
      </w:r>
      <w:r>
        <w:rPr>
          <w:rFonts w:ascii="Times New Roman" w:cs="Times New Roman" w:eastAsia="Times New Roman" w:hAnsi="Times New Roman"/>
          <w:sz w:val="19"/>
          <w:szCs w:val="19"/>
          <w:color w:val="auto"/>
        </w:rPr>
        <w:t>”) as is depicted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attached hereto, all as more particularly described in the Original Lease.</w:t>
      </w:r>
    </w:p>
    <w:p>
      <w:pPr>
        <w:spacing w:after="0" w:line="159" w:lineRule="exact"/>
        <w:rPr>
          <w:rFonts w:ascii="Times New Roman" w:cs="Times New Roman" w:eastAsia="Times New Roman" w:hAnsi="Times New Roman"/>
          <w:sz w:val="19"/>
          <w:szCs w:val="19"/>
          <w:color w:val="auto"/>
        </w:rPr>
      </w:pPr>
    </w:p>
    <w:p>
      <w:pPr>
        <w:ind w:right="180" w:firstLine="642"/>
        <w:spacing w:after="0" w:line="241" w:lineRule="auto"/>
        <w:tabs>
          <w:tab w:leader="none" w:pos="100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Lessee relocated most of the business operations conducted at the Premises to 888 Douglas Street, El Segundo, California and no longer requires the Premises in their entirety or the related exclusive parking rights on the South Lot.</w:t>
      </w:r>
    </w:p>
    <w:p>
      <w:pPr>
        <w:spacing w:after="0" w:line="157" w:lineRule="exact"/>
        <w:rPr>
          <w:rFonts w:ascii="Times New Roman" w:cs="Times New Roman" w:eastAsia="Times New Roman" w:hAnsi="Times New Roman"/>
          <w:sz w:val="19"/>
          <w:szCs w:val="19"/>
          <w:color w:val="auto"/>
        </w:rPr>
      </w:pPr>
    </w:p>
    <w:p>
      <w:pPr>
        <w:ind w:right="280" w:firstLine="642"/>
        <w:spacing w:after="0" w:line="229" w:lineRule="auto"/>
        <w:tabs>
          <w:tab w:leader="none" w:pos="101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Lessor and Lessee desire to amend the Original Lease to, among other things, provide for Lessee’s surrender to Lessor approximately 13,700 rentable square feet of the Premises and the relinquishment of the exclusive right to use the parking stalls on the South Lot in the Garage, which is immediately to the north of the Building, all in accordance with the terms and conditions set forth in this Seventh Amendment.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Lessor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Lessee hereby agree as follows:</w:t>
      </w:r>
    </w:p>
    <w:p>
      <w:pPr>
        <w:spacing w:after="0" w:line="170" w:lineRule="exact"/>
        <w:rPr>
          <w:sz w:val="20"/>
          <w:szCs w:val="20"/>
          <w:color w:val="auto"/>
        </w:rPr>
      </w:pPr>
    </w:p>
    <w:p>
      <w:pPr>
        <w:ind w:right="40" w:firstLine="642"/>
        <w:spacing w:after="0" w:line="233" w:lineRule="auto"/>
        <w:tabs>
          <w:tab w:leader="none" w:pos="1272"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All capitalized terms used herein but not specifically defined in this Seventh Amendment shall have the meanings ascribed to such terms in the Original Lease. The term “</w:t>
      </w:r>
      <w:r>
        <w:rPr>
          <w:rFonts w:ascii="Times New Roman" w:cs="Times New Roman" w:eastAsia="Times New Roman" w:hAnsi="Times New Roman"/>
          <w:sz w:val="19"/>
          <w:szCs w:val="19"/>
          <w:b w:val="1"/>
          <w:bCs w:val="1"/>
          <w:color w:val="auto"/>
        </w:rPr>
        <w:t>Lease</w:t>
      </w:r>
      <w:r>
        <w:rPr>
          <w:rFonts w:ascii="Times New Roman" w:cs="Times New Roman" w:eastAsia="Times New Roman" w:hAnsi="Times New Roman"/>
          <w:sz w:val="19"/>
          <w:szCs w:val="19"/>
          <w:color w:val="auto"/>
        </w:rPr>
        <w:t>”, as used in this Seventh Amendment, shall refer to the Original Lease, as amended by this Seventh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151" w:name="page152"/>
    <w:bookmarkEnd w:id="151"/>
    <w:p>
      <w:pPr>
        <w:ind w:left="1240" w:hanging="638"/>
        <w:spacing w:after="0"/>
        <w:tabs>
          <w:tab w:leader="none" w:pos="1240"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Reduction of Premises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010000"/>
        </w:rPr>
      </w:pPr>
    </w:p>
    <w:p>
      <w:pPr>
        <w:ind w:left="-40" w:right="60" w:firstLine="1278"/>
        <w:spacing w:after="0" w:line="223" w:lineRule="auto"/>
        <w:tabs>
          <w:tab w:leader="none" w:pos="1858"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the satisfaction of the applicable terms and conditions set forth in this Seventh Amendment, effective as of 12:00 a.m. on November 1, 2023 (the “</w:t>
      </w:r>
      <w:r>
        <w:rPr>
          <w:rFonts w:ascii="Times New Roman" w:cs="Times New Roman" w:eastAsia="Times New Roman" w:hAnsi="Times New Roman"/>
          <w:sz w:val="19"/>
          <w:szCs w:val="19"/>
          <w:b w:val="1"/>
          <w:bCs w:val="1"/>
          <w:color w:val="auto"/>
        </w:rPr>
        <w:t>Surrender Date</w:t>
      </w:r>
      <w:r>
        <w:rPr>
          <w:rFonts w:ascii="Times New Roman" w:cs="Times New Roman" w:eastAsia="Times New Roman" w:hAnsi="Times New Roman"/>
          <w:sz w:val="19"/>
          <w:szCs w:val="19"/>
          <w:color w:val="auto"/>
        </w:rPr>
        <w:t>”), (i) the Premises shall no longer include that portion of the Premises consisting of approximately 13,700 rentable square feet within the Building (such surrendered portion is collectively defined as the “</w:t>
      </w:r>
      <w:r>
        <w:rPr>
          <w:rFonts w:ascii="Times New Roman" w:cs="Times New Roman" w:eastAsia="Times New Roman" w:hAnsi="Times New Roman"/>
          <w:sz w:val="19"/>
          <w:szCs w:val="19"/>
          <w:b w:val="1"/>
          <w:bCs w:val="1"/>
          <w:color w:val="auto"/>
        </w:rPr>
        <w:t>Surrendered Space</w:t>
      </w:r>
      <w:r>
        <w:rPr>
          <w:rFonts w:ascii="Times New Roman" w:cs="Times New Roman" w:eastAsia="Times New Roman" w:hAnsi="Times New Roman"/>
          <w:sz w:val="19"/>
          <w:szCs w:val="19"/>
          <w:color w:val="auto"/>
        </w:rPr>
        <w:t>”), and (ii) the Premises shall include only the Premises less the Surrendered Space, which remaining Premises comprises of approximately 16,300 rentable square feet of space (the “</w:t>
      </w:r>
      <w:r>
        <w:rPr>
          <w:rFonts w:ascii="Times New Roman" w:cs="Times New Roman" w:eastAsia="Times New Roman" w:hAnsi="Times New Roman"/>
          <w:sz w:val="19"/>
          <w:szCs w:val="19"/>
          <w:b w:val="1"/>
          <w:bCs w:val="1"/>
          <w:color w:val="auto"/>
        </w:rPr>
        <w:t>Remaining Premises</w:t>
      </w:r>
      <w:r>
        <w:rPr>
          <w:rFonts w:ascii="Times New Roman" w:cs="Times New Roman" w:eastAsia="Times New Roman" w:hAnsi="Times New Roman"/>
          <w:sz w:val="19"/>
          <w:szCs w:val="19"/>
          <w:color w:val="auto"/>
        </w:rPr>
        <w:t xml:space="preserve">”) and is generally depicted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Accordingly, on the Surrender Date, all references in the Lease to “Premises” shall mean and solely refer to the Remaining Premises.</w:t>
      </w:r>
    </w:p>
    <w:p>
      <w:pPr>
        <w:spacing w:after="0" w:line="159" w:lineRule="exact"/>
        <w:rPr>
          <w:rFonts w:ascii="Times New Roman" w:cs="Times New Roman" w:eastAsia="Times New Roman" w:hAnsi="Times New Roman"/>
          <w:sz w:val="19"/>
          <w:szCs w:val="19"/>
          <w:color w:val="010000"/>
        </w:rPr>
      </w:pPr>
    </w:p>
    <w:p>
      <w:pPr>
        <w:ind w:left="-40" w:right="40" w:firstLine="1278"/>
        <w:spacing w:after="0" w:line="220" w:lineRule="auto"/>
        <w:tabs>
          <w:tab w:leader="none" w:pos="1856"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Lessor and Lessee hereby acknowledge and agree that the amounts of the rentable square footages of the Surrendered Space and the Remaining Premises in </w:t>
      </w:r>
      <w:r>
        <w:rPr>
          <w:rFonts w:ascii="Times New Roman" w:cs="Times New Roman" w:eastAsia="Times New Roman" w:hAnsi="Times New Roman"/>
          <w:sz w:val="19"/>
          <w:szCs w:val="19"/>
          <w:u w:val="single" w:color="auto"/>
          <w:color w:val="auto"/>
        </w:rPr>
        <w:t>Section 2(a)</w:t>
      </w:r>
      <w:r>
        <w:rPr>
          <w:rFonts w:ascii="Times New Roman" w:cs="Times New Roman" w:eastAsia="Times New Roman" w:hAnsi="Times New Roman"/>
          <w:sz w:val="19"/>
          <w:szCs w:val="19"/>
          <w:color w:val="auto"/>
        </w:rPr>
        <w:t xml:space="preserve"> above are not representations or warranties of the exact number of rentable square feet therein but rather are only reasonable approximations. Lessor and Lessee hereby acknowledge that the Base Rent or any other amount payable by Lessee is not subject to revision whether or not the actual rentable square footages are more or less than such approximations; </w:t>
      </w:r>
      <w:r>
        <w:rPr>
          <w:rFonts w:ascii="Times New Roman" w:cs="Times New Roman" w:eastAsia="Times New Roman" w:hAnsi="Times New Roman"/>
          <w:sz w:val="19"/>
          <w:szCs w:val="19"/>
          <w:u w:val="single" w:color="auto"/>
          <w:color w:val="auto"/>
        </w:rPr>
        <w:t>except</w:t>
      </w:r>
      <w:r>
        <w:rPr>
          <w:rFonts w:ascii="Times New Roman" w:cs="Times New Roman" w:eastAsia="Times New Roman" w:hAnsi="Times New Roman"/>
          <w:sz w:val="19"/>
          <w:szCs w:val="19"/>
          <w:color w:val="auto"/>
        </w:rPr>
        <w:t>, that, from and after the Surrender Date, payments under the Lease other than Base Rent that apply to the Project in its entirety (rather than applying exclusively to the Remaining Premises) shall be modified so Lessee pays its proportionate share of such payment, determined by dividing the rentable square footage of the Remaining Premises with the rentable square footage of the Premises (prior to the Surrender Date) and multiplying by 100. The Parties acknowledge that Lessee’s proportionate share for such costs and expenses shall be 54.33% (“</w:t>
      </w:r>
      <w:r>
        <w:rPr>
          <w:rFonts w:ascii="Times New Roman" w:cs="Times New Roman" w:eastAsia="Times New Roman" w:hAnsi="Times New Roman"/>
          <w:sz w:val="19"/>
          <w:szCs w:val="19"/>
          <w:b w:val="1"/>
          <w:bCs w:val="1"/>
          <w:color w:val="auto"/>
        </w:rPr>
        <w:t>Lessee’s Share</w:t>
      </w:r>
      <w:r>
        <w:rPr>
          <w:rFonts w:ascii="Times New Roman" w:cs="Times New Roman" w:eastAsia="Times New Roman" w:hAnsi="Times New Roman"/>
          <w:sz w:val="19"/>
          <w:szCs w:val="19"/>
          <w:color w:val="auto"/>
        </w:rPr>
        <w:t>”) (i.e., (16,300 / 30,000) x 100).</w:t>
      </w:r>
    </w:p>
    <w:p>
      <w:pPr>
        <w:spacing w:after="0" w:line="158" w:lineRule="exact"/>
        <w:rPr>
          <w:rFonts w:ascii="Times New Roman" w:cs="Times New Roman" w:eastAsia="Times New Roman" w:hAnsi="Times New Roman"/>
          <w:sz w:val="19"/>
          <w:szCs w:val="19"/>
          <w:color w:val="010000"/>
        </w:rPr>
      </w:pPr>
    </w:p>
    <w:p>
      <w:pPr>
        <w:ind w:left="1240" w:hanging="638"/>
        <w:spacing w:after="0"/>
        <w:tabs>
          <w:tab w:leader="none" w:pos="1240"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Surrender of a Portion of the Premises; Access to Premises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010000"/>
        </w:rPr>
      </w:pPr>
    </w:p>
    <w:p>
      <w:pPr>
        <w:ind w:left="-40" w:firstLine="1278"/>
        <w:spacing w:after="0" w:line="218" w:lineRule="auto"/>
        <w:tabs>
          <w:tab w:leader="none" w:pos="1858"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Upon the satisfaction of the applicable terms and conditions set forth in this Seventh Amendment, Lessee shall vacate, return exclusive possession of, and, subject to the terms of this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below, surrender the Surrendered Space to Lessor with all improvements thereon on or before the Surrender Date in the condition required by the terms of the Original Lease (except as otherwise set forth in this Seventh Amendment) and with all improvements therein (including the refrigeration units and other “specialized and unique improvements” (as used in Paragraph 64 of the Initial Lease)) installed by or on behalf of Lessee in good condition and repair. From and after the Surrender Date, the Lease (as it relates to the Surrendered Space only) shall terminate and be of no further force or effect, and neither Lessor nor Lessee (nor any subtenants, licensees or assignees of Lessee) thereafter shall have any rights, duties, or obligations to one another in connection with the Surrendered Space except for the following (collectively, the “</w:t>
      </w:r>
      <w:r>
        <w:rPr>
          <w:rFonts w:ascii="Times New Roman" w:cs="Times New Roman" w:eastAsia="Times New Roman" w:hAnsi="Times New Roman"/>
          <w:sz w:val="19"/>
          <w:szCs w:val="19"/>
          <w:b w:val="1"/>
          <w:bCs w:val="1"/>
          <w:color w:val="auto"/>
        </w:rPr>
        <w:t>Surviving Obligations</w:t>
      </w:r>
      <w:r>
        <w:rPr>
          <w:rFonts w:ascii="Times New Roman" w:cs="Times New Roman" w:eastAsia="Times New Roman" w:hAnsi="Times New Roman"/>
          <w:sz w:val="19"/>
          <w:szCs w:val="19"/>
          <w:color w:val="auto"/>
        </w:rPr>
        <w:t>”): (a) Lessee’s obligation to pay Real Property Taxes respecting the Surrendered Space for the period July 1, 2023 to October 31, 2023; and (b) Lessor’s and Lessee’s respective obligations under the Lease respecting the Surrendered Space that survive the expiration or earlier termination of the Lease (including, without limitation, the indemnification obligations contained in the Lease). Notwithstanding anything in the Original Lease and this Seventh Amendment to the contrary, Lessor and Lessee have inspected the Surrendered Space and acknowledge that (1) the Surrendered Space is in the condition required by the Lease upon surrender, (2) the refrigeration units and other “specialized and unique improvements” in the Surrendered Space (i) are in good working order, condition, and repair, and (ii) do not have to be removed from the Surrendered Space.</w:t>
      </w:r>
    </w:p>
    <w:p>
      <w:pPr>
        <w:spacing w:after="0" w:line="149" w:lineRule="exact"/>
        <w:rPr>
          <w:rFonts w:ascii="Times New Roman" w:cs="Times New Roman" w:eastAsia="Times New Roman" w:hAnsi="Times New Roman"/>
          <w:sz w:val="19"/>
          <w:szCs w:val="19"/>
          <w:color w:val="010000"/>
        </w:rPr>
      </w:pPr>
    </w:p>
    <w:p>
      <w:pPr>
        <w:ind w:left="-40" w:right="20" w:firstLine="1278"/>
        <w:spacing w:after="0"/>
        <w:tabs>
          <w:tab w:leader="none" w:pos="1856"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acknowledges and agrees that, in connection with the surrender of the Surrendered Space, at any time prior to the Surrender Date or at any time thereafter but upon not less than two (2) business days’ advanced written notice to Lessee and any occupant at the Premises, (i) Lessor may seal and/or lock any common doors or openings shared between the Surrendered Space and the Remaining Premises, so as to restrict Lessee's access to the Surrendered Space, and (ii) Lessor shall have the right to access and enter the Surrendered Space and other portions of the Remaining Premises at all reasonable times in order to prepare the Surrendered Space for occupancy by a new tenant and/or occupant, all as determined by Lessor. Lessor and Lessee expressly acknowledge and agree that: (x) Lessor intends to, among other things, perform all work necessary, in Lessor’s sole judgment, to demise the Surrendered Space from the Remaining Premises, which work may create noise and dust or may leave debris in the Surrendered Space and Remaining Premises; and (y) subject to the remaining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80"/>
          </w:cols>
          <w:pgMar w:left="360" w:top="1375"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3(b)</w:t>
      </w:r>
      <w:r>
        <w:rPr>
          <w:rFonts w:ascii="Times New Roman" w:cs="Times New Roman" w:eastAsia="Times New Roman" w:hAnsi="Times New Roman"/>
          <w:sz w:val="19"/>
          <w:szCs w:val="19"/>
          <w:color w:val="auto"/>
        </w:rPr>
        <w:t>, Lessee hereby agrees that such demising work and Lessor's reasonable actions in connection with such demising work shall</w:t>
      </w:r>
    </w:p>
    <w:p>
      <w:pPr>
        <w:spacing w:after="0" w:line="2" w:lineRule="exact"/>
        <w:rPr>
          <w:sz w:val="20"/>
          <w:szCs w:val="20"/>
          <w:color w:val="auto"/>
        </w:rPr>
      </w:pPr>
    </w:p>
    <w:p>
      <w:pPr>
        <w:ind w:right="420"/>
        <w:spacing w:after="0" w:line="211" w:lineRule="auto"/>
        <w:rPr>
          <w:sz w:val="20"/>
          <w:szCs w:val="20"/>
          <w:color w:val="auto"/>
        </w:rPr>
      </w:pPr>
      <w:r>
        <w:rPr>
          <w:rFonts w:ascii="Times New Roman" w:cs="Times New Roman" w:eastAsia="Times New Roman" w:hAnsi="Times New Roman"/>
          <w:sz w:val="19"/>
          <w:szCs w:val="19"/>
          <w:color w:val="auto"/>
        </w:rPr>
        <w:t>not constitute a constructive eviction of Lessee or entitle Lessee to any abatement of rent or damages from Lessor. Lessee agrees to use commercially reasonable efforts to provide Lessor with access to any portions of the Remaining Premises and, to the extent under Lessee’s</w:t>
      </w:r>
    </w:p>
    <w:p>
      <w:pPr>
        <w:spacing w:after="0" w:line="218" w:lineRule="auto"/>
        <w:rPr>
          <w:sz w:val="20"/>
          <w:szCs w:val="20"/>
          <w:color w:val="auto"/>
        </w:rPr>
      </w:pPr>
      <w:r>
        <w:rPr>
          <w:rFonts w:ascii="Times New Roman" w:cs="Times New Roman" w:eastAsia="Times New Roman" w:hAnsi="Times New Roman"/>
          <w:sz w:val="19"/>
          <w:szCs w:val="19"/>
          <w:color w:val="auto"/>
        </w:rPr>
        <w:t xml:space="preserve">control, the Surrendered Space, to perform the acts described above in this </w:t>
      </w:r>
      <w:r>
        <w:rPr>
          <w:rFonts w:ascii="Times New Roman" w:cs="Times New Roman" w:eastAsia="Times New Roman" w:hAnsi="Times New Roman"/>
          <w:sz w:val="19"/>
          <w:szCs w:val="19"/>
          <w:u w:val="single" w:color="auto"/>
          <w:color w:val="auto"/>
        </w:rPr>
        <w:t>Section 3(b)</w:t>
      </w:r>
      <w:r>
        <w:rPr>
          <w:rFonts w:ascii="Times New Roman" w:cs="Times New Roman" w:eastAsia="Times New Roman" w:hAnsi="Times New Roman"/>
          <w:sz w:val="19"/>
          <w:szCs w:val="19"/>
          <w:color w:val="auto"/>
        </w:rPr>
        <w:t xml:space="preserve"> upon not less than two (2) business days’ prior written</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notice requesting such access. Notwithstanding anything to the contrary set forth above in this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in connection with the work Lessor contemplates performing as described above in this Section: (1) Lessor shall use its commercially reasonable efforts to (a) minimize the creation</w:t>
      </w:r>
    </w:p>
    <w:p>
      <w:pPr>
        <w:ind w:right="280"/>
        <w:spacing w:after="0" w:line="236" w:lineRule="auto"/>
        <w:rPr>
          <w:sz w:val="20"/>
          <w:szCs w:val="20"/>
          <w:color w:val="auto"/>
        </w:rPr>
      </w:pPr>
      <w:r>
        <w:rPr>
          <w:rFonts w:ascii="Times New Roman" w:cs="Times New Roman" w:eastAsia="Times New Roman" w:hAnsi="Times New Roman"/>
          <w:sz w:val="19"/>
          <w:szCs w:val="19"/>
          <w:color w:val="auto"/>
        </w:rPr>
        <w:t>of noise, dust, and debris in the Remaining Premises, and (b) minimize the disruption in the use of the Remaining Premises by Lessee or any other occupant; and (2) Lessor shall not limit access to the Remaining Premises except as set forth in sub-clause (i) above of this Section.</w:t>
      </w:r>
    </w:p>
    <w:p>
      <w:pPr>
        <w:spacing w:after="0" w:line="145" w:lineRule="exact"/>
        <w:rPr>
          <w:sz w:val="20"/>
          <w:szCs w:val="20"/>
          <w:color w:val="auto"/>
        </w:rPr>
      </w:pPr>
    </w:p>
    <w:p>
      <w:pPr>
        <w:ind w:left="1280" w:hanging="638"/>
        <w:spacing w:after="0"/>
        <w:tabs>
          <w:tab w:leader="none" w:pos="1280"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Mutual Release</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010000"/>
        </w:rPr>
      </w:pPr>
    </w:p>
    <w:p>
      <w:pPr>
        <w:ind w:right="80" w:firstLine="1278"/>
        <w:spacing w:after="0" w:line="218" w:lineRule="auto"/>
        <w:tabs>
          <w:tab w:leader="none" w:pos="1898"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Effective on the Surrender Date and upon satisfaction of the applicable terms and conditions set forth in this Seventh Amendment and except as set forth in </w:t>
      </w:r>
      <w:r>
        <w:rPr>
          <w:rFonts w:ascii="Times New Roman" w:cs="Times New Roman" w:eastAsia="Times New Roman" w:hAnsi="Times New Roman"/>
          <w:sz w:val="19"/>
          <w:szCs w:val="19"/>
          <w:u w:val="single" w:color="auto"/>
          <w:color w:val="auto"/>
        </w:rPr>
        <w:t>Section 4(e)</w:t>
      </w:r>
      <w:r>
        <w:rPr>
          <w:rFonts w:ascii="Times New Roman" w:cs="Times New Roman" w:eastAsia="Times New Roman" w:hAnsi="Times New Roman"/>
          <w:sz w:val="19"/>
          <w:szCs w:val="19"/>
          <w:color w:val="auto"/>
        </w:rPr>
        <w:t xml:space="preserve"> below, Lessor, on behalf of itself and its officers, members, managers, agents, employees, attorneys, and representatives (collectively, the “</w:t>
      </w:r>
      <w:r>
        <w:rPr>
          <w:rFonts w:ascii="Times New Roman" w:cs="Times New Roman" w:eastAsia="Times New Roman" w:hAnsi="Times New Roman"/>
          <w:sz w:val="19"/>
          <w:szCs w:val="19"/>
          <w:b w:val="1"/>
          <w:bCs w:val="1"/>
          <w:color w:val="auto"/>
        </w:rPr>
        <w:t>Releasing Landlord Parties</w:t>
      </w:r>
      <w:r>
        <w:rPr>
          <w:rFonts w:ascii="Times New Roman" w:cs="Times New Roman" w:eastAsia="Times New Roman" w:hAnsi="Times New Roman"/>
          <w:sz w:val="19"/>
          <w:szCs w:val="19"/>
          <w:color w:val="auto"/>
        </w:rPr>
        <w:t>”) hereby releases, acquits, and forever discharges Lessee and its subsidiaries, affiliates, partners, shareholders, directors, officers, agents, employees, attorneys, and representatives, as well as the respective heirs, personal representatives, successors, and assigns of any and all of them (collectively, the “</w:t>
      </w:r>
      <w:r>
        <w:rPr>
          <w:rFonts w:ascii="Times New Roman" w:cs="Times New Roman" w:eastAsia="Times New Roman" w:hAnsi="Times New Roman"/>
          <w:sz w:val="19"/>
          <w:szCs w:val="19"/>
          <w:b w:val="1"/>
          <w:bCs w:val="1"/>
          <w:color w:val="auto"/>
        </w:rPr>
        <w:t>Released Tenant Parties</w:t>
      </w:r>
      <w:r>
        <w:rPr>
          <w:rFonts w:ascii="Times New Roman" w:cs="Times New Roman" w:eastAsia="Times New Roman" w:hAnsi="Times New Roman"/>
          <w:sz w:val="19"/>
          <w:szCs w:val="19"/>
          <w:color w:val="auto"/>
        </w:rPr>
        <w:t>”) from any and all losses, damages, claims, demands, debts, actions, causes of action, suits, contracts, agreements, obligations, accounts, defenses, offsets, expenses (including, without limitation, court costs, the deductible amount of any insurance, attorneys’ fees, charges, and disbursements), and liabilities of any kind or character whatsoever (each a “</w:t>
      </w:r>
      <w:r>
        <w:rPr>
          <w:rFonts w:ascii="Times New Roman" w:cs="Times New Roman" w:eastAsia="Times New Roman" w:hAnsi="Times New Roman"/>
          <w:sz w:val="19"/>
          <w:szCs w:val="19"/>
          <w:b w:val="1"/>
          <w:bCs w:val="1"/>
          <w:color w:val="auto"/>
        </w:rPr>
        <w:t>Loss</w:t>
      </w:r>
      <w:r>
        <w:rPr>
          <w:rFonts w:ascii="Times New Roman" w:cs="Times New Roman" w:eastAsia="Times New Roman" w:hAnsi="Times New Roman"/>
          <w:sz w:val="19"/>
          <w:szCs w:val="19"/>
          <w:color w:val="auto"/>
        </w:rPr>
        <w:t>” and collectively,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known or unknown, suspected or unsuspected, in contract or in tort, at law or in equity, which the Releasing Landlord Parties ever had, now have, or might hereafter have, against the Released Tenant Parties, jointly or severally, for or by reason of any matter, cause or thing whatsoever, occurring prior to the Surrender Date, which relates to, in whole or in part, directly or indirectly: (a) the relationship between the Parties as landlord and tenant respecting the Surrendered Space only; (b) the Lease respecting the Surrendered Space only; and (c) the Surrendered Space; in each case, excepting only the rights created or reserved by this Seventh Amendment.</w:t>
      </w:r>
    </w:p>
    <w:p>
      <w:pPr>
        <w:spacing w:after="0" w:line="149" w:lineRule="exact"/>
        <w:rPr>
          <w:rFonts w:ascii="Times New Roman" w:cs="Times New Roman" w:eastAsia="Times New Roman" w:hAnsi="Times New Roman"/>
          <w:sz w:val="19"/>
          <w:szCs w:val="19"/>
          <w:color w:val="010000"/>
        </w:rPr>
      </w:pPr>
    </w:p>
    <w:p>
      <w:pPr>
        <w:ind w:right="120" w:firstLine="1278"/>
        <w:spacing w:after="0" w:line="219" w:lineRule="auto"/>
        <w:tabs>
          <w:tab w:leader="none" w:pos="1896"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Effective on the Surrender Date and upon satisfaction of the applicable terms and conditions set forth in this Seventh Amendment and except as set forth in </w:t>
      </w:r>
      <w:r>
        <w:rPr>
          <w:rFonts w:ascii="Times New Roman" w:cs="Times New Roman" w:eastAsia="Times New Roman" w:hAnsi="Times New Roman"/>
          <w:sz w:val="19"/>
          <w:szCs w:val="19"/>
          <w:u w:val="single" w:color="auto"/>
          <w:color w:val="auto"/>
        </w:rPr>
        <w:t>Section 4(e)</w:t>
      </w:r>
      <w:r>
        <w:rPr>
          <w:rFonts w:ascii="Times New Roman" w:cs="Times New Roman" w:eastAsia="Times New Roman" w:hAnsi="Times New Roman"/>
          <w:sz w:val="19"/>
          <w:szCs w:val="19"/>
          <w:color w:val="auto"/>
        </w:rPr>
        <w:t>, Lessee, on behalf of itself and its officers, directors, shareholders, agents, employees, attorneys, agents, and representatives (collectively, the “</w:t>
      </w:r>
      <w:r>
        <w:rPr>
          <w:rFonts w:ascii="Times New Roman" w:cs="Times New Roman" w:eastAsia="Times New Roman" w:hAnsi="Times New Roman"/>
          <w:sz w:val="19"/>
          <w:szCs w:val="19"/>
          <w:b w:val="1"/>
          <w:bCs w:val="1"/>
          <w:color w:val="auto"/>
        </w:rPr>
        <w:t>Releasing Tenant Parties</w:t>
      </w:r>
      <w:r>
        <w:rPr>
          <w:rFonts w:ascii="Times New Roman" w:cs="Times New Roman" w:eastAsia="Times New Roman" w:hAnsi="Times New Roman"/>
          <w:sz w:val="19"/>
          <w:szCs w:val="19"/>
          <w:color w:val="auto"/>
        </w:rPr>
        <w:t>”, and with the Releasing Landlord Parties, the “</w:t>
      </w:r>
      <w:r>
        <w:rPr>
          <w:rFonts w:ascii="Times New Roman" w:cs="Times New Roman" w:eastAsia="Times New Roman" w:hAnsi="Times New Roman"/>
          <w:sz w:val="19"/>
          <w:szCs w:val="19"/>
          <w:b w:val="1"/>
          <w:bCs w:val="1"/>
          <w:color w:val="auto"/>
        </w:rPr>
        <w:t>Releasing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hereby releases, acquits, and forever discharges Lessor and its subsidiaries, affiliates, members, managers, partners, agents,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attorneys, and representatives, as well as the respective heirs, personal representatives, successors, and assigns of any and all of them (collectively, the “</w:t>
      </w:r>
      <w:r>
        <w:rPr>
          <w:rFonts w:ascii="Times New Roman" w:cs="Times New Roman" w:eastAsia="Times New Roman" w:hAnsi="Times New Roman"/>
          <w:sz w:val="19"/>
          <w:szCs w:val="19"/>
          <w:b w:val="1"/>
          <w:bCs w:val="1"/>
          <w:color w:val="auto"/>
        </w:rPr>
        <w:t>Released Landlord Parties</w:t>
      </w:r>
      <w:r>
        <w:rPr>
          <w:rFonts w:ascii="Times New Roman" w:cs="Times New Roman" w:eastAsia="Times New Roman" w:hAnsi="Times New Roman"/>
          <w:sz w:val="19"/>
          <w:szCs w:val="19"/>
          <w:color w:val="auto"/>
        </w:rPr>
        <w:t>” and with the Released Tenant Parties, the “</w:t>
      </w:r>
      <w:r>
        <w:rPr>
          <w:rFonts w:ascii="Times New Roman" w:cs="Times New Roman" w:eastAsia="Times New Roman" w:hAnsi="Times New Roman"/>
          <w:sz w:val="19"/>
          <w:szCs w:val="19"/>
          <w:b w:val="1"/>
          <w:bCs w:val="1"/>
          <w:color w:val="auto"/>
        </w:rPr>
        <w:t>Released Parties</w:t>
      </w:r>
      <w:r>
        <w:rPr>
          <w:rFonts w:ascii="Times New Roman" w:cs="Times New Roman" w:eastAsia="Times New Roman" w:hAnsi="Times New Roman"/>
          <w:sz w:val="19"/>
          <w:szCs w:val="19"/>
          <w:color w:val="auto"/>
        </w:rPr>
        <w:t>”) from any and all Losses, known or unknown, suspected or unsuspected, in contract or in tort, at law or in equity, which the Releasing Tenant Parties ever had, now have or might hereafter have, against the Released Landlord Parties, jointly or severally, for or by reason of any matter, cause or thing whatsoever, occurring prior to the Surrender Date, which relates to, in whole or in part, directly or indirectly: (i) the relationship between the Parties as landlord and tenant respecting the Surrendered Space only; (ii) the Lease respecting the Surrendered Space only; and (iii) the Surrendered Space; in each case, excepting only the rights created or reserved by this Seventh Amendment.</w:t>
      </w:r>
    </w:p>
    <w:p>
      <w:pPr>
        <w:spacing w:after="0" w:line="165" w:lineRule="exact"/>
        <w:rPr>
          <w:rFonts w:ascii="Times New Roman" w:cs="Times New Roman" w:eastAsia="Times New Roman" w:hAnsi="Times New Roman"/>
          <w:sz w:val="19"/>
          <w:szCs w:val="19"/>
          <w:color w:val="010000"/>
        </w:rPr>
      </w:pPr>
    </w:p>
    <w:p>
      <w:pPr>
        <w:ind w:right="180" w:firstLine="1278"/>
        <w:spacing w:after="0" w:line="229" w:lineRule="auto"/>
        <w:tabs>
          <w:tab w:leader="none" w:pos="1898"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of the Releasing Parties acknowledges that he, she, or it has been informed by his, her, or its attorneys of the provisions of Section 1542 of the Civil Code of the State of California, and does hereby expressly waive and relinquish all rights and benefits that he, she, or it has or may have, or had under that section (and under any and all similar provisions contained in the law of any and all other jurisdictions, within and without the United States), respecting the Losses released in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which reads as follows:</w:t>
      </w:r>
    </w:p>
    <w:p>
      <w:pPr>
        <w:spacing w:after="0" w:line="147" w:lineRule="exact"/>
        <w:rPr>
          <w:sz w:val="20"/>
          <w:szCs w:val="20"/>
          <w:color w:val="auto"/>
        </w:rPr>
      </w:pPr>
    </w:p>
    <w:p>
      <w:pPr>
        <w:jc w:val="both"/>
        <w:ind w:left="640" w:right="620"/>
        <w:spacing w:after="0"/>
        <w:rPr>
          <w:sz w:val="20"/>
          <w:szCs w:val="20"/>
          <w:color w:val="auto"/>
        </w:rPr>
      </w:pPr>
      <w:r>
        <w:rPr>
          <w:rFonts w:ascii="Times New Roman" w:cs="Times New Roman" w:eastAsia="Times New Roman" w:hAnsi="Times New Roman"/>
          <w:sz w:val="19"/>
          <w:szCs w:val="19"/>
          <w:color w:val="auto"/>
        </w:rPr>
        <w:t>A GENERAL RELEASE DOES NOT EXTEND TO CLAIMS THAT THE CREDITOR OR RELEASING PARTY DOES NOT KNOW OR SUSPECT TO EXIST IN HIS OR HER FAVOR AT THE TIME OF EXECUTING THE RELEASE AND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376" w:right="359" w:bottom="1440" w:gutter="0" w:footer="0" w:header="0"/>
        </w:sectPr>
      </w:pPr>
    </w:p>
    <w:bookmarkStart w:id="153" w:name="page154"/>
    <w:bookmarkEnd w:id="153"/>
    <w:p>
      <w:pPr>
        <w:ind w:left="640" w:right="620"/>
        <w:spacing w:after="0" w:line="256" w:lineRule="auto"/>
        <w:rPr>
          <w:sz w:val="20"/>
          <w:szCs w:val="20"/>
          <w:color w:val="auto"/>
        </w:rPr>
      </w:pPr>
      <w:r>
        <w:rPr>
          <w:rFonts w:ascii="Times New Roman" w:cs="Times New Roman" w:eastAsia="Times New Roman" w:hAnsi="Times New Roman"/>
          <w:sz w:val="19"/>
          <w:szCs w:val="19"/>
          <w:color w:val="auto"/>
        </w:rPr>
        <w:t>KNOWN BY HIM OR HER WOULD HAVE MATERIALLY AFFECTED HIS OR HER SETTLEMENT WITH THE DEBTOR OR RELEASED PARTY.</w:t>
      </w:r>
    </w:p>
    <w:p>
      <w:pPr>
        <w:sectPr>
          <w:pgSz w:w="11900" w:h="16838" w:orient="portrait"/>
          <w:cols w:equalWidth="0" w:num="1">
            <w:col w:w="11220"/>
          </w:cols>
          <w:pgMar w:left="320" w:top="1376" w:right="3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w:t>
      </w:r>
    </w:p>
    <w:p>
      <w:pPr>
        <w:spacing w:after="0" w:line="15" w:lineRule="exact"/>
        <w:rPr>
          <w:sz w:val="20"/>
          <w:szCs w:val="20"/>
          <w:color w:val="auto"/>
        </w:rPr>
      </w:pPr>
    </w:p>
    <w:p>
      <w:pPr>
        <w:sectPr>
          <w:pgSz w:w="11900" w:h="16838" w:orient="portrait"/>
          <w:cols w:equalWidth="0" w:num="2">
            <w:col w:w="6300" w:space="720"/>
            <w:col w:w="4200"/>
          </w:cols>
          <w:pgMar w:left="320" w:top="1376" w:right="3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9"/>
          <w:szCs w:val="19"/>
          <w:color w:val="auto"/>
        </w:rPr>
        <w:t>Lessor’s Initials</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9"/>
          <w:szCs w:val="19"/>
          <w:color w:val="auto"/>
        </w:rPr>
        <w:t>Lessee’s Initials</w:t>
      </w:r>
    </w:p>
    <w:p>
      <w:pPr>
        <w:spacing w:after="0" w:line="200" w:lineRule="exact"/>
        <w:rPr>
          <w:sz w:val="20"/>
          <w:szCs w:val="20"/>
          <w:color w:val="auto"/>
        </w:rPr>
      </w:pPr>
    </w:p>
    <w:p>
      <w:pPr>
        <w:sectPr>
          <w:pgSz w:w="11900" w:h="16838" w:orient="portrait"/>
          <w:cols w:equalWidth="0" w:num="2">
            <w:col w:w="5960" w:space="720"/>
            <w:col w:w="4540"/>
          </w:cols>
          <w:pgMar w:left="320" w:top="1376" w:right="359" w:bottom="1440" w:gutter="0" w:footer="0" w:header="0"/>
          <w:type w:val="continuous"/>
        </w:sectPr>
      </w:pPr>
    </w:p>
    <w:p>
      <w:pPr>
        <w:spacing w:after="0" w:line="90" w:lineRule="exact"/>
        <w:rPr>
          <w:sz w:val="20"/>
          <w:szCs w:val="20"/>
          <w:color w:val="auto"/>
        </w:rPr>
      </w:pPr>
    </w:p>
    <w:p>
      <w:pPr>
        <w:ind w:right="20" w:firstLine="1278"/>
        <w:spacing w:after="0" w:line="229" w:lineRule="auto"/>
        <w:tabs>
          <w:tab w:leader="none" w:pos="1896" w:val="left"/>
        </w:tabs>
        <w:numPr>
          <w:ilvl w:val="1"/>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of the Releasing Parties acknowledges that it may hereafter discover facts or law different from or in addition to those it now knows or believes to be true in respect to the Losses released in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Each of the Releasing Parties agrees that the releases in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shall be and remain in effect as complete, general, and mutual releases as to the matters released, notwithstanding any such additional facts or law.</w:t>
      </w:r>
    </w:p>
    <w:p>
      <w:pPr>
        <w:spacing w:after="0" w:line="159" w:lineRule="exact"/>
        <w:rPr>
          <w:rFonts w:ascii="Times New Roman" w:cs="Times New Roman" w:eastAsia="Times New Roman" w:hAnsi="Times New Roman"/>
          <w:sz w:val="19"/>
          <w:szCs w:val="19"/>
          <w:color w:val="010000"/>
        </w:rPr>
      </w:pPr>
    </w:p>
    <w:p>
      <w:pPr>
        <w:ind w:right="120" w:firstLine="1278"/>
        <w:spacing w:after="0" w:line="224" w:lineRule="auto"/>
        <w:tabs>
          <w:tab w:leader="none" w:pos="1898" w:val="left"/>
        </w:tabs>
        <w:numPr>
          <w:ilvl w:val="1"/>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It is the express intention of the Releasing Parties and the Released Parties, and each of them, that the Losses released pursuant to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above do not include Losses, if any, which arise from, pertain to, or are based upon: (1) the Surviving Obligations (as limited by the last sentence of </w:t>
      </w:r>
      <w:r>
        <w:rPr>
          <w:rFonts w:ascii="Times New Roman" w:cs="Times New Roman" w:eastAsia="Times New Roman" w:hAnsi="Times New Roman"/>
          <w:sz w:val="19"/>
          <w:szCs w:val="19"/>
          <w:u w:val="single" w:color="auto"/>
          <w:color w:val="auto"/>
        </w:rPr>
        <w:t>Section 3(a)</w:t>
      </w:r>
      <w:r>
        <w:rPr>
          <w:rFonts w:ascii="Times New Roman" w:cs="Times New Roman" w:eastAsia="Times New Roman" w:hAnsi="Times New Roman"/>
          <w:sz w:val="19"/>
          <w:szCs w:val="19"/>
          <w:color w:val="auto"/>
        </w:rPr>
        <w:t xml:space="preserve"> above); (2) a breach of this Seventh Amendment, including, without limitation, a breach of any representations and warranties set forth in this Seventh Amendment; (3) a breach of the Lease respecting the Remaining Premises; or (4) the Remaining Premises.</w:t>
      </w:r>
    </w:p>
    <w:p>
      <w:pPr>
        <w:spacing w:after="0" w:line="159" w:lineRule="exact"/>
        <w:rPr>
          <w:rFonts w:ascii="Times New Roman" w:cs="Times New Roman" w:eastAsia="Times New Roman" w:hAnsi="Times New Roman"/>
          <w:sz w:val="19"/>
          <w:szCs w:val="19"/>
          <w:color w:val="010000"/>
        </w:rPr>
      </w:pPr>
    </w:p>
    <w:p>
      <w:pPr>
        <w:ind w:right="40" w:firstLine="642"/>
        <w:spacing w:after="0" w:line="222" w:lineRule="auto"/>
        <w:tabs>
          <w:tab w:leader="none" w:pos="1272"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Parking</w:t>
      </w:r>
      <w:r>
        <w:rPr>
          <w:rFonts w:ascii="Times New Roman" w:cs="Times New Roman" w:eastAsia="Times New Roman" w:hAnsi="Times New Roman"/>
          <w:sz w:val="19"/>
          <w:szCs w:val="19"/>
          <w:color w:val="auto"/>
        </w:rPr>
        <w:t>. Notwithstanding anything in the Original Lease to the contrary but subject to Lessee’s exclusive right to use certain parking stalls and storage area in the Garage hereunder and pursuant to that certain Parking Lease Agreement, dated February 24, 2020, by and between Lessor and Lessee, as amended, from and after the Surrender Date, Lessee shall not be entitled to any exclusive parking rights at the Project, it being expressly acknowledged and agreed that: (a) Lessor shall ensure Lessee has available to it each and every day the minimum number of parking stalls required by applicable law, respecting Lessee’s use of the Remaining Premises, at the South Lot; (b) Lessor shall not grant to any other tenant or occupant at the Project exclusive parking rights at the South Lot during the Term; and (c) Lessee shall only have the right to use the parking stalls at the South Lot in common with other tenants at the Project on a non-exclusive, first-come first-served basis.</w:t>
      </w:r>
    </w:p>
    <w:p>
      <w:pPr>
        <w:spacing w:after="0" w:line="148" w:lineRule="exact"/>
        <w:rPr>
          <w:rFonts w:ascii="Times New Roman" w:cs="Times New Roman" w:eastAsia="Times New Roman" w:hAnsi="Times New Roman"/>
          <w:sz w:val="19"/>
          <w:szCs w:val="19"/>
          <w:color w:val="010000"/>
        </w:rPr>
      </w:pPr>
    </w:p>
    <w:p>
      <w:pPr>
        <w:ind w:firstLine="642"/>
        <w:spacing w:after="0" w:line="221" w:lineRule="auto"/>
        <w:tabs>
          <w:tab w:leader="none" w:pos="1272"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Base Rent</w:t>
      </w:r>
      <w:r>
        <w:rPr>
          <w:rFonts w:ascii="Times New Roman" w:cs="Times New Roman" w:eastAsia="Times New Roman" w:hAnsi="Times New Roman"/>
          <w:sz w:val="19"/>
          <w:szCs w:val="19"/>
          <w:color w:val="auto"/>
        </w:rPr>
        <w:t xml:space="preserve">. Except as set forth in this Seventh Amendment, Lessee shall continue to pay Base Rent (and perform all other obligations as “Lessee” under the Lease, including the duty to maintain insurance coverage as set forth therein) for the Surrendered Space until the Surrender Date in accordance with the terms and conditions of the Original Lease. Beginning on the Surrender Date and continuing through the Expiration Date (i.e., January 31, 2024), the monthly Base Rent payable by Lessee under the Lease shall be solely for the Remaining Premises and is set forth in the column entitled “Monthly Base Rent (Surrender Date to Expiration Date)” in the Base Rent schedule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attached to this Seventh Amendment and made a part hereof. Such monthly Base Rent for the Remaining Premises shall be payable in accordance with the terms and conditions of the Original Lease and shall be in addition to all other amounts due under the Lease (including, without limitation, Lessee’s Share of Insurance and Real Property Taxes for the Remaining Premises only, and any amounts due and payable on account of any holdover by Lessee).</w:t>
      </w:r>
    </w:p>
    <w:p>
      <w:pPr>
        <w:spacing w:after="0" w:line="150" w:lineRule="exact"/>
        <w:rPr>
          <w:rFonts w:ascii="Times New Roman" w:cs="Times New Roman" w:eastAsia="Times New Roman" w:hAnsi="Times New Roman"/>
          <w:sz w:val="19"/>
          <w:szCs w:val="19"/>
          <w:color w:val="010000"/>
        </w:rPr>
      </w:pPr>
    </w:p>
    <w:p>
      <w:pPr>
        <w:ind w:right="60" w:firstLine="642"/>
        <w:spacing w:after="0" w:line="217" w:lineRule="auto"/>
        <w:tabs>
          <w:tab w:leader="none" w:pos="1272"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Utilities</w:t>
      </w:r>
      <w:r>
        <w:rPr>
          <w:rFonts w:ascii="Times New Roman" w:cs="Times New Roman" w:eastAsia="Times New Roman" w:hAnsi="Times New Roman"/>
          <w:sz w:val="19"/>
          <w:szCs w:val="19"/>
          <w:color w:val="auto"/>
        </w:rPr>
        <w:t xml:space="preserve">. Upon satisfaction of the applicable terms and conditions of this Seventh Amendment, Lessee shall use commercially reasonable efforts to transfer utility services (i.e., electricity, natural gas, water, sewer, and fire alarm) serving the Premises to Lessor, effective as of the Surrender Date and to the extent such utility services are transferable. Upon transfer of such utilities, Lessor will invoice Lessee for its fair share of such utilities relating to the Remaining Premises only, as determined by Lessor in its reasonable discretion taking into account Lessee’s occupancy of the Remaining Premises, use of the Remaining Premises, and square footage of the Remaining Premises, and Lessee shall promptly pay for its share of such utilities upon its receipt of a written invoice from Lessor for the same; </w:t>
      </w:r>
      <w:r>
        <w:rPr>
          <w:rFonts w:ascii="Times New Roman" w:cs="Times New Roman" w:eastAsia="Times New Roman" w:hAnsi="Times New Roman"/>
          <w:sz w:val="19"/>
          <w:szCs w:val="19"/>
          <w:u w:val="single" w:color="auto"/>
          <w:color w:val="auto"/>
        </w:rPr>
        <w:t>except</w:t>
      </w:r>
      <w:r>
        <w:rPr>
          <w:rFonts w:ascii="Times New Roman" w:cs="Times New Roman" w:eastAsia="Times New Roman" w:hAnsi="Times New Roman"/>
          <w:sz w:val="19"/>
          <w:szCs w:val="19"/>
          <w:color w:val="auto"/>
        </w:rPr>
        <w:t>, that, Lessee’s share of such utilities shall never exceed, on a per utility bill basis, an amount equal to the product of the total charge listed on such utility bill and</w:t>
      </w:r>
    </w:p>
    <w:p>
      <w:pPr>
        <w:spacing w:after="0" w:line="3" w:lineRule="exact"/>
        <w:rPr>
          <w:rFonts w:ascii="Times New Roman" w:cs="Times New Roman" w:eastAsia="Times New Roman" w:hAnsi="Times New Roman"/>
          <w:sz w:val="19"/>
          <w:szCs w:val="19"/>
          <w:color w:val="010000"/>
        </w:rPr>
      </w:pPr>
    </w:p>
    <w:p>
      <w:pPr>
        <w:ind w:right="180"/>
        <w:spacing w:after="0" w:line="225"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54.33% (i.e., Lessee’s Share). If Lessee is unable transfer utility services to Lessor in accordance with this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because the utilities are non-transferable, then Lessee shall deliver copies of the applicable periodic utility bill(s) to Lessor upon its receipt, Lessee shall pay the entire amount stated in such utility bill(s), and for any period from and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20"/>
          </w:cols>
          <w:pgMar w:left="320" w:top="1376" w:right="3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9"/>
          <w:szCs w:val="19"/>
          <w:color w:val="auto"/>
        </w:rPr>
        <w:t>the Surrender Date, Lessor shall promptly reimburse Lessee for its fair share of such utilities relating to the Surrender Space, as determined by</w:t>
      </w:r>
    </w:p>
    <w:p>
      <w:pPr>
        <w:spacing w:after="0" w:line="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9"/>
          <w:szCs w:val="19"/>
          <w:color w:val="auto"/>
        </w:rPr>
        <w:t>Lessor in its reasonable discretion taking into account the occupancy of the Surrender Space, use of the Surrender Space, and square footage of the Surrender Space.</w:t>
      </w:r>
    </w:p>
    <w:p>
      <w:pPr>
        <w:spacing w:after="0" w:line="159" w:lineRule="exact"/>
        <w:rPr>
          <w:sz w:val="20"/>
          <w:szCs w:val="20"/>
          <w:color w:val="auto"/>
        </w:rPr>
      </w:pPr>
    </w:p>
    <w:p>
      <w:pPr>
        <w:ind w:left="1280" w:hanging="638"/>
        <w:spacing w:after="0"/>
        <w:tabs>
          <w:tab w:leader="none" w:pos="1280" w:val="left"/>
        </w:tabs>
        <w:numPr>
          <w:ilvl w:val="0"/>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010000"/>
        </w:rPr>
      </w:pPr>
    </w:p>
    <w:p>
      <w:pPr>
        <w:ind w:left="1900" w:hanging="622"/>
        <w:spacing w:after="0"/>
        <w:tabs>
          <w:tab w:leader="none" w:pos="190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Representations and Warranties of Lessee. As of the date of this Seventh Amendment:</w:t>
      </w:r>
    </w:p>
    <w:p>
      <w:pPr>
        <w:spacing w:after="0" w:line="179" w:lineRule="exact"/>
        <w:rPr>
          <w:rFonts w:ascii="Times New Roman" w:cs="Times New Roman" w:eastAsia="Times New Roman" w:hAnsi="Times New Roman"/>
          <w:sz w:val="19"/>
          <w:szCs w:val="19"/>
          <w:color w:val="010000"/>
        </w:rPr>
      </w:pPr>
    </w:p>
    <w:p>
      <w:pPr>
        <w:ind w:right="40" w:firstLine="1914"/>
        <w:spacing w:after="0" w:line="225" w:lineRule="auto"/>
        <w:tabs>
          <w:tab w:leader="none" w:pos="2542"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represents and warrants to Lessor that Lessee (1) has employed independent attorneys to evaluate this Seventh Amendment, (2) has read and fully understands all the provisions of this Seventh Amendment, (3) has had the opportunity to consult with such independent attorneys in connection with this Seventh Amendment (including, without limitation, the releases, rights and obligations set forth herein), (4) has been fully advised by such attorneys respecting the releases, rights, and obligations set forth in this Seventh Amendment, (5) is voluntarily entering into this Seventh Amendment, and (6) has not relied on any statement, representation, or advice of Lessor or the attorneys or agents employed by Lessor in entering into this Seventh Amendment.</w:t>
      </w:r>
    </w:p>
    <w:p>
      <w:pPr>
        <w:spacing w:after="0" w:line="149" w:lineRule="exact"/>
        <w:rPr>
          <w:rFonts w:ascii="Times New Roman" w:cs="Times New Roman" w:eastAsia="Times New Roman" w:hAnsi="Times New Roman"/>
          <w:sz w:val="19"/>
          <w:szCs w:val="19"/>
          <w:color w:val="010000"/>
        </w:rPr>
      </w:pPr>
    </w:p>
    <w:p>
      <w:pPr>
        <w:ind w:right="160" w:firstLine="1914"/>
        <w:spacing w:after="0" w:line="238" w:lineRule="auto"/>
        <w:tabs>
          <w:tab w:leader="none" w:pos="2543"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represents and warrants to Lessor that the person signing on behalf of Lessee has full power and authority to enter into this Seventh Amendment and the person signing on behalf of Lessee has been fully authorized to do so by all necessary corporate action on the part of Lessee.</w:t>
      </w:r>
    </w:p>
    <w:p>
      <w:pPr>
        <w:spacing w:after="0" w:line="145" w:lineRule="exact"/>
        <w:rPr>
          <w:rFonts w:ascii="Times New Roman" w:cs="Times New Roman" w:eastAsia="Times New Roman" w:hAnsi="Times New Roman"/>
          <w:sz w:val="19"/>
          <w:szCs w:val="19"/>
          <w:color w:val="010000"/>
        </w:rPr>
      </w:pPr>
    </w:p>
    <w:p>
      <w:pPr>
        <w:ind w:right="40" w:firstLine="1914"/>
        <w:spacing w:after="0" w:line="256" w:lineRule="auto"/>
        <w:tabs>
          <w:tab w:leader="none" w:pos="2544"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represents and warrants that it has not assigned or transferred (or purported to transfer or assign) to any person or entity, any Losses released by this Seventh Amendment.</w:t>
      </w:r>
    </w:p>
    <w:p>
      <w:pPr>
        <w:spacing w:after="0" w:line="143" w:lineRule="exact"/>
        <w:rPr>
          <w:rFonts w:ascii="Times New Roman" w:cs="Times New Roman" w:eastAsia="Times New Roman" w:hAnsi="Times New Roman"/>
          <w:sz w:val="19"/>
          <w:szCs w:val="19"/>
          <w:color w:val="010000"/>
        </w:rPr>
      </w:pPr>
    </w:p>
    <w:p>
      <w:pPr>
        <w:ind w:right="60" w:firstLine="1914"/>
        <w:spacing w:after="0" w:line="225" w:lineRule="auto"/>
        <w:tabs>
          <w:tab w:leader="none" w:pos="2533"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represents, warrants, and certifies to Lessor that, (1) to Lessee’s knowledge, Lessor is not in default under the Lease, (2) to Lessee’s knowledge, Lessee does not have any defenses or offsets to payment of rent and performance of its obligations under the Lease as and when same becomes due; (3) to Lessee’s knowledge, Lessor is holding an amount equal to $150,000.00 as the Security Deposit under the Lease; and (4) Lessee has no remaining options to extend the Term.</w:t>
      </w:r>
    </w:p>
    <w:p>
      <w:pPr>
        <w:spacing w:after="0" w:line="161" w:lineRule="exact"/>
        <w:rPr>
          <w:rFonts w:ascii="Times New Roman" w:cs="Times New Roman" w:eastAsia="Times New Roman" w:hAnsi="Times New Roman"/>
          <w:sz w:val="19"/>
          <w:szCs w:val="19"/>
          <w:color w:val="010000"/>
        </w:rPr>
      </w:pPr>
    </w:p>
    <w:p>
      <w:pPr>
        <w:ind w:left="2540" w:hanging="626"/>
        <w:spacing w:after="0"/>
        <w:tabs>
          <w:tab w:leader="none" w:pos="2540"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Lessee represents and warrants that it has no remaining option to extend the Term.</w:t>
      </w:r>
    </w:p>
    <w:p>
      <w:pPr>
        <w:spacing w:after="0" w:line="188" w:lineRule="exact"/>
        <w:rPr>
          <w:rFonts w:ascii="Times New Roman" w:cs="Times New Roman" w:eastAsia="Times New Roman" w:hAnsi="Times New Roman"/>
          <w:sz w:val="19"/>
          <w:szCs w:val="19"/>
          <w:color w:val="010000"/>
        </w:rPr>
      </w:pPr>
    </w:p>
    <w:p>
      <w:pPr>
        <w:ind w:firstLine="1914"/>
        <w:spacing w:after="0" w:line="246" w:lineRule="auto"/>
        <w:tabs>
          <w:tab w:leader="none" w:pos="2533"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the term “</w:t>
      </w:r>
      <w:r>
        <w:rPr>
          <w:rFonts w:ascii="Times New Roman" w:cs="Times New Roman" w:eastAsia="Times New Roman" w:hAnsi="Times New Roman"/>
          <w:sz w:val="19"/>
          <w:szCs w:val="19"/>
          <w:b w:val="1"/>
          <w:bCs w:val="1"/>
          <w:color w:val="auto"/>
        </w:rPr>
        <w:t>Lessee’s knowledge</w:t>
      </w:r>
      <w:r>
        <w:rPr>
          <w:rFonts w:ascii="Times New Roman" w:cs="Times New Roman" w:eastAsia="Times New Roman" w:hAnsi="Times New Roman"/>
          <w:sz w:val="19"/>
          <w:szCs w:val="19"/>
          <w:color w:val="auto"/>
        </w:rPr>
        <w:t>” shall mean the actual, personal knowledge of, and only of, Bernard Susai, with no imputation of knowledge and no duty of investigation or inquiry.</w:t>
      </w:r>
    </w:p>
    <w:p>
      <w:pPr>
        <w:spacing w:after="0" w:line="152" w:lineRule="exact"/>
        <w:rPr>
          <w:rFonts w:ascii="Times New Roman" w:cs="Times New Roman" w:eastAsia="Times New Roman" w:hAnsi="Times New Roman"/>
          <w:sz w:val="19"/>
          <w:szCs w:val="19"/>
          <w:color w:val="010000"/>
        </w:rPr>
      </w:pPr>
    </w:p>
    <w:p>
      <w:pPr>
        <w:ind w:left="1900" w:hanging="622"/>
        <w:spacing w:after="0"/>
        <w:tabs>
          <w:tab w:leader="none" w:pos="190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Representations and Warranties of Lessor. As of the date of this Seventh Amendment:</w:t>
      </w:r>
    </w:p>
    <w:p>
      <w:pPr>
        <w:spacing w:after="0" w:line="192" w:lineRule="exact"/>
        <w:rPr>
          <w:rFonts w:ascii="Times New Roman" w:cs="Times New Roman" w:eastAsia="Times New Roman" w:hAnsi="Times New Roman"/>
          <w:sz w:val="19"/>
          <w:szCs w:val="19"/>
          <w:color w:val="010000"/>
        </w:rPr>
      </w:pPr>
    </w:p>
    <w:p>
      <w:pPr>
        <w:ind w:right="40" w:firstLine="1914"/>
        <w:spacing w:after="0" w:line="223" w:lineRule="auto"/>
        <w:tabs>
          <w:tab w:leader="none" w:pos="2542"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Lessor represents and warrants to Lessee that Lessor (1) has employed independent attorneys to evaluate this Seventh Amendment, (2) has read and fully understands all the provisions of this Seventh Amendment, (3) has had the opportunity to consult with such independent attorneys in connection with this Seventh Amendment (including, without limitation, the releases, rights and obligations set forth herein), (4) has been fully advised by such attorneys respecting the releases, rights, and obligations set forth in this Seventh Amendment, (5) is voluntarily entering into this Seventh Amendment, and (6) has not relied on any statement, representation, or advice of Lessee or the attorneys or agents employed by Lessee in entering into this Seventh Amendment.</w:t>
      </w:r>
    </w:p>
    <w:p>
      <w:pPr>
        <w:spacing w:after="0" w:line="159" w:lineRule="exact"/>
        <w:rPr>
          <w:rFonts w:ascii="Times New Roman" w:cs="Times New Roman" w:eastAsia="Times New Roman" w:hAnsi="Times New Roman"/>
          <w:sz w:val="19"/>
          <w:szCs w:val="19"/>
          <w:color w:val="010000"/>
        </w:rPr>
      </w:pPr>
    </w:p>
    <w:p>
      <w:pPr>
        <w:ind w:right="160" w:firstLine="1914"/>
        <w:spacing w:after="0" w:line="233" w:lineRule="auto"/>
        <w:tabs>
          <w:tab w:leader="none" w:pos="2543"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Lessor represents and warrants to Lessee that the person signing on behalf of Lessor has full power and authority to enter into this Seventh Amendment and the person signing on behalf of Lessor has been fully authorized to do so by all necessary corporate or partnership action on the part of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180"/>
          </w:cols>
          <w:pgMar w:left="320" w:top="1376" w:right="399" w:bottom="1440" w:gutter="0" w:footer="0" w:header="0"/>
        </w:sectPr>
      </w:pPr>
    </w:p>
    <w:bookmarkStart w:id="155" w:name="page156"/>
    <w:bookmarkEnd w:id="155"/>
    <w:p>
      <w:pPr>
        <w:ind w:left="2540" w:hanging="626"/>
        <w:spacing w:after="0"/>
        <w:tabs>
          <w:tab w:leader="none" w:pos="2540"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Lessor represents, warrants, and certifies to Lessee that, to Lessor’s knowledge, Lessee is not in default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Lease.</w:t>
      </w:r>
    </w:p>
    <w:p>
      <w:pPr>
        <w:spacing w:after="0" w:line="157" w:lineRule="exact"/>
        <w:rPr>
          <w:sz w:val="20"/>
          <w:szCs w:val="20"/>
          <w:color w:val="auto"/>
        </w:rPr>
      </w:pPr>
    </w:p>
    <w:p>
      <w:pPr>
        <w:ind w:right="220" w:firstLine="1278"/>
        <w:spacing w:after="0" w:line="238" w:lineRule="auto"/>
        <w:tabs>
          <w:tab w:leader="none" w:pos="1898"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Lessor and Lessee each agree to indemnify, hold harmless, and defend the other Party from and against any and all Losses asserted against or suffered by the other Party arising out of, related to, or caused by the breach or inaccuracy of any representation or warranty under this Seventh Amendment by the other Party. This </w:t>
      </w:r>
      <w:r>
        <w:rPr>
          <w:rFonts w:ascii="Times New Roman" w:cs="Times New Roman" w:eastAsia="Times New Roman" w:hAnsi="Times New Roman"/>
          <w:sz w:val="19"/>
          <w:szCs w:val="19"/>
          <w:u w:val="single" w:color="auto"/>
          <w:color w:val="auto"/>
        </w:rPr>
        <w:t>Section 8(c)</w:t>
      </w:r>
      <w:r>
        <w:rPr>
          <w:rFonts w:ascii="Times New Roman" w:cs="Times New Roman" w:eastAsia="Times New Roman" w:hAnsi="Times New Roman"/>
          <w:sz w:val="19"/>
          <w:szCs w:val="19"/>
          <w:color w:val="auto"/>
        </w:rPr>
        <w:t xml:space="preserve"> shall survive the termination of the Lease.</w:t>
      </w:r>
    </w:p>
    <w:p>
      <w:pPr>
        <w:spacing w:after="0" w:line="145" w:lineRule="exact"/>
        <w:rPr>
          <w:rFonts w:ascii="Times New Roman" w:cs="Times New Roman" w:eastAsia="Times New Roman" w:hAnsi="Times New Roman"/>
          <w:sz w:val="19"/>
          <w:szCs w:val="19"/>
          <w:color w:val="010000"/>
        </w:rPr>
      </w:pPr>
    </w:p>
    <w:p>
      <w:pPr>
        <w:jc w:val="both"/>
        <w:ind w:right="180" w:firstLine="642"/>
        <w:spacing w:after="0" w:line="238" w:lineRule="auto"/>
        <w:tabs>
          <w:tab w:leader="none" w:pos="1272"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If Lessee or Lessor has dealt with any broker, agent, or other person, such Party hereto shall be solely responsible for the payment of any fees due said person or firm and such Party hereto shall protect, indemnify, hold harmless and defend the other Party from any liability in respect thereto.</w:t>
      </w:r>
    </w:p>
    <w:p>
      <w:pPr>
        <w:spacing w:after="0" w:line="145" w:lineRule="exact"/>
        <w:rPr>
          <w:rFonts w:ascii="Times New Roman" w:cs="Times New Roman" w:eastAsia="Times New Roman" w:hAnsi="Times New Roman"/>
          <w:sz w:val="19"/>
          <w:szCs w:val="19"/>
          <w:color w:val="010000"/>
        </w:rPr>
      </w:pPr>
    </w:p>
    <w:p>
      <w:pPr>
        <w:ind w:right="60" w:firstLine="642"/>
        <w:spacing w:after="0" w:line="222" w:lineRule="auto"/>
        <w:tabs>
          <w:tab w:leader="none" w:pos="1263"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Invalidity of Provisions</w:t>
      </w:r>
      <w:r>
        <w:rPr>
          <w:rFonts w:ascii="Times New Roman" w:cs="Times New Roman" w:eastAsia="Times New Roman" w:hAnsi="Times New Roman"/>
          <w:sz w:val="19"/>
          <w:szCs w:val="19"/>
          <w:color w:val="auto"/>
        </w:rPr>
        <w:t>. If any provision of this Seventh Amendment is found to be invalid or unenforceable by any court of competent jurisdiction, the invalidity or unenforceability of any such provision shall not affect the validity and enforceability of the remaining provisions hereof as long as the economic or legal substance of the transactions contemplated hereby is not affected in any manner materially adverse to any of the Parties. Upon such determination that any term of or other provision is invalid, illegal, or incapable of being enforced, the affected Parties shall negotiate in good faith to modify this Seventh Amendment so as to effect the original intent of the Parties as closely as possible in an acceptable manner so the transactions contemplated hereby are consummated as originally contemplated to the greatest extent possible.</w:t>
      </w:r>
    </w:p>
    <w:p>
      <w:pPr>
        <w:spacing w:after="0" w:line="162" w:lineRule="exact"/>
        <w:rPr>
          <w:rFonts w:ascii="Times New Roman" w:cs="Times New Roman" w:eastAsia="Times New Roman" w:hAnsi="Times New Roman"/>
          <w:sz w:val="19"/>
          <w:szCs w:val="19"/>
          <w:color w:val="010000"/>
        </w:rPr>
      </w:pPr>
    </w:p>
    <w:p>
      <w:pPr>
        <w:ind w:firstLine="642"/>
        <w:spacing w:after="0" w:line="230" w:lineRule="auto"/>
        <w:tabs>
          <w:tab w:leader="none" w:pos="1256"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The captions of Articles of this Seventh Amendment are for convenience only and do not limit or amplify the terms and provisions of this Seventh Amendment. Lessor and Lessee each agree to promptly execute, acknowledge, and deliver to the other such further instruments and take such further actions as may be reasonably required to carry out and effectuate the intent and purpose of this Seventh Amendment. If a Party brings an action or suit against the other Party to enforce any provisions of this Seventh Amendment, the prevailing party in such action or suit shall be entitled to have and recover from the other Party, in addition to damages, equitable or other relief, all costs and expenses of the action or suit and any appeals therefrom, including reasonable attorneys’ fees and court costs and costs of expert witnesses, and fees incurred to enforce any judgment therefrom. The Parties hereby acknowledge and agree this Seventh Amendment shall not be construed or interpreted against either of the Parties by virtue of the identity of the preparer. The Original Lease, as modified by this Seventh Amendment, constitutes the entire agreement between Lessor and Lessee regarding the subject matter set forth herein. If there is any conflict between the terms of the Original Lease and the terms in this Seventh Amendment, the terms specifically set out in this Seventh Amendment shall control. Upon the execution of this Seventh Amendment by Lessor and Lessee and the satisfaction of the applicable conditions of this Seventh Amendment, any references to “the Lease” or “this Lease” in the Original Lease shall mean the Lease as modified by this Seventh Amendment. Time is of the essence of each provision of this Seventh Amendment. This Seventh Amendment is being executed and delivered, and is intended to be performed, in Los Angeles County, California. The substantive laws of California will govern the validity, construction, and enforcement of this Seventh Amendment. Nothing in this Seventh Amendment, express or implied, is intended or shall be construed to confer upon, or give to, any person or entity, other than the named Parties to this Seventh Amendment, any rights, remedies, obligations, or liabilities.</w:t>
      </w:r>
    </w:p>
    <w:p>
      <w:pPr>
        <w:spacing w:after="0" w:line="161" w:lineRule="exact"/>
        <w:rPr>
          <w:rFonts w:ascii="Times New Roman" w:cs="Times New Roman" w:eastAsia="Times New Roman" w:hAnsi="Times New Roman"/>
          <w:sz w:val="19"/>
          <w:szCs w:val="19"/>
          <w:color w:val="010000"/>
        </w:rPr>
      </w:pPr>
    </w:p>
    <w:p>
      <w:pPr>
        <w:ind w:right="220" w:firstLine="642"/>
        <w:spacing w:after="0" w:line="233" w:lineRule="auto"/>
        <w:tabs>
          <w:tab w:leader="none" w:pos="1263"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Original Lease in Full Force</w:t>
      </w:r>
      <w:r>
        <w:rPr>
          <w:rFonts w:ascii="Times New Roman" w:cs="Times New Roman" w:eastAsia="Times New Roman" w:hAnsi="Times New Roman"/>
          <w:sz w:val="19"/>
          <w:szCs w:val="19"/>
          <w:color w:val="auto"/>
        </w:rPr>
        <w:t>. Except for those provisions that are inconsistent with this Seventh Amendment, all other terms, covenants, and conditions of the Original Lease shall remain unmodified and in full force and effect. Lessor and Lessee ratify the Original Lease, as amended hereby.</w:t>
      </w:r>
    </w:p>
    <w:p>
      <w:pPr>
        <w:spacing w:after="0" w:line="158" w:lineRule="exact"/>
        <w:rPr>
          <w:rFonts w:ascii="Times New Roman" w:cs="Times New Roman" w:eastAsia="Times New Roman" w:hAnsi="Times New Roman"/>
          <w:sz w:val="19"/>
          <w:szCs w:val="19"/>
          <w:color w:val="010000"/>
        </w:rPr>
      </w:pPr>
    </w:p>
    <w:p>
      <w:pPr>
        <w:ind w:right="20" w:firstLine="642"/>
        <w:spacing w:after="0" w:line="223" w:lineRule="auto"/>
        <w:tabs>
          <w:tab w:leader="none" w:pos="1263"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Seventh Amendment may be executed in counterparts with the same effect as if all Parties had executed the same document. All counterparts shall be construed together and shall constitute a single instrument. Further, the Parties consent and agree that this Seventh Amendment may be signed and transmitted by e-mail of a “.pdf” document or using electronic signature technology (e.g., by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Seventh Amendment using electronic signature technology, by clicking “SIGN”, such Party is signing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00"/>
          </w:cols>
          <w:pgMar w:left="320" w:top="1375" w:right="379" w:bottom="1440" w:gutter="0" w:footer="0" w:header="0"/>
        </w:sectPr>
      </w:pPr>
    </w:p>
    <w:bookmarkStart w:id="156" w:name="page157"/>
    <w:bookmarkEnd w:id="156"/>
    <w:p>
      <w:pPr>
        <w:spacing w:after="0" w:line="256" w:lineRule="auto"/>
        <w:rPr>
          <w:sz w:val="20"/>
          <w:szCs w:val="20"/>
          <w:color w:val="auto"/>
        </w:rPr>
      </w:pPr>
      <w:r>
        <w:rPr>
          <w:rFonts w:ascii="Times New Roman" w:cs="Times New Roman" w:eastAsia="Times New Roman" w:hAnsi="Times New Roman"/>
          <w:sz w:val="19"/>
          <w:szCs w:val="19"/>
          <w:color w:val="auto"/>
        </w:rPr>
        <w:t>Seventh Amendment electronically, and (2) the electronic signatures appearing on this Seventh Amendment shall be treated, for purposes of validity, enforceability, and admissibility, the same as handwritten signatures.</w:t>
      </w:r>
    </w:p>
    <w:p>
      <w:pPr>
        <w:spacing w:after="0" w:line="1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 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880"/>
          </w:cols>
          <w:pgMar w:left="320" w:top="1376" w:right="699" w:bottom="1440" w:gutter="0" w:footer="0" w:header="0"/>
        </w:sectPr>
      </w:pPr>
    </w:p>
    <w:bookmarkStart w:id="157" w:name="page158"/>
    <w:bookmarkEnd w:id="157"/>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Lessor and Lessee have caused this Seventh Amendment to be executed the day and date first above written.</w:t>
      </w:r>
    </w:p>
    <w:p>
      <w:pPr>
        <w:sectPr>
          <w:pgSz w:w="11900" w:h="16838" w:orient="portrait"/>
          <w:cols w:equalWidth="0" w:num="1">
            <w:col w:w="10600"/>
          </w:cols>
          <w:pgMar w:left="520" w:top="1440" w:right="779" w:bottom="1440" w:gutter="0" w:footer="0" w:header="0"/>
        </w:sectPr>
      </w:pPr>
    </w:p>
    <w:p>
      <w:pPr>
        <w:spacing w:after="0" w:line="2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LESSOR</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SMOKY HOLLOW INDUSTRIES, LLC,</w:t>
      </w:r>
    </w:p>
    <w:p>
      <w:pPr>
        <w:spacing w:after="0" w:line="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a California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By: /s/ Mark Telesz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-5715</wp:posOffset>
            </wp:positionV>
            <wp:extent cx="11283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1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Name: Mark Telesz</w:t>
      </w:r>
    </w:p>
    <w:p>
      <w:pPr>
        <w:spacing w:after="0" w:line="15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LESSEE</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BEYOND MEAT, INC.,</w:t>
      </w:r>
    </w:p>
    <w:p>
      <w:pPr>
        <w:ind w:left="362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By: /s/ Jonathan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-5715</wp:posOffset>
            </wp:positionV>
            <wp:extent cx="13354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Name: Jonathan Nelson</w:t>
      </w:r>
    </w:p>
    <w:p>
      <w:pPr>
        <w:spacing w:after="0" w:line="15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Title: Senior Vice President,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SIGNATURE PAGE TO SEVENTH AMENDMENT TO</w:t>
      </w:r>
    </w:p>
    <w:p>
      <w:pPr>
        <w:jc w:val="center"/>
        <w:ind w:right="-259"/>
        <w:spacing w:after="0"/>
        <w:rPr>
          <w:sz w:val="20"/>
          <w:szCs w:val="20"/>
          <w:color w:val="auto"/>
        </w:rPr>
      </w:pPr>
      <w:r>
        <w:rPr>
          <w:rFonts w:ascii="Times New Roman" w:cs="Times New Roman" w:eastAsia="Times New Roman" w:hAnsi="Times New Roman"/>
          <w:sz w:val="15"/>
          <w:szCs w:val="15"/>
          <w:color w:val="auto"/>
        </w:rPr>
        <w:t>STANDARD INDUSTRIAL/COMMERCIAL SINGLE-TENANT LEASE – NET</w:t>
      </w:r>
    </w:p>
    <w:p>
      <w:pPr>
        <w:sectPr>
          <w:pgSz w:w="11900" w:h="16838" w:orient="portrait"/>
          <w:cols w:equalWidth="0" w:num="1">
            <w:col w:w="10600"/>
          </w:cols>
          <w:pgMar w:left="520" w:top="1440" w:right="779" w:bottom="1440" w:gutter="0" w:footer="0" w:header="0"/>
          <w:type w:val="continuous"/>
        </w:sectPr>
      </w:pPr>
    </w:p>
    <w:bookmarkStart w:id="158" w:name="page159"/>
    <w:bookmarkEnd w:id="158"/>
    <w:tbl>
      <w:tblPr>
        <w:tblLayout w:type="fixed"/>
        <w:tblInd w:w="1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20" w:type="dxa"/>
            <w:vAlign w:val="bottom"/>
            <w:gridSpan w:val="3"/>
          </w:tcPr>
          <w:p>
            <w:pPr>
              <w:jc w:val="center"/>
              <w:ind w:right="4832"/>
              <w:spacing w:after="0"/>
              <w:rPr>
                <w:sz w:val="20"/>
                <w:szCs w:val="20"/>
                <w:color w:val="auto"/>
              </w:rPr>
            </w:pPr>
            <w:r>
              <w:rPr>
                <w:rFonts w:ascii="Times New Roman" w:cs="Times New Roman" w:eastAsia="Times New Roman" w:hAnsi="Times New Roman"/>
                <w:sz w:val="19"/>
                <w:szCs w:val="19"/>
                <w:b w:val="1"/>
                <w:bCs w:val="1"/>
                <w:color w:val="auto"/>
              </w:rPr>
              <w:t>SCHEDULE “1”</w:t>
            </w:r>
          </w:p>
        </w:tc>
      </w:tr>
      <w:tr>
        <w:trPr>
          <w:trHeight w:val="20"/>
        </w:trPr>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62"/>
        </w:trPr>
        <w:tc>
          <w:tcPr>
            <w:tcW w:w="4100" w:type="dxa"/>
            <w:vAlign w:val="bottom"/>
          </w:tcPr>
          <w:p>
            <w:pPr>
              <w:spacing w:after="0"/>
              <w:rPr>
                <w:sz w:val="24"/>
                <w:szCs w:val="24"/>
                <w:color w:val="auto"/>
              </w:rPr>
            </w:pPr>
          </w:p>
        </w:tc>
        <w:tc>
          <w:tcPr>
            <w:tcW w:w="6960" w:type="dxa"/>
            <w:vAlign w:val="bottom"/>
            <w:gridSpan w:val="4"/>
          </w:tcPr>
          <w:p>
            <w:pPr>
              <w:jc w:val="center"/>
              <w:ind w:right="4172"/>
              <w:spacing w:after="0"/>
              <w:rPr>
                <w:sz w:val="20"/>
                <w:szCs w:val="20"/>
                <w:color w:val="auto"/>
              </w:rPr>
            </w:pPr>
            <w:r>
              <w:rPr>
                <w:rFonts w:ascii="Times New Roman" w:cs="Times New Roman" w:eastAsia="Times New Roman" w:hAnsi="Times New Roman"/>
                <w:sz w:val="19"/>
                <w:szCs w:val="19"/>
                <w:color w:val="auto"/>
              </w:rPr>
              <w:t>MONTHLY BASE RENT</w:t>
            </w:r>
          </w:p>
        </w:tc>
      </w:tr>
      <w:tr>
        <w:trPr>
          <w:trHeight w:val="472"/>
        </w:trPr>
        <w:tc>
          <w:tcPr>
            <w:tcW w:w="4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172"/>
        </w:trPr>
        <w:tc>
          <w:tcPr>
            <w:tcW w:w="4100" w:type="dxa"/>
            <w:vAlign w:val="bottom"/>
            <w:tcBorders>
              <w:left w:val="single" w:sz="8" w:color="auto"/>
            </w:tcBorders>
            <w:shd w:val="clear" w:color="auto" w:fill="EDEDED"/>
          </w:tcPr>
          <w:p>
            <w:pPr>
              <w:jc w:val="center"/>
              <w:ind w:left="1669"/>
              <w:spacing w:after="0" w:line="172" w:lineRule="exact"/>
              <w:rPr>
                <w:sz w:val="20"/>
                <w:szCs w:val="20"/>
                <w:color w:val="auto"/>
              </w:rPr>
            </w:pPr>
            <w:r>
              <w:rPr>
                <w:rFonts w:ascii="Times New Roman" w:cs="Times New Roman" w:eastAsia="Times New Roman" w:hAnsi="Times New Roman"/>
                <w:sz w:val="18"/>
                <w:szCs w:val="18"/>
                <w:b w:val="1"/>
                <w:bCs w:val="1"/>
                <w:color w:val="auto"/>
                <w:w w:val="98"/>
              </w:rPr>
              <w:t>Monthly Base Rent</w:t>
            </w:r>
          </w:p>
        </w:tc>
        <w:tc>
          <w:tcPr>
            <w:tcW w:w="640" w:type="dxa"/>
            <w:vAlign w:val="bottom"/>
            <w:shd w:val="clear" w:color="auto" w:fill="EDEDED"/>
          </w:tcPr>
          <w:p>
            <w:pPr>
              <w:spacing w:after="0"/>
              <w:rPr>
                <w:sz w:val="14"/>
                <w:szCs w:val="14"/>
                <w:color w:val="auto"/>
              </w:rPr>
            </w:pPr>
          </w:p>
        </w:tc>
        <w:tc>
          <w:tcPr>
            <w:tcW w:w="1120" w:type="dxa"/>
            <w:vAlign w:val="bottom"/>
            <w:tcBorders>
              <w:right w:val="single" w:sz="8" w:color="auto"/>
            </w:tcBorders>
            <w:shd w:val="clear" w:color="auto" w:fill="EDEDED"/>
          </w:tcPr>
          <w:p>
            <w:pPr>
              <w:spacing w:after="0"/>
              <w:rPr>
                <w:sz w:val="14"/>
                <w:szCs w:val="14"/>
                <w:color w:val="auto"/>
              </w:rPr>
            </w:pPr>
          </w:p>
        </w:tc>
        <w:tc>
          <w:tcPr>
            <w:tcW w:w="280" w:type="dxa"/>
            <w:vAlign w:val="bottom"/>
            <w:shd w:val="clear" w:color="auto" w:fill="EDEDED"/>
          </w:tcPr>
          <w:p>
            <w:pPr>
              <w:spacing w:after="0"/>
              <w:rPr>
                <w:sz w:val="14"/>
                <w:szCs w:val="14"/>
                <w:color w:val="auto"/>
              </w:rPr>
            </w:pPr>
          </w:p>
        </w:tc>
        <w:tc>
          <w:tcPr>
            <w:tcW w:w="4920" w:type="dxa"/>
            <w:vAlign w:val="bottom"/>
            <w:tcBorders>
              <w:right w:val="single" w:sz="8" w:color="auto"/>
            </w:tcBorders>
            <w:shd w:val="clear" w:color="auto" w:fill="EDEDED"/>
          </w:tcPr>
          <w:p>
            <w:pPr>
              <w:jc w:val="center"/>
              <w:ind w:right="212"/>
              <w:spacing w:after="0" w:line="172" w:lineRule="exact"/>
              <w:rPr>
                <w:sz w:val="20"/>
                <w:szCs w:val="20"/>
                <w:color w:val="auto"/>
              </w:rPr>
            </w:pPr>
            <w:r>
              <w:rPr>
                <w:rFonts w:ascii="Times New Roman" w:cs="Times New Roman" w:eastAsia="Times New Roman" w:hAnsi="Times New Roman"/>
                <w:sz w:val="18"/>
                <w:szCs w:val="18"/>
                <w:b w:val="1"/>
                <w:bCs w:val="1"/>
                <w:color w:val="auto"/>
                <w:w w:val="98"/>
              </w:rPr>
              <w:t>Monthly Base Rent</w:t>
            </w:r>
          </w:p>
        </w:tc>
      </w:tr>
      <w:tr>
        <w:trPr>
          <w:trHeight w:val="232"/>
        </w:trPr>
        <w:tc>
          <w:tcPr>
            <w:tcW w:w="4100" w:type="dxa"/>
            <w:vAlign w:val="bottom"/>
            <w:tcBorders>
              <w:left w:val="single" w:sz="8" w:color="auto"/>
              <w:bottom w:val="single" w:sz="8" w:color="auto"/>
            </w:tcBorders>
            <w:shd w:val="clear" w:color="auto" w:fill="EDEDED"/>
          </w:tcPr>
          <w:p>
            <w:pPr>
              <w:jc w:val="center"/>
              <w:ind w:left="1669"/>
              <w:spacing w:after="0"/>
              <w:rPr>
                <w:sz w:val="20"/>
                <w:szCs w:val="20"/>
                <w:color w:val="auto"/>
              </w:rPr>
            </w:pPr>
            <w:r>
              <w:rPr>
                <w:rFonts w:ascii="Times New Roman" w:cs="Times New Roman" w:eastAsia="Times New Roman" w:hAnsi="Times New Roman"/>
                <w:sz w:val="18"/>
                <w:szCs w:val="18"/>
                <w:b w:val="1"/>
                <w:bCs w:val="1"/>
                <w:color w:val="auto"/>
                <w:w w:val="98"/>
              </w:rPr>
              <w:t>(Until Surrender Date)</w:t>
            </w:r>
          </w:p>
        </w:tc>
        <w:tc>
          <w:tcPr>
            <w:tcW w:w="640" w:type="dxa"/>
            <w:vAlign w:val="bottom"/>
            <w:tcBorders>
              <w:bottom w:val="single" w:sz="8" w:color="auto"/>
            </w:tcBorders>
            <w:shd w:val="clear" w:color="auto" w:fill="EDEDED"/>
          </w:tcPr>
          <w:p>
            <w:pPr>
              <w:spacing w:after="0"/>
              <w:rPr>
                <w:sz w:val="20"/>
                <w:szCs w:val="20"/>
                <w:color w:val="auto"/>
              </w:rPr>
            </w:pPr>
          </w:p>
        </w:tc>
        <w:tc>
          <w:tcPr>
            <w:tcW w:w="1120" w:type="dxa"/>
            <w:vAlign w:val="bottom"/>
            <w:tcBorders>
              <w:bottom w:val="single" w:sz="8" w:color="auto"/>
              <w:right w:val="single" w:sz="8" w:color="auto"/>
            </w:tcBorders>
            <w:shd w:val="clear" w:color="auto" w:fill="EDEDED"/>
          </w:tcPr>
          <w:p>
            <w:pPr>
              <w:spacing w:after="0"/>
              <w:rPr>
                <w:sz w:val="20"/>
                <w:szCs w:val="20"/>
                <w:color w:val="auto"/>
              </w:rPr>
            </w:pPr>
          </w:p>
        </w:tc>
        <w:tc>
          <w:tcPr>
            <w:tcW w:w="280" w:type="dxa"/>
            <w:vAlign w:val="bottom"/>
            <w:tcBorders>
              <w:bottom w:val="single" w:sz="8" w:color="auto"/>
            </w:tcBorders>
            <w:shd w:val="clear" w:color="auto" w:fill="EDEDED"/>
          </w:tcPr>
          <w:p>
            <w:pPr>
              <w:spacing w:after="0"/>
              <w:rPr>
                <w:sz w:val="20"/>
                <w:szCs w:val="20"/>
                <w:color w:val="auto"/>
              </w:rPr>
            </w:pPr>
          </w:p>
        </w:tc>
        <w:tc>
          <w:tcPr>
            <w:tcW w:w="4920" w:type="dxa"/>
            <w:vAlign w:val="bottom"/>
            <w:tcBorders>
              <w:bottom w:val="single" w:sz="8" w:color="auto"/>
              <w:right w:val="single" w:sz="8" w:color="auto"/>
            </w:tcBorders>
            <w:shd w:val="clear" w:color="auto" w:fill="EDEDED"/>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(Surrender Date to Expiration Date)</w:t>
            </w:r>
          </w:p>
        </w:tc>
      </w:tr>
      <w:tr>
        <w:trPr>
          <w:trHeight w:val="245"/>
        </w:trPr>
        <w:tc>
          <w:tcPr>
            <w:tcW w:w="4100" w:type="dxa"/>
            <w:vAlign w:val="bottom"/>
            <w:tcBorders>
              <w:left w:val="single" w:sz="8" w:color="auto"/>
              <w:bottom w:val="single" w:sz="8" w:color="auto"/>
            </w:tcBorders>
          </w:tcPr>
          <w:p>
            <w:pPr>
              <w:jc w:val="center"/>
              <w:ind w:left="1669"/>
              <w:spacing w:after="0"/>
              <w:rPr>
                <w:sz w:val="20"/>
                <w:szCs w:val="20"/>
                <w:color w:val="auto"/>
              </w:rPr>
            </w:pPr>
            <w:r>
              <w:rPr>
                <w:rFonts w:ascii="Times New Roman" w:cs="Times New Roman" w:eastAsia="Times New Roman" w:hAnsi="Times New Roman"/>
                <w:sz w:val="19"/>
                <w:szCs w:val="19"/>
                <w:color w:val="auto"/>
              </w:rPr>
              <w:t>$44,775.00</w:t>
            </w:r>
          </w:p>
        </w:tc>
        <w:tc>
          <w:tcPr>
            <w:tcW w:w="1760" w:type="dxa"/>
            <w:vAlign w:val="bottom"/>
            <w:tcBorders>
              <w:bottom w:val="single" w:sz="8" w:color="auto"/>
              <w:right w:val="single" w:sz="8" w:color="auto"/>
            </w:tcBorders>
            <w:gridSpan w:val="2"/>
          </w:tcPr>
          <w:p>
            <w:pPr>
              <w:spacing w:after="0"/>
              <w:rPr>
                <w:sz w:val="21"/>
                <w:szCs w:val="21"/>
                <w:color w:val="auto"/>
              </w:rPr>
            </w:pPr>
          </w:p>
        </w:tc>
        <w:tc>
          <w:tcPr>
            <w:tcW w:w="5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$9,275.00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EXHIBIT “A” TO SEVENTH AMENDMENT TO</w:t>
      </w:r>
    </w:p>
    <w:p>
      <w:pPr>
        <w:jc w:val="center"/>
        <w:ind w:right="180"/>
        <w:spacing w:after="0"/>
        <w:rPr>
          <w:sz w:val="20"/>
          <w:szCs w:val="20"/>
          <w:color w:val="auto"/>
        </w:rPr>
      </w:pPr>
      <w:r>
        <w:rPr>
          <w:rFonts w:ascii="Times New Roman" w:cs="Times New Roman" w:eastAsia="Times New Roman" w:hAnsi="Times New Roman"/>
          <w:sz w:val="16"/>
          <w:szCs w:val="16"/>
          <w:color w:val="auto"/>
        </w:rPr>
        <w:t>STANDARD INDUSTRIAL/COMMERCIAL SINGLE-TENANT LEASE – NET</w:t>
      </w:r>
    </w:p>
    <w:p>
      <w:pPr>
        <w:sectPr>
          <w:pgSz w:w="11900" w:h="16838" w:orient="portrait"/>
          <w:cols w:equalWidth="0" w:num="1">
            <w:col w:w="11060"/>
          </w:cols>
          <w:pgMar w:left="500" w:top="1366" w:right="339" w:bottom="1440" w:gutter="0" w:footer="0" w:header="0"/>
        </w:sectPr>
      </w:pPr>
    </w:p>
    <w:bookmarkStart w:id="159" w:name="page160"/>
    <w:bookmarkEnd w:id="159"/>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595959"/>
        </w:rPr>
        <w:t>Exhibit 10.32</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95959"/>
        </w:rPr>
        <w:t>Beyond Meat, Inc. 1325 E El Segundo Blvd, El Segundo, CA 90245</w:t>
      </w: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***[ADDRESS] INDICATES THE PORTION OF THIS EXHIBIT THAT HAS BEEN OMITTED BECAUSE IT IS BOTH</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 NOT MATERIAL AND (ii) THE TYPE OF INFORMATION COMPANY TREATS AS PRIVATE OR CONFIDENTIAL</w:t>
      </w:r>
    </w:p>
    <w:p>
      <w:pPr>
        <w:jc w:val="center"/>
        <w:spacing w:after="0"/>
        <w:rPr>
          <w:sz w:val="20"/>
          <w:szCs w:val="20"/>
          <w:color w:val="auto"/>
        </w:rPr>
      </w:pPr>
      <w:r>
        <w:rPr>
          <w:rFonts w:ascii="Times New Roman" w:cs="Times New Roman" w:eastAsia="Times New Roman" w:hAnsi="Times New Roman"/>
          <w:sz w:val="20"/>
          <w:szCs w:val="20"/>
          <w:color w:val="auto"/>
        </w:rPr>
        <w:t>December 14, 2018</w:t>
      </w:r>
    </w:p>
    <w:p>
      <w:pPr>
        <w:spacing w:after="0"/>
        <w:rPr>
          <w:sz w:val="20"/>
          <w:szCs w:val="20"/>
          <w:color w:val="auto"/>
        </w:rPr>
      </w:pPr>
      <w:r>
        <w:rPr>
          <w:rFonts w:ascii="Times New Roman" w:cs="Times New Roman" w:eastAsia="Times New Roman" w:hAnsi="Times New Roman"/>
          <w:sz w:val="20"/>
          <w:szCs w:val="20"/>
          <w:color w:val="auto"/>
        </w:rPr>
        <w:t>Lubi Kutua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Lubi,</w:t>
      </w:r>
    </w:p>
    <w:p>
      <w:pPr>
        <w:spacing w:after="0" w:line="221" w:lineRule="exact"/>
        <w:rPr>
          <w:sz w:val="20"/>
          <w:szCs w:val="20"/>
          <w:color w:val="auto"/>
        </w:rPr>
      </w:pPr>
    </w:p>
    <w:p>
      <w:pPr>
        <w:ind w:right="80" w:firstLine="611"/>
        <w:spacing w:after="0" w:line="285" w:lineRule="auto"/>
        <w:rPr>
          <w:sz w:val="20"/>
          <w:szCs w:val="20"/>
          <w:color w:val="auto"/>
        </w:rPr>
      </w:pPr>
      <w:r>
        <w:rPr>
          <w:rFonts w:ascii="Times New Roman" w:cs="Times New Roman" w:eastAsia="Times New Roman" w:hAnsi="Times New Roman"/>
          <w:sz w:val="20"/>
          <w:szCs w:val="20"/>
          <w:color w:val="auto"/>
        </w:rPr>
        <w:t>Beyond Meat,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offer you employment with the Company on the terms described below.</w:t>
      </w:r>
    </w:p>
    <w:p>
      <w:pPr>
        <w:spacing w:after="0" w:line="126" w:lineRule="exact"/>
        <w:rPr>
          <w:sz w:val="20"/>
          <w:szCs w:val="20"/>
          <w:color w:val="auto"/>
        </w:rPr>
      </w:pPr>
    </w:p>
    <w:p>
      <w:pPr>
        <w:ind w:left="320" w:right="120" w:hanging="314"/>
        <w:spacing w:after="0" w:line="276" w:lineRule="auto"/>
        <w:tabs>
          <w:tab w:leader="none" w:pos="31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start in a full-time, exempt position as</w:t>
      </w:r>
      <w:r>
        <w:rPr>
          <w:rFonts w:ascii="Times New Roman" w:cs="Times New Roman" w:eastAsia="Times New Roman" w:hAnsi="Times New Roman"/>
          <w:sz w:val="20"/>
          <w:szCs w:val="20"/>
          <w:b w:val="1"/>
          <w:bCs w:val="1"/>
          <w:color w:val="auto"/>
        </w:rPr>
        <w:t xml:space="preserve"> Vice President, FP&amp;A &amp; Investor Relations </w:t>
      </w:r>
      <w:r>
        <w:rPr>
          <w:rFonts w:ascii="Times New Roman" w:cs="Times New Roman" w:eastAsia="Times New Roman" w:hAnsi="Times New Roman"/>
          <w:sz w:val="20"/>
          <w:szCs w:val="20"/>
          <w:color w:val="auto"/>
        </w:rPr>
        <w:t>and you will report to</w:t>
      </w:r>
      <w:r>
        <w:rPr>
          <w:rFonts w:ascii="Times New Roman" w:cs="Times New Roman" w:eastAsia="Times New Roman" w:hAnsi="Times New Roman"/>
          <w:sz w:val="20"/>
          <w:szCs w:val="20"/>
          <w:b w:val="1"/>
          <w:bCs w:val="1"/>
          <w:color w:val="auto"/>
        </w:rPr>
        <w:t xml:space="preserve"> Mark Nelson, Accounting &amp; Finance</w:t>
      </w:r>
      <w:r>
        <w:rPr>
          <w:rFonts w:ascii="Times New Roman" w:cs="Times New Roman" w:eastAsia="Times New Roman" w:hAnsi="Times New Roman"/>
          <w:sz w:val="20"/>
          <w:szCs w:val="20"/>
          <w:color w:val="auto"/>
        </w:rPr>
        <w:t>. By signing this letter, you confirm with the Company that you are under no contractual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obligations that would prohibit you from performing your duties with the Company.</w:t>
      </w:r>
    </w:p>
    <w:p>
      <w:pPr>
        <w:spacing w:after="0" w:line="147" w:lineRule="exact"/>
        <w:rPr>
          <w:rFonts w:ascii="Times New Roman" w:cs="Times New Roman" w:eastAsia="Times New Roman" w:hAnsi="Times New Roman"/>
          <w:sz w:val="20"/>
          <w:szCs w:val="20"/>
          <w:color w:val="auto"/>
        </w:rPr>
      </w:pPr>
    </w:p>
    <w:p>
      <w:pPr>
        <w:ind w:left="320" w:right="160" w:hanging="314"/>
        <w:spacing w:after="0" w:line="267" w:lineRule="auto"/>
        <w:tabs>
          <w:tab w:leader="none" w:pos="31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TriNet HR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benefits, payroll, and other human resource management services are provided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TriNet HR Corporation, a professional employer organization. As a result of the Beyond Meat, Inc. arrangement with TriNet, TriNet will be considered your employer of record for these purposes and your managers at Beyond Meat, Inc. will be responsible for directing your work, reviewing your performance, setting your schedule, and otherwise directing your work at Beyond Meat, Inc.</w:t>
      </w:r>
    </w:p>
    <w:p>
      <w:pPr>
        <w:spacing w:after="0" w:line="142" w:lineRule="exact"/>
        <w:rPr>
          <w:rFonts w:ascii="Times New Roman" w:cs="Times New Roman" w:eastAsia="Times New Roman" w:hAnsi="Times New Roman"/>
          <w:sz w:val="20"/>
          <w:szCs w:val="20"/>
          <w:color w:val="auto"/>
        </w:rPr>
      </w:pPr>
    </w:p>
    <w:p>
      <w:pPr>
        <w:ind w:left="320" w:right="80" w:hanging="314"/>
        <w:spacing w:after="0" w:line="265" w:lineRule="auto"/>
        <w:tabs>
          <w:tab w:leader="none" w:pos="31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 and Employee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annualized base salary will be</w:t>
      </w:r>
      <w:r>
        <w:rPr>
          <w:rFonts w:ascii="Times New Roman" w:cs="Times New Roman" w:eastAsia="Times New Roman" w:hAnsi="Times New Roman"/>
          <w:sz w:val="20"/>
          <w:szCs w:val="20"/>
          <w:b w:val="1"/>
          <w:bCs w:val="1"/>
          <w:color w:val="auto"/>
        </w:rPr>
        <w:t xml:space="preserve"> $180,000 USD </w:t>
      </w:r>
      <w:r>
        <w:rPr>
          <w:rFonts w:ascii="Times New Roman" w:cs="Times New Roman" w:eastAsia="Times New Roman" w:hAnsi="Times New Roman"/>
          <w:sz w:val="20"/>
          <w:szCs w:val="20"/>
          <w:color w:val="auto"/>
        </w:rPr>
        <w:t>per year, payable on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regular payroll dates, and your start date will be </w:t>
      </w:r>
      <w:r>
        <w:rPr>
          <w:rFonts w:ascii="Times New Roman" w:cs="Times New Roman" w:eastAsia="Times New Roman" w:hAnsi="Times New Roman"/>
          <w:sz w:val="20"/>
          <w:szCs w:val="20"/>
          <w:b w:val="1"/>
          <w:bCs w:val="1"/>
          <w:color w:val="auto"/>
        </w:rPr>
        <w:t>January 7, 2019</w:t>
      </w:r>
      <w:r>
        <w:rPr>
          <w:rFonts w:ascii="Times New Roman" w:cs="Times New Roman" w:eastAsia="Times New Roman" w:hAnsi="Times New Roman"/>
          <w:sz w:val="20"/>
          <w:szCs w:val="20"/>
          <w:color w:val="auto"/>
        </w:rPr>
        <w:t xml:space="preserve">. You will also be part of the Company’s Incentive Plan, which will provide a bonus target level of </w:t>
      </w:r>
      <w:r>
        <w:rPr>
          <w:rFonts w:ascii="Times New Roman" w:cs="Times New Roman" w:eastAsia="Times New Roman" w:hAnsi="Times New Roman"/>
          <w:sz w:val="20"/>
          <w:szCs w:val="20"/>
          <w:b w:val="1"/>
          <w:bCs w:val="1"/>
          <w:color w:val="auto"/>
        </w:rPr>
        <w:t>25%</w:t>
      </w:r>
      <w:r>
        <w:rPr>
          <w:rFonts w:ascii="Times New Roman" w:cs="Times New Roman" w:eastAsia="Times New Roman" w:hAnsi="Times New Roman"/>
          <w:sz w:val="20"/>
          <w:szCs w:val="20"/>
          <w:color w:val="auto"/>
        </w:rPr>
        <w:t xml:space="preserve"> of your base salary. Bonuses are discretionary and are based on your individual performance and the performance of the Company. Your bonus eligibility will begin on </w:t>
      </w:r>
      <w:r>
        <w:rPr>
          <w:rFonts w:ascii="Times New Roman" w:cs="Times New Roman" w:eastAsia="Times New Roman" w:hAnsi="Times New Roman"/>
          <w:sz w:val="20"/>
          <w:szCs w:val="20"/>
          <w:b w:val="1"/>
          <w:bCs w:val="1"/>
          <w:color w:val="auto"/>
        </w:rPr>
        <w:t>January 7, 2019</w:t>
      </w:r>
      <w:r>
        <w:rPr>
          <w:rFonts w:ascii="Times New Roman" w:cs="Times New Roman" w:eastAsia="Times New Roman" w:hAnsi="Times New Roman"/>
          <w:sz w:val="20"/>
          <w:szCs w:val="20"/>
          <w:color w:val="auto"/>
        </w:rPr>
        <w:t xml:space="preserve">. As a regular employee of the Company you will be eligible to participate in a number of Company-sponsored benefits, which are described in the employee benefit summary that I have enclosed with this letter. In addition to Company holidays, you will be entitled to </w:t>
      </w:r>
      <w:r>
        <w:rPr>
          <w:rFonts w:ascii="Times New Roman" w:cs="Times New Roman" w:eastAsia="Times New Roman" w:hAnsi="Times New Roman"/>
          <w:sz w:val="20"/>
          <w:szCs w:val="20"/>
          <w:b w:val="1"/>
          <w:bCs w:val="1"/>
          <w:color w:val="auto"/>
        </w:rPr>
        <w:t>20 days</w:t>
      </w:r>
      <w:r>
        <w:rPr>
          <w:rFonts w:ascii="Times New Roman" w:cs="Times New Roman" w:eastAsia="Times New Roman" w:hAnsi="Times New Roman"/>
          <w:sz w:val="20"/>
          <w:szCs w:val="20"/>
          <w:color w:val="auto"/>
        </w:rPr>
        <w:t xml:space="preserve"> of Paid Time-Off (PTO).</w:t>
      </w:r>
    </w:p>
    <w:p>
      <w:pPr>
        <w:spacing w:after="0" w:line="145" w:lineRule="exact"/>
        <w:rPr>
          <w:rFonts w:ascii="Times New Roman" w:cs="Times New Roman" w:eastAsia="Times New Roman" w:hAnsi="Times New Roman"/>
          <w:sz w:val="20"/>
          <w:szCs w:val="20"/>
          <w:color w:val="auto"/>
        </w:rPr>
      </w:pPr>
    </w:p>
    <w:p>
      <w:pPr>
        <w:ind w:left="320" w:right="620" w:hanging="314"/>
        <w:spacing w:after="0" w:line="303" w:lineRule="auto"/>
        <w:tabs>
          <w:tab w:leader="none" w:pos="31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Background Check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all Company employees, your employment is subject to a background check. As a condition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you are</w:t>
      </w:r>
    </w:p>
    <w:p>
      <w:pPr>
        <w:sectPr>
          <w:pgSz w:w="11900" w:h="16838" w:orient="portrait"/>
          <w:cols w:equalWidth="0" w:num="1">
            <w:col w:w="11240"/>
          </w:cols>
          <w:pgMar w:left="320" w:top="1440" w:right="339" w:bottom="1440" w:gutter="0" w:footer="0" w:header="0"/>
        </w:sectPr>
      </w:pPr>
    </w:p>
    <w:bookmarkStart w:id="160" w:name="page161"/>
    <w:bookmarkEnd w:id="160"/>
    <w:p>
      <w:pPr>
        <w:ind w:left="314"/>
        <w:spacing w:after="0"/>
        <w:rPr>
          <w:sz w:val="20"/>
          <w:szCs w:val="20"/>
          <w:color w:val="auto"/>
        </w:rPr>
      </w:pPr>
      <w:r>
        <w:rPr>
          <w:rFonts w:ascii="Times New Roman" w:cs="Times New Roman" w:eastAsia="Times New Roman" w:hAnsi="Times New Roman"/>
          <w:sz w:val="20"/>
          <w:szCs w:val="20"/>
          <w:color w:val="auto"/>
        </w:rPr>
        <w:t>required to sign the Company’s background check consent form which will be sent in another email.</w:t>
      </w:r>
    </w:p>
    <w:p>
      <w:pPr>
        <w:spacing w:after="0" w:line="203" w:lineRule="exact"/>
        <w:rPr>
          <w:sz w:val="20"/>
          <w:szCs w:val="20"/>
          <w:color w:val="auto"/>
        </w:rPr>
      </w:pPr>
    </w:p>
    <w:p>
      <w:pPr>
        <w:ind w:left="314" w:hanging="314"/>
        <w:spacing w:after="0" w:line="264"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approval of the Company’s Board of Directors, you will be granted an option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to purchase</w:t>
      </w:r>
      <w:r>
        <w:rPr>
          <w:rFonts w:ascii="Times New Roman" w:cs="Times New Roman" w:eastAsia="Times New Roman" w:hAnsi="Times New Roman"/>
          <w:sz w:val="20"/>
          <w:szCs w:val="20"/>
          <w:b w:val="1"/>
          <w:bCs w:val="1"/>
          <w:color w:val="auto"/>
        </w:rPr>
        <w:t xml:space="preserve"> 70,000 </w:t>
      </w:r>
      <w:r>
        <w:rPr>
          <w:rFonts w:ascii="Times New Roman" w:cs="Times New Roman" w:eastAsia="Times New Roman" w:hAnsi="Times New Roman"/>
          <w:sz w:val="20"/>
          <w:szCs w:val="20"/>
          <w:color w:val="auto"/>
        </w:rPr>
        <w:t>shares of the Company’s Common Stock. The Option will be subject to the terms and conditions applicable to options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Company’s 2011 Equity Incentive Plan (as such plan may be amended</w:t>
      </w:r>
    </w:p>
    <w:p>
      <w:pPr>
        <w:ind w:left="314" w:right="60" w:hanging="9"/>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restated from time to time, the “Plan”), as described in the Plan and the applicable stock option agreement, which you will be required to sign. 25% of the total number of shares subject to the Option shall vest and become exercisable on the 12-month anniversary of your vesting commencement date and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of the total number of shares subject to the Option shall vest and become exercisable in monthly installments thereafter during continuous service, as described in the applicable stock option agreement. The exercise price per share will be equal to the fair market value per share on the date the Option is granted, as determined by the Company’s Board of Directors in good faith compliance with applicable guidance in order to avoid having the Option be treated as deferred compensation under Section 409A of the Internal Revenue Code of 1986, as amended.</w:t>
      </w:r>
    </w:p>
    <w:p>
      <w:pPr>
        <w:spacing w:after="0" w:line="162" w:lineRule="exact"/>
        <w:rPr>
          <w:rFonts w:ascii="Times New Roman" w:cs="Times New Roman" w:eastAsia="Times New Roman" w:hAnsi="Times New Roman"/>
          <w:sz w:val="20"/>
          <w:szCs w:val="20"/>
          <w:color w:val="auto"/>
        </w:rPr>
      </w:pPr>
    </w:p>
    <w:p>
      <w:pPr>
        <w:ind w:left="314" w:right="140" w:hanging="314"/>
        <w:spacing w:after="0" w:line="283"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Confidential Information and Invention Assignment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all Company employees, you will be required,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of your employment with the Company, to sign the Company’s enclosed standard Confidential Information and Invention Assignment Agreement.</w:t>
      </w:r>
    </w:p>
    <w:p>
      <w:pPr>
        <w:spacing w:after="0" w:line="127" w:lineRule="exact"/>
        <w:rPr>
          <w:rFonts w:ascii="Times New Roman" w:cs="Times New Roman" w:eastAsia="Times New Roman" w:hAnsi="Times New Roman"/>
          <w:sz w:val="20"/>
          <w:szCs w:val="20"/>
          <w:color w:val="auto"/>
        </w:rPr>
      </w:pPr>
    </w:p>
    <w:p>
      <w:pPr>
        <w:ind w:left="314" w:right="120" w:hanging="314"/>
        <w:spacing w:after="0" w:line="262"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Relationship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is for no specific period of time. Your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63" w:lineRule="exact"/>
        <w:rPr>
          <w:rFonts w:ascii="Times New Roman" w:cs="Times New Roman" w:eastAsia="Times New Roman" w:hAnsi="Times New Roman"/>
          <w:sz w:val="20"/>
          <w:szCs w:val="20"/>
          <w:color w:val="auto"/>
        </w:rPr>
      </w:pPr>
    </w:p>
    <w:p>
      <w:pPr>
        <w:ind w:left="314" w:right="160" w:hanging="314"/>
        <w:spacing w:after="0" w:line="267" w:lineRule="auto"/>
        <w:tabs>
          <w:tab w:leader="none" w:pos="30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While you render services to the Company, you agree that you will not engage in any other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2" w:lineRule="exact"/>
        <w:rPr>
          <w:rFonts w:ascii="Times New Roman" w:cs="Times New Roman" w:eastAsia="Times New Roman" w:hAnsi="Times New Roman"/>
          <w:sz w:val="20"/>
          <w:szCs w:val="20"/>
          <w:color w:val="auto"/>
        </w:rPr>
      </w:pPr>
    </w:p>
    <w:p>
      <w:pPr>
        <w:ind w:left="294" w:hanging="294"/>
        <w:spacing w:after="0"/>
        <w:tabs>
          <w:tab w:leader="none" w:pos="29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forms of compensation referred to in this letter are subject to applicable withholding and payroll taxes.</w:t>
      </w:r>
    </w:p>
    <w:p>
      <w:pPr>
        <w:spacing w:after="0" w:line="207" w:lineRule="exact"/>
        <w:rPr>
          <w:rFonts w:ascii="Times New Roman" w:cs="Times New Roman" w:eastAsia="Times New Roman" w:hAnsi="Times New Roman"/>
          <w:sz w:val="20"/>
          <w:szCs w:val="20"/>
          <w:color w:val="auto"/>
        </w:rPr>
      </w:pPr>
    </w:p>
    <w:p>
      <w:pPr>
        <w:ind w:left="314" w:right="380" w:hanging="314"/>
        <w:spacing w:after="0" w:line="303" w:lineRule="auto"/>
        <w:tabs>
          <w:tab w:leader="none" w:pos="30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letter supersedes and replaces any prior understandings or agreements, whether oral, written or implied,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you and the Company regarding the matters described in this letter.</w:t>
      </w:r>
    </w:p>
    <w:p>
      <w:pPr>
        <w:spacing w:after="0" w:line="12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ectPr>
          <w:pgSz w:w="11900" w:h="16838" w:orient="portrait"/>
          <w:cols w:equalWidth="0" w:num="1">
            <w:col w:w="11154"/>
          </w:cols>
          <w:pgMar w:left="326" w:top="772" w:right="419" w:bottom="1440" w:gutter="0" w:footer="0" w:header="0"/>
        </w:sectPr>
      </w:pPr>
    </w:p>
    <w:bookmarkStart w:id="161" w:name="page162"/>
    <w:bookmarkEnd w:id="161"/>
    <w:p>
      <w:pPr>
        <w:ind w:hanging="8"/>
        <w:spacing w:after="0" w:line="270" w:lineRule="auto"/>
        <w:rPr>
          <w:sz w:val="20"/>
          <w:szCs w:val="20"/>
          <w:color w:val="auto"/>
        </w:rPr>
      </w:pPr>
      <w:r>
        <w:rPr>
          <w:rFonts w:ascii="Times New Roman" w:cs="Times New Roman" w:eastAsia="Times New Roman" w:hAnsi="Times New Roman"/>
          <w:sz w:val="20"/>
          <w:szCs w:val="20"/>
          <w:color w:val="auto"/>
        </w:rPr>
        <w:t xml:space="preserve">If you wish to accept this offer, please sign and date this and the other documents, as outlined below. As required, by law, your employment with the Company is also contingent upon your providing legal proof of your identity and authorization to work in the United States. This offer, if not accepted, will expire at the close of business on </w:t>
      </w:r>
      <w:r>
        <w:rPr>
          <w:rFonts w:ascii="Times New Roman" w:cs="Times New Roman" w:eastAsia="Times New Roman" w:hAnsi="Times New Roman"/>
          <w:sz w:val="20"/>
          <w:szCs w:val="20"/>
          <w:b w:val="1"/>
          <w:bCs w:val="1"/>
          <w:color w:val="auto"/>
        </w:rPr>
        <w:t>December 19, 2018</w:t>
      </w:r>
      <w:r>
        <w:rPr>
          <w:rFonts w:ascii="Times New Roman" w:cs="Times New Roman" w:eastAsia="Times New Roman" w:hAnsi="Times New Roman"/>
          <w:sz w:val="20"/>
          <w:szCs w:val="20"/>
          <w:color w:val="auto"/>
        </w:rPr>
        <w:t xml:space="preserve">. We look forward to having you join us on </w:t>
      </w:r>
      <w:r>
        <w:rPr>
          <w:rFonts w:ascii="Times New Roman" w:cs="Times New Roman" w:eastAsia="Times New Roman" w:hAnsi="Times New Roman"/>
          <w:sz w:val="20"/>
          <w:szCs w:val="20"/>
          <w:b w:val="1"/>
          <w:bCs w:val="1"/>
          <w:color w:val="auto"/>
        </w:rPr>
        <w:t>January 7, 2019.</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BEYOND MEAT, INC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CARI SOTO</w:t>
      </w:r>
    </w:p>
    <w:p>
      <w:pPr>
        <w:spacing w:after="0" w:line="28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 xml:space="preserve">VP OF HUMAN RESOURCES </w:t>
      </w:r>
      <w:r>
        <w:rPr>
          <w:rFonts w:ascii="Times New Roman" w:cs="Times New Roman" w:eastAsia="Times New Roman" w:hAnsi="Times New Roman"/>
          <w:sz w:val="20"/>
          <w:szCs w:val="20"/>
          <w:color w:val="auto"/>
        </w:rPr>
        <w:t>ACCEPTED AND AGREED: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977390" cy="5721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197739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9348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Anticipated Start Date: </w:t>
      </w:r>
      <w:r>
        <w:rPr>
          <w:rFonts w:ascii="Times New Roman" w:cs="Times New Roman" w:eastAsia="Times New Roman" w:hAnsi="Times New Roman"/>
          <w:sz w:val="20"/>
          <w:szCs w:val="20"/>
          <w:b w:val="1"/>
          <w:bCs w:val="1"/>
          <w:color w:val="auto"/>
        </w:rPr>
        <w:t>January 7, 2019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Attachments</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ind w:left="1220" w:right="40" w:hanging="603"/>
        <w:spacing w:after="0" w:line="262" w:lineRule="auto"/>
        <w:tabs>
          <w:tab w:leader="none" w:pos="121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 be completed, signed (where applicable) and returned, along with this offer letter</w:t>
      </w:r>
      <w:r>
        <w:rPr>
          <w:rFonts w:ascii="Times New Roman" w:cs="Times New Roman" w:eastAsia="Times New Roman" w:hAnsi="Times New Roman"/>
          <w:sz w:val="20"/>
          <w:szCs w:val="20"/>
          <w:color w:val="auto"/>
        </w:rPr>
        <w:t xml:space="preserve">, (a) via email to your hiring manager and </w:t>
      </w:r>
      <w:r>
        <w:rPr>
          <w:rFonts w:ascii="Times New Roman" w:cs="Times New Roman" w:eastAsia="Times New Roman" w:hAnsi="Times New Roman"/>
          <w:sz w:val="20"/>
          <w:szCs w:val="20"/>
          <w:u w:val="single" w:color="auto"/>
          <w:color w:val="auto"/>
        </w:rPr>
        <w:t>lohagan@beyondmeat.com</w:t>
      </w:r>
      <w:r>
        <w:rPr>
          <w:rFonts w:ascii="Times New Roman" w:cs="Times New Roman" w:eastAsia="Times New Roman" w:hAnsi="Times New Roman"/>
          <w:sz w:val="20"/>
          <w:szCs w:val="20"/>
          <w:color w:val="auto"/>
        </w:rPr>
        <w:t xml:space="preserve"> as soon as possible;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(b) by hand on your first day or by mail to Laura O’Hagan (Beyond Meat, 1325 East El Segundo Blvd, El Segundo, CA, 90245):</w:t>
      </w:r>
    </w:p>
    <w:p>
      <w:pPr>
        <w:spacing w:after="0" w:line="2"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and Invention Assignment Agreement</w:t>
      </w:r>
    </w:p>
    <w:p>
      <w:pPr>
        <w:spacing w:after="0" w:line="21"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Background consent form (email)</w:t>
      </w:r>
    </w:p>
    <w:p>
      <w:pPr>
        <w:spacing w:after="0" w:line="21"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 for Employment</w:t>
      </w:r>
    </w:p>
    <w:p>
      <w:pPr>
        <w:spacing w:after="0" w:line="17"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employee personal information form</w:t>
      </w:r>
    </w:p>
    <w:p>
      <w:pPr>
        <w:spacing w:after="0" w:line="13"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I-9 form(s) of identification – </w:t>
      </w:r>
      <w:r>
        <w:rPr>
          <w:rFonts w:ascii="Times New Roman" w:cs="Times New Roman" w:eastAsia="Times New Roman" w:hAnsi="Times New Roman"/>
          <w:sz w:val="20"/>
          <w:szCs w:val="20"/>
          <w:i w:val="1"/>
          <w:iCs w:val="1"/>
          <w:color w:val="auto"/>
        </w:rPr>
        <w:t>please include a scanned PDF</w:t>
      </w:r>
    </w:p>
    <w:p>
      <w:pPr>
        <w:spacing w:after="0" w:line="21" w:lineRule="exact"/>
        <w:rPr>
          <w:rFonts w:ascii="Times New Roman" w:cs="Times New Roman" w:eastAsia="Times New Roman" w:hAnsi="Times New Roman"/>
          <w:sz w:val="20"/>
          <w:szCs w:val="20"/>
          <w:color w:val="auto"/>
        </w:rPr>
      </w:pPr>
    </w:p>
    <w:p>
      <w:pPr>
        <w:ind w:left="1220" w:hanging="603"/>
        <w:spacing w:after="0"/>
        <w:tabs>
          <w:tab w:leader="none" w:pos="12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information</w:t>
      </w:r>
    </w:p>
    <w:p>
      <w:pPr>
        <w:spacing w:after="0" w:line="21"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Overview 2019</w:t>
      </w:r>
    </w:p>
    <w:p>
      <w:pPr>
        <w:spacing w:after="0" w:line="21"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at a glance – 2019</w:t>
      </w:r>
    </w:p>
    <w:p>
      <w:pPr>
        <w:spacing w:after="0" w:line="21"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 Semi Monthly Costs – Salaried Employee</w:t>
      </w:r>
    </w:p>
    <w:p>
      <w:pPr>
        <w:spacing w:after="0" w:line="17"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2011 Equity Incentive Plan</w:t>
      </w:r>
    </w:p>
    <w:p>
      <w:pPr>
        <w:spacing w:after="0" w:line="13" w:lineRule="exact"/>
        <w:rPr>
          <w:rFonts w:ascii="Times New Roman" w:cs="Times New Roman" w:eastAsia="Times New Roman" w:hAnsi="Times New Roman"/>
          <w:sz w:val="20"/>
          <w:szCs w:val="20"/>
          <w:color w:val="auto"/>
        </w:rPr>
      </w:pPr>
    </w:p>
    <w:p>
      <w:pPr>
        <w:ind w:left="1540" w:hanging="311"/>
        <w:spacing w:after="0"/>
        <w:tabs>
          <w:tab w:leader="none" w:pos="15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Travel &amp; Expense Reimbursement Policy</w:t>
      </w:r>
    </w:p>
    <w:p>
      <w:pPr>
        <w:sectPr>
          <w:pgSz w:w="11900" w:h="16838" w:orient="portrait"/>
          <w:cols w:equalWidth="0" w:num="1">
            <w:col w:w="11140"/>
          </w:cols>
          <w:pgMar w:left="320" w:top="771" w:right="439" w:bottom="1440" w:gutter="0" w:footer="0" w:header="0"/>
        </w:sectPr>
      </w:pPr>
    </w:p>
    <w:bookmarkStart w:id="162" w:name="page163"/>
    <w:bookmarkEnd w:id="162"/>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[logo]</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119 Standard St.</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El Segundo, CA 90245</w:t>
      </w: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Akerho "AK" Oghoghomeh Los Angeles, CA</w:t>
      </w:r>
    </w:p>
    <w:p>
      <w:pPr>
        <w:spacing w:after="0" w:line="188"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9"/>
          <w:szCs w:val="19"/>
          <w:b w:val="1"/>
          <w:bCs w:val="1"/>
          <w:u w:val="single" w:color="auto"/>
          <w:color w:val="auto"/>
        </w:rPr>
        <w:t>At-Will Employment Offer</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Dear AK,</w:t>
      </w:r>
    </w:p>
    <w:p>
      <w:pPr>
        <w:spacing w:after="0" w:line="219" w:lineRule="exact"/>
        <w:rPr>
          <w:sz w:val="20"/>
          <w:szCs w:val="20"/>
          <w:color w:val="auto"/>
        </w:rPr>
      </w:pPr>
    </w:p>
    <w:p>
      <w:pPr>
        <w:ind w:left="180" w:right="340" w:firstLine="635"/>
        <w:spacing w:after="0" w:line="256" w:lineRule="auto"/>
        <w:rPr>
          <w:sz w:val="20"/>
          <w:szCs w:val="20"/>
          <w:color w:val="auto"/>
        </w:rPr>
      </w:pPr>
      <w:r>
        <w:rPr>
          <w:rFonts w:ascii="Times New Roman" w:cs="Times New Roman" w:eastAsia="Times New Roman" w:hAnsi="Times New Roman"/>
          <w:sz w:val="19"/>
          <w:szCs w:val="19"/>
          <w:color w:val="auto"/>
        </w:rPr>
        <w:t>Beyond Meat,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is pleased to offer you employment with the Company on the terms described below.</w:t>
      </w:r>
    </w:p>
    <w:p>
      <w:pPr>
        <w:spacing w:after="0" w:line="139" w:lineRule="exact"/>
        <w:rPr>
          <w:sz w:val="20"/>
          <w:szCs w:val="20"/>
          <w:color w:val="auto"/>
        </w:rPr>
      </w:pPr>
    </w:p>
    <w:p>
      <w:pPr>
        <w:jc w:val="both"/>
        <w:ind w:left="180" w:right="100" w:firstLine="3"/>
        <w:spacing w:after="0" w:line="224" w:lineRule="auto"/>
        <w:tabs>
          <w:tab w:leader="none" w:pos="63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Position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offer is for the Beyond Meat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Senior Vice President, Global Marketing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role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Brand Marketing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starts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February 6, 2023</w:t>
      </w:r>
      <w:r>
        <w:rPr>
          <w:rFonts w:ascii="Times New Roman" w:cs="Times New Roman" w:eastAsia="Times New Roman" w:hAnsi="Times New Roman"/>
          <w:sz w:val="19"/>
          <w:szCs w:val="19"/>
          <w:color w:val="auto"/>
        </w:rPr>
        <w:t>. Your title / level within the Company will be subject to review upon the Company achieving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21"/>
          <w:szCs w:val="21"/>
          <w:color w:val="auto"/>
        </w:rPr>
        <w:t>c</w:t>
      </w:r>
      <w:r>
        <w:rPr>
          <w:rFonts w:ascii="Times New Roman" w:cs="Times New Roman" w:eastAsia="Times New Roman" w:hAnsi="Times New Roman"/>
          <w:sz w:val="19"/>
          <w:szCs w:val="19"/>
          <w:color w:val="auto"/>
        </w:rPr>
        <w:t>ash flow positive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operations within the second half of 2023</w:t>
      </w:r>
      <w:r>
        <w:rPr>
          <w:rFonts w:ascii="Arial" w:cs="Arial" w:eastAsia="Arial" w:hAnsi="Arial"/>
          <w:sz w:val="21"/>
          <w:szCs w:val="21"/>
          <w:color w:val="212121"/>
        </w:rPr>
        <w:t>.</w:t>
      </w:r>
      <w:r>
        <w:rPr>
          <w:rFonts w:ascii="Times New Roman" w:cs="Times New Roman" w:eastAsia="Times New Roman" w:hAnsi="Times New Roman"/>
          <w:sz w:val="19"/>
          <w:szCs w:val="19"/>
          <w:color w:val="auto"/>
        </w:rPr>
        <w:t xml:space="preserve"> This is a full time, on site position based in El Segundo, CA. Your manager is </w:t>
      </w:r>
      <w:r>
        <w:rPr>
          <w:rFonts w:ascii="Times New Roman" w:cs="Times New Roman" w:eastAsia="Times New Roman" w:hAnsi="Times New Roman"/>
          <w:sz w:val="19"/>
          <w:szCs w:val="19"/>
          <w:b w:val="1"/>
          <w:bCs w:val="1"/>
          <w:i w:val="1"/>
          <w:iCs w:val="1"/>
          <w:color w:val="auto"/>
        </w:rPr>
        <w:t>Ethan Brown</w:t>
      </w:r>
      <w:r>
        <w:rPr>
          <w:rFonts w:ascii="Times New Roman" w:cs="Times New Roman" w:eastAsia="Times New Roman" w:hAnsi="Times New Roman"/>
          <w:sz w:val="19"/>
          <w:szCs w:val="19"/>
          <w:color w:val="auto"/>
        </w:rPr>
        <w:t>. By signing this letter, you confirm with the Company that you are under no contractual or other legal obligations that prohibits you from performing your duties with the Company.</w:t>
      </w:r>
    </w:p>
    <w:p>
      <w:pPr>
        <w:spacing w:after="0" w:line="155" w:lineRule="exact"/>
        <w:rPr>
          <w:rFonts w:ascii="Times New Roman" w:cs="Times New Roman" w:eastAsia="Times New Roman" w:hAnsi="Times New Roman"/>
          <w:sz w:val="19"/>
          <w:szCs w:val="19"/>
          <w:color w:val="auto"/>
        </w:rPr>
      </w:pPr>
    </w:p>
    <w:p>
      <w:pPr>
        <w:ind w:left="800" w:hanging="617"/>
        <w:spacing w:after="0"/>
        <w:tabs>
          <w:tab w:leader="none" w:pos="80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Compensation and Employee Benefits</w:t>
      </w:r>
      <w:r>
        <w:rPr>
          <w:rFonts w:ascii="Times New Roman" w:cs="Times New Roman" w:eastAsia="Times New Roman" w:hAnsi="Times New Roman"/>
          <w:sz w:val="19"/>
          <w:szCs w:val="19"/>
          <w:b w:val="1"/>
          <w:bCs w:val="1"/>
          <w:color w:val="auto"/>
        </w:rPr>
        <w:t>.</w:t>
      </w:r>
    </w:p>
    <w:p>
      <w:pPr>
        <w:spacing w:after="0" w:line="205" w:lineRule="exact"/>
        <w:rPr>
          <w:rFonts w:ascii="Times New Roman" w:cs="Times New Roman" w:eastAsia="Times New Roman" w:hAnsi="Times New Roman"/>
          <w:sz w:val="19"/>
          <w:szCs w:val="19"/>
          <w:color w:val="auto"/>
        </w:rPr>
      </w:pPr>
    </w:p>
    <w:p>
      <w:pPr>
        <w:ind w:left="180" w:right="100" w:firstLine="638"/>
        <w:spacing w:after="0" w:line="289" w:lineRule="auto"/>
        <w:tabs>
          <w:tab w:leader="none" w:pos="1269"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Your initial base salary will be in the gross amount of </w:t>
      </w:r>
      <w:r>
        <w:rPr>
          <w:rFonts w:ascii="Times New Roman" w:cs="Times New Roman" w:eastAsia="Times New Roman" w:hAnsi="Times New Roman"/>
          <w:sz w:val="19"/>
          <w:szCs w:val="19"/>
          <w:b w:val="1"/>
          <w:bCs w:val="1"/>
          <w:i w:val="1"/>
          <w:iCs w:val="1"/>
          <w:color w:val="auto"/>
        </w:rPr>
        <w:t>$380,000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per year</w:t>
      </w:r>
      <w:r>
        <w:rPr>
          <w:rFonts w:ascii="Times New Roman" w:cs="Times New Roman" w:eastAsia="Times New Roman" w:hAnsi="Times New Roman"/>
          <w:sz w:val="19"/>
          <w:szCs w:val="19"/>
          <w:color w:val="auto"/>
        </w:rPr>
        <w:t xml:space="preserve">, subject to applicable taxes and withholdings, payable on the Company’s regular payroll dates. This is an </w:t>
      </w:r>
      <w:r>
        <w:rPr>
          <w:rFonts w:ascii="Times New Roman" w:cs="Times New Roman" w:eastAsia="Times New Roman" w:hAnsi="Times New Roman"/>
          <w:sz w:val="19"/>
          <w:szCs w:val="19"/>
          <w:b w:val="1"/>
          <w:bCs w:val="1"/>
          <w:i w:val="1"/>
          <w:iCs w:val="1"/>
          <w:color w:val="auto"/>
        </w:rPr>
        <w:t>Exempt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position</w:t>
      </w:r>
      <w:r>
        <w:rPr>
          <w:rFonts w:ascii="Times New Roman" w:cs="Times New Roman" w:eastAsia="Times New Roman" w:hAnsi="Times New Roman"/>
          <w:sz w:val="19"/>
          <w:szCs w:val="19"/>
          <w:color w:val="auto"/>
        </w:rPr>
        <w:t xml:space="preserve"> and you are ineligible for overtime.</w:t>
      </w:r>
    </w:p>
    <w:p>
      <w:pPr>
        <w:spacing w:after="0" w:line="109" w:lineRule="exact"/>
        <w:rPr>
          <w:rFonts w:ascii="Times New Roman" w:cs="Times New Roman" w:eastAsia="Times New Roman" w:hAnsi="Times New Roman"/>
          <w:sz w:val="19"/>
          <w:szCs w:val="19"/>
          <w:color w:val="auto"/>
        </w:rPr>
      </w:pPr>
    </w:p>
    <w:p>
      <w:pPr>
        <w:jc w:val="both"/>
        <w:ind w:left="180" w:right="100" w:firstLine="638"/>
        <w:spacing w:after="0"/>
        <w:tabs>
          <w:tab w:leader="none" w:pos="1266"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Discretionary Bonus</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color w:val="auto"/>
        </w:rPr>
        <w:t xml:space="preserve"> You will be eligible to earn an annual discretionary bonus in effect for the applicable fiscal year. Your annual bonus target for the fiscal year is </w:t>
      </w:r>
      <w:r>
        <w:rPr>
          <w:rFonts w:ascii="Times New Roman" w:cs="Times New Roman" w:eastAsia="Times New Roman" w:hAnsi="Times New Roman"/>
          <w:sz w:val="19"/>
          <w:szCs w:val="19"/>
          <w:b w:val="1"/>
          <w:bCs w:val="1"/>
          <w:i w:val="1"/>
          <w:iCs w:val="1"/>
          <w:color w:val="auto"/>
        </w:rPr>
        <w:t>60</w:t>
      </w:r>
      <w:r>
        <w:rPr>
          <w:rFonts w:ascii="Times New Roman" w:cs="Times New Roman" w:eastAsia="Times New Roman" w:hAnsi="Times New Roman"/>
          <w:sz w:val="19"/>
          <w:szCs w:val="19"/>
          <w:color w:val="auto"/>
        </w:rPr>
        <w:t>% of your base salary and, using your start date, will be prorated based on the number of days that you are in a bonus-eligible position. This bonus is subject to individual and Company performance objectives, as well as any other factors/objectives that the Company chooses to use to determine an annual discretionary bonus amount. If earned, it will be paid out based on the Company’s payout methodology, subject to applicable withholdings. You must also be employed by the Company at the time of payment in order to earn and receive an annual discretionary bonus. The Company will determine in its sole and absolute discretion whether you have earned an annual bonus, including whether any applicable performance objectives and/or other factors/objectives have been met and the amount of the bonus, if any. Any annual discretionary bonus is not guaranteed and you have no expectation of receiving an annual discretionary bonus.</w:t>
      </w:r>
    </w:p>
    <w:p>
      <w:pPr>
        <w:spacing w:after="0" w:line="213" w:lineRule="exact"/>
        <w:rPr>
          <w:rFonts w:ascii="Times New Roman" w:cs="Times New Roman" w:eastAsia="Times New Roman" w:hAnsi="Times New Roman"/>
          <w:sz w:val="19"/>
          <w:szCs w:val="19"/>
          <w:color w:val="auto"/>
        </w:rPr>
      </w:pPr>
    </w:p>
    <w:p>
      <w:pPr>
        <w:jc w:val="both"/>
        <w:ind w:left="180" w:right="100" w:firstLine="638"/>
        <w:spacing w:after="0" w:line="226" w:lineRule="auto"/>
        <w:tabs>
          <w:tab w:leader="none" w:pos="1269"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Sign-On Bonus.</w:t>
      </w:r>
      <w:r>
        <w:rPr>
          <w:rFonts w:ascii="Times New Roman" w:cs="Times New Roman" w:eastAsia="Times New Roman" w:hAnsi="Times New Roman"/>
          <w:sz w:val="19"/>
          <w:szCs w:val="19"/>
          <w:color w:val="auto"/>
        </w:rPr>
        <w:t xml:space="preserve"> The Company will pay you a one-time sign-on cash bonus equal to the gross amount of </w:t>
      </w:r>
      <w:r>
        <w:rPr>
          <w:rFonts w:ascii="Times New Roman" w:cs="Times New Roman" w:eastAsia="Times New Roman" w:hAnsi="Times New Roman"/>
          <w:sz w:val="19"/>
          <w:szCs w:val="19"/>
          <w:b w:val="1"/>
          <w:bCs w:val="1"/>
          <w:i w:val="1"/>
          <w:iCs w:val="1"/>
          <w:color w:val="auto"/>
        </w:rPr>
        <w:t>$60,000,</w:t>
      </w:r>
      <w:r>
        <w:rPr>
          <w:rFonts w:ascii="Times New Roman" w:cs="Times New Roman" w:eastAsia="Times New Roman" w:hAnsi="Times New Roman"/>
          <w:sz w:val="19"/>
          <w:szCs w:val="19"/>
          <w:color w:val="auto"/>
        </w:rPr>
        <w:t xml:space="preserve"> subject to applicable taxes and withholdings, within 30 days of the date you commence employment with the Company (the “</w:t>
      </w:r>
      <w:r>
        <w:rPr>
          <w:rFonts w:ascii="Times New Roman" w:cs="Times New Roman" w:eastAsia="Times New Roman" w:hAnsi="Times New Roman"/>
          <w:sz w:val="19"/>
          <w:szCs w:val="19"/>
          <w:u w:val="single" w:color="auto"/>
          <w:color w:val="auto"/>
        </w:rPr>
        <w:t>Commencement Date</w:t>
      </w:r>
      <w:r>
        <w:rPr>
          <w:rFonts w:ascii="Times New Roman" w:cs="Times New Roman" w:eastAsia="Times New Roman" w:hAnsi="Times New Roman"/>
          <w:sz w:val="19"/>
          <w:szCs w:val="19"/>
          <w:color w:val="auto"/>
        </w:rPr>
        <w:t>”), subject to your continued employment through the payment date. You will earn, and be permitted to retain, the full amount of the Sign-On Bonus if you remain employed by the Company through the 1-year anniversary of the Commencement Date. By signing below, you acknowledge and agree that, if before such 1-year anniversary date, you terminate employment with the Company for any reason, you will be required to immediately re-pay a pro-rated portion of the Sign-On Bonus (gross), with the pro-rated amount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Calibri" w:cs="Calibri" w:eastAsia="Calibri" w:hAnsi="Calibri"/>
          <w:sz w:val="21"/>
          <w:szCs w:val="21"/>
          <w:color w:val="auto"/>
        </w:rPr>
        <w:t>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line="241" w:lineRule="auto"/>
        <w:rPr>
          <w:sz w:val="20"/>
          <w:szCs w:val="20"/>
          <w:color w:val="auto"/>
        </w:rPr>
      </w:pPr>
      <w:r>
        <w:rPr>
          <w:rFonts w:ascii="Times New Roman" w:cs="Times New Roman" w:eastAsia="Times New Roman" w:hAnsi="Times New Roman"/>
          <w:sz w:val="19"/>
          <w:szCs w:val="19"/>
          <w:color w:val="auto"/>
        </w:rPr>
        <w:t>based on the total days of service that you provided during the year, no later than 30 days following the last day of your employment with the Company.</w:t>
      </w:r>
    </w:p>
    <w:p>
      <w:pPr>
        <w:spacing w:after="0" w:line="157" w:lineRule="exact"/>
        <w:rPr>
          <w:sz w:val="20"/>
          <w:szCs w:val="20"/>
          <w:color w:val="auto"/>
        </w:rPr>
      </w:pPr>
    </w:p>
    <w:p>
      <w:pPr>
        <w:jc w:val="both"/>
        <w:ind w:left="100" w:right="20" w:firstLine="638"/>
        <w:spacing w:after="0" w:line="229" w:lineRule="auto"/>
        <w:tabs>
          <w:tab w:leader="none" w:pos="11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u w:val="single" w:color="auto"/>
          <w:color w:val="auto"/>
        </w:rPr>
        <w:t>Retention Bonus</w:t>
      </w:r>
      <w:r>
        <w:rPr>
          <w:rFonts w:ascii="Times New Roman" w:cs="Times New Roman" w:eastAsia="Times New Roman" w:hAnsi="Times New Roman"/>
          <w:sz w:val="19"/>
          <w:szCs w:val="19"/>
          <w:color w:val="auto"/>
        </w:rPr>
        <w:t>. The Company will pay you $125,000 as a retention bonus; payable on your 6-month anniversary following the commence employment with the Company, subject to your continued employment through the payment date. This payment is taxable, and all regular payroll taxes will be withheld. If you leave Beyond Meat, Inc. within 12 months of your date of hire, you are responsible for reimbursing the Company for the full amount of retention bonus.</w:t>
      </w:r>
    </w:p>
    <w:p>
      <w:pPr>
        <w:spacing w:after="0" w:line="148" w:lineRule="exact"/>
        <w:rPr>
          <w:rFonts w:ascii="Times New Roman" w:cs="Times New Roman" w:eastAsia="Times New Roman" w:hAnsi="Times New Roman"/>
          <w:sz w:val="18"/>
          <w:szCs w:val="18"/>
          <w:color w:val="auto"/>
        </w:rPr>
      </w:pPr>
    </w:p>
    <w:p>
      <w:pPr>
        <w:ind w:left="1200" w:hanging="462"/>
        <w:spacing w:after="0"/>
        <w:tabs>
          <w:tab w:leader="none" w:pos="120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w:t>
      </w:r>
      <w:r>
        <w:rPr>
          <w:rFonts w:ascii="Times New Roman" w:cs="Times New Roman" w:eastAsia="Times New Roman" w:hAnsi="Times New Roman"/>
          <w:sz w:val="19"/>
          <w:szCs w:val="19"/>
          <w:color w:val="auto"/>
        </w:rPr>
        <w:t>. You will be eligible for severance pursuant to the terms of the enclosed Executive Change in Control</w:t>
      </w:r>
    </w:p>
    <w:p>
      <w:pPr>
        <w:ind w:left="100"/>
        <w:spacing w:after="0"/>
        <w:rPr>
          <w:sz w:val="20"/>
          <w:szCs w:val="20"/>
          <w:color w:val="auto"/>
        </w:rPr>
      </w:pPr>
      <w:r>
        <w:rPr>
          <w:rFonts w:ascii="Times New Roman" w:cs="Times New Roman" w:eastAsia="Times New Roman" w:hAnsi="Times New Roman"/>
          <w:sz w:val="19"/>
          <w:szCs w:val="19"/>
          <w:color w:val="auto"/>
        </w:rPr>
        <w:t>Severance Agreement.</w:t>
      </w:r>
    </w:p>
    <w:p>
      <w:pPr>
        <w:spacing w:after="0" w:line="170" w:lineRule="exact"/>
        <w:rPr>
          <w:sz w:val="20"/>
          <w:szCs w:val="20"/>
          <w:color w:val="auto"/>
        </w:rPr>
      </w:pPr>
    </w:p>
    <w:p>
      <w:pPr>
        <w:ind w:left="100" w:right="20" w:firstLine="638"/>
        <w:spacing w:after="0" w:line="256" w:lineRule="auto"/>
        <w:tabs>
          <w:tab w:leader="none" w:pos="1194"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As a regular employee of the Company, you are eligible for Company-sponsored benefits, which may include healthcare and retirement. Specific details of your benefits are described in the employee benefit summary enclosed with this letter.</w:t>
      </w:r>
    </w:p>
    <w:p>
      <w:pPr>
        <w:spacing w:after="0" w:line="130" w:lineRule="exact"/>
        <w:rPr>
          <w:rFonts w:ascii="Times New Roman" w:cs="Times New Roman" w:eastAsia="Times New Roman" w:hAnsi="Times New Roman"/>
          <w:sz w:val="19"/>
          <w:szCs w:val="19"/>
          <w:color w:val="auto"/>
        </w:rPr>
      </w:pPr>
    </w:p>
    <w:p>
      <w:pPr>
        <w:jc w:val="both"/>
        <w:ind w:left="100" w:right="20" w:firstLine="638"/>
        <w:spacing w:after="0" w:line="238" w:lineRule="auto"/>
        <w:tabs>
          <w:tab w:leader="none" w:pos="118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Vacation, Sick, and Holidays</w:t>
      </w:r>
      <w:r>
        <w:rPr>
          <w:rFonts w:ascii="Times New Roman" w:cs="Times New Roman" w:eastAsia="Times New Roman" w:hAnsi="Times New Roman"/>
          <w:sz w:val="19"/>
          <w:szCs w:val="19"/>
          <w:color w:val="auto"/>
        </w:rPr>
        <w:t>. For each calendar year, you will accrue up to 20 days of Vacation Time and up to 3 days of Sick Time (or more if required by applicable law), in addition to all Company Holidays, in line with the Company’s policies on Vacation Time and Sick Time. Please refer to these policies for the full details.</w:t>
      </w:r>
    </w:p>
    <w:p>
      <w:pPr>
        <w:spacing w:after="0" w:line="145" w:lineRule="exact"/>
        <w:rPr>
          <w:rFonts w:ascii="Times New Roman" w:cs="Times New Roman" w:eastAsia="Times New Roman" w:hAnsi="Times New Roman"/>
          <w:sz w:val="19"/>
          <w:szCs w:val="19"/>
          <w:color w:val="auto"/>
        </w:rPr>
      </w:pPr>
    </w:p>
    <w:p>
      <w:pPr>
        <w:ind w:left="100" w:right="100" w:firstLine="638"/>
        <w:spacing w:after="0" w:line="256" w:lineRule="auto"/>
        <w:tabs>
          <w:tab w:leader="none" w:pos="118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Review</w:t>
      </w:r>
      <w:r>
        <w:rPr>
          <w:rFonts w:ascii="Times New Roman" w:cs="Times New Roman" w:eastAsia="Times New Roman" w:hAnsi="Times New Roman"/>
          <w:sz w:val="19"/>
          <w:szCs w:val="19"/>
          <w:color w:val="auto"/>
        </w:rPr>
        <w:t>. From time-to-time, the Human Capital Management and Compensation Committee of the Board of Directors (the “</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may review your compensation as it deems necessary.</w:t>
      </w:r>
    </w:p>
    <w:p>
      <w:pPr>
        <w:spacing w:after="0" w:line="139" w:lineRule="exact"/>
        <w:rPr>
          <w:rFonts w:ascii="Times New Roman" w:cs="Times New Roman" w:eastAsia="Times New Roman" w:hAnsi="Times New Roman"/>
          <w:sz w:val="19"/>
          <w:szCs w:val="19"/>
          <w:color w:val="auto"/>
        </w:rPr>
      </w:pPr>
    </w:p>
    <w:p>
      <w:pPr>
        <w:jc w:val="both"/>
        <w:ind w:left="100" w:right="20" w:firstLine="3"/>
        <w:spacing w:after="0" w:line="220" w:lineRule="auto"/>
        <w:tabs>
          <w:tab w:leader="none" w:pos="55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Equity Awards.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approval of the Compensation Committee, you will be granted: (a) an option (“</w:t>
      </w:r>
      <w:r>
        <w:rPr>
          <w:rFonts w:ascii="Times New Roman" w:cs="Times New Roman" w:eastAsia="Times New Roman" w:hAnsi="Times New Roman"/>
          <w:sz w:val="19"/>
          <w:szCs w:val="19"/>
          <w:u w:val="single" w:color="auto"/>
          <w:color w:val="auto"/>
        </w:rPr>
        <w:t>Option</w:t>
      </w:r>
      <w:r>
        <w:rPr>
          <w:rFonts w:ascii="Times New Roman" w:cs="Times New Roman" w:eastAsia="Times New Roman" w:hAnsi="Times New Roman"/>
          <w:sz w:val="19"/>
          <w:szCs w:val="19"/>
          <w:color w:val="auto"/>
        </w:rPr>
        <w:t>”) to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the Company’s common stock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and (b) an award of restricted stock units (“</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under the Company’s 2018 Equity Incentive Plan (as such plan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as set forth in more detail below. For each Option, the number of shares of Common Stock subject to the Option will be determined by dividing the dollar value of the Option award by the Closing Price (as defined below), multiplying the resultant total by two (2), and rounding up to the nearest whole number of shares of Common Stock. For each RSU award, the number of shares to be granted will be determined by dividing the dollar value of the RSU award by the Closing Price and rounding up to the nearest whole number of shares. The Closing Price shall equal the closing price of Common Stock as reported on the NASDAQ Global Select Market on the date of grant.</w:t>
      </w:r>
    </w:p>
    <w:p>
      <w:pPr>
        <w:spacing w:after="0" w:line="177" w:lineRule="exact"/>
        <w:rPr>
          <w:rFonts w:ascii="Times New Roman" w:cs="Times New Roman" w:eastAsia="Times New Roman" w:hAnsi="Times New Roman"/>
          <w:sz w:val="19"/>
          <w:szCs w:val="19"/>
          <w:color w:val="auto"/>
        </w:rPr>
      </w:pPr>
    </w:p>
    <w:p>
      <w:pPr>
        <w:jc w:val="both"/>
        <w:ind w:left="100" w:right="20" w:firstLine="638"/>
        <w:spacing w:after="0" w:line="266" w:lineRule="auto"/>
        <w:tabs>
          <w:tab w:leader="none" w:pos="1189"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Equity Award</w:t>
      </w:r>
      <w:r>
        <w:rPr>
          <w:rFonts w:ascii="Times New Roman" w:cs="Times New Roman" w:eastAsia="Times New Roman" w:hAnsi="Times New Roman"/>
          <w:sz w:val="19"/>
          <w:szCs w:val="19"/>
          <w:color w:val="auto"/>
        </w:rPr>
        <w:t>. If approved by the Compensation Committee, the initial Option and RSUs set forth in subsections 3(a)(i) and 3(a)(ii) below will be granted the next time the Compensation Committee approves equity awards pursuant to the Plan following the Commencement Date.</w:t>
      </w:r>
    </w:p>
    <w:p>
      <w:pPr>
        <w:spacing w:after="0" w:line="148" w:lineRule="exact"/>
        <w:rPr>
          <w:rFonts w:ascii="Times New Roman" w:cs="Times New Roman" w:eastAsia="Times New Roman" w:hAnsi="Times New Roman"/>
          <w:sz w:val="19"/>
          <w:szCs w:val="19"/>
          <w:color w:val="auto"/>
        </w:rPr>
      </w:pPr>
    </w:p>
    <w:p>
      <w:pPr>
        <w:jc w:val="both"/>
        <w:ind w:left="740" w:right="20" w:firstLine="635"/>
        <w:spacing w:after="0" w:line="223" w:lineRule="auto"/>
        <w:tabs>
          <w:tab w:leader="none" w:pos="1824"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w:t>
      </w:r>
      <w:r>
        <w:rPr>
          <w:rFonts w:ascii="Times New Roman" w:cs="Times New Roman" w:eastAsia="Times New Roman" w:hAnsi="Times New Roman"/>
          <w:sz w:val="19"/>
          <w:szCs w:val="19"/>
          <w:color w:val="auto"/>
        </w:rPr>
        <w:t xml:space="preserve">. In accordance with the methodology above, you will be eligible to be granted an initial Option to purchase Common Stock valued at </w:t>
      </w:r>
      <w:r>
        <w:rPr>
          <w:rFonts w:ascii="Times New Roman" w:cs="Times New Roman" w:eastAsia="Times New Roman" w:hAnsi="Times New Roman"/>
          <w:sz w:val="19"/>
          <w:szCs w:val="19"/>
          <w:b w:val="1"/>
          <w:bCs w:val="1"/>
          <w:color w:val="auto"/>
        </w:rPr>
        <w:t>$750,000</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w:t>
      </w:r>
      <w:r>
        <w:rPr>
          <w:rFonts w:ascii="Times New Roman" w:cs="Times New Roman" w:eastAsia="Times New Roman" w:hAnsi="Times New Roman"/>
          <w:sz w:val="19"/>
          <w:szCs w:val="19"/>
          <w:color w:val="212121"/>
        </w:rPr>
        <w:t>25% of the total number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12121"/>
        </w:rPr>
        <w:t>shares subject to the Option will vest and become exercisable on the 12-month anniversary of the Commencement Date and 1/36th of the balance of the shares to the Option will vest and become exercisable in monthly installments thereafter, such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21"/>
          <w:szCs w:val="21"/>
          <w:color w:val="auto"/>
        </w:rPr>
        <w:t>2</w:t>
      </w:r>
    </w:p>
    <w:p>
      <w:pPr>
        <w:sectPr>
          <w:pgSz w:w="11900" w:h="16838" w:orient="portrait"/>
          <w:cols w:equalWidth="0" w:num="1">
            <w:col w:w="11080"/>
          </w:cols>
          <w:pgMar w:left="400" w:top="1440" w:right="41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40" w:right="260"/>
        <w:spacing w:after="0" w:line="241" w:lineRule="auto"/>
        <w:rPr>
          <w:sz w:val="20"/>
          <w:szCs w:val="20"/>
          <w:color w:val="auto"/>
        </w:rPr>
      </w:pPr>
      <w:r>
        <w:rPr>
          <w:rFonts w:ascii="Times New Roman" w:cs="Times New Roman" w:eastAsia="Times New Roman" w:hAnsi="Times New Roman"/>
          <w:sz w:val="19"/>
          <w:szCs w:val="19"/>
          <w:color w:val="212121"/>
        </w:rPr>
        <w:t>Option will be fully vested and exercisable 4 years after the Commencement Date, subject to your continuous service through each vesting date, as described in the applicable stock option agreement.</w:t>
      </w:r>
    </w:p>
    <w:p>
      <w:pPr>
        <w:spacing w:after="0" w:line="157" w:lineRule="exact"/>
        <w:rPr>
          <w:sz w:val="20"/>
          <w:szCs w:val="20"/>
          <w:color w:val="auto"/>
        </w:rPr>
      </w:pPr>
    </w:p>
    <w:p>
      <w:pPr>
        <w:jc w:val="both"/>
        <w:ind w:left="740" w:right="100" w:firstLine="635"/>
        <w:spacing w:after="0" w:line="223" w:lineRule="auto"/>
        <w:tabs>
          <w:tab w:leader="none" w:pos="1825"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RSU.</w:t>
      </w:r>
      <w:r>
        <w:rPr>
          <w:rFonts w:ascii="Times New Roman" w:cs="Times New Roman" w:eastAsia="Times New Roman" w:hAnsi="Times New Roman"/>
          <w:sz w:val="19"/>
          <w:szCs w:val="19"/>
          <w:color w:val="auto"/>
        </w:rPr>
        <w:t xml:space="preserve"> In accordance with the methodology above, you will be eligible to be granted an initial award of RSUs valued at </w:t>
      </w:r>
      <w:r>
        <w:rPr>
          <w:rFonts w:ascii="Times New Roman" w:cs="Times New Roman" w:eastAsia="Times New Roman" w:hAnsi="Times New Roman"/>
          <w:sz w:val="19"/>
          <w:szCs w:val="19"/>
          <w:b w:val="1"/>
          <w:bCs w:val="1"/>
          <w:color w:val="auto"/>
        </w:rPr>
        <w:t>$750,000</w:t>
      </w:r>
      <w:r>
        <w:rPr>
          <w:rFonts w:ascii="Times New Roman" w:cs="Times New Roman" w:eastAsia="Times New Roman" w:hAnsi="Times New Roman"/>
          <w:sz w:val="19"/>
          <w:szCs w:val="19"/>
          <w:color w:val="auto"/>
        </w:rPr>
        <w:t>, subject to the terms and conditions of the Plan and the applicable RSU agreement. Generally, the RSUs will vest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become non-forfeitable as follows: 25% of the RSUs will vest on the 12-month anniversary of the Commencement Date and 1/12th of the balance of the RSUs will vest in quarterly installments thereafter, such that the RSUs will be fully vested 4 years after the Commencement Date, subject to applicable taxes and withholdings, and subject to your continuous service through each vesting date, as described in the applicable RSU agreement.</w:t>
      </w:r>
    </w:p>
    <w:p>
      <w:pPr>
        <w:spacing w:after="0" w:line="159" w:lineRule="exact"/>
        <w:rPr>
          <w:rFonts w:ascii="Times New Roman" w:cs="Times New Roman" w:eastAsia="Times New Roman" w:hAnsi="Times New Roman"/>
          <w:sz w:val="19"/>
          <w:szCs w:val="19"/>
          <w:color w:val="auto"/>
        </w:rPr>
      </w:pPr>
    </w:p>
    <w:p>
      <w:pPr>
        <w:jc w:val="both"/>
        <w:ind w:left="100" w:right="100" w:firstLine="638"/>
        <w:spacing w:after="0"/>
        <w:tabs>
          <w:tab w:leader="none" w:pos="118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Equity Awards</w:t>
      </w:r>
      <w:r>
        <w:rPr>
          <w:rFonts w:ascii="Times New Roman" w:cs="Times New Roman" w:eastAsia="Times New Roman" w:hAnsi="Times New Roman"/>
          <w:sz w:val="19"/>
          <w:szCs w:val="19"/>
          <w:color w:val="auto"/>
        </w:rPr>
        <w:t xml:space="preserve">. If approved by </w:t>
      </w:r>
      <w:r>
        <w:rPr>
          <w:rFonts w:ascii="Times New Roman" w:cs="Times New Roman" w:eastAsia="Times New Roman" w:hAnsi="Times New Roman"/>
          <w:sz w:val="19"/>
          <w:szCs w:val="19"/>
          <w:color w:val="212121"/>
        </w:rPr>
        <w:t>the Compensation Committee, you will be eligible to receive additional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12121"/>
        </w:rPr>
        <w:t>awards granted at the same time each calendar year that the Compensation Committee approves annual refresh equity awards pursuant to the Plan for other similarly situated employees of the Company, provided you remain continuously employed by the Company through such date.</w:t>
      </w:r>
    </w:p>
    <w:p>
      <w:pPr>
        <w:spacing w:after="0" w:line="334" w:lineRule="exact"/>
        <w:rPr>
          <w:rFonts w:ascii="Times New Roman" w:cs="Times New Roman" w:eastAsia="Times New Roman" w:hAnsi="Times New Roman"/>
          <w:sz w:val="19"/>
          <w:szCs w:val="19"/>
          <w:color w:val="auto"/>
        </w:rPr>
      </w:pPr>
    </w:p>
    <w:p>
      <w:pPr>
        <w:ind w:left="740" w:hanging="637"/>
        <w:spacing w:after="0"/>
        <w:tabs>
          <w:tab w:leader="none" w:pos="74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Business Expenses and Allowances</w:t>
      </w:r>
      <w:r>
        <w:rPr>
          <w:rFonts w:ascii="Times New Roman" w:cs="Times New Roman" w:eastAsia="Times New Roman" w:hAnsi="Times New Roman"/>
          <w:sz w:val="19"/>
          <w:szCs w:val="19"/>
          <w:b w:val="1"/>
          <w:bCs w:val="1"/>
          <w:color w:val="auto"/>
        </w:rPr>
        <w:t>.</w:t>
      </w:r>
    </w:p>
    <w:p>
      <w:pPr>
        <w:spacing w:after="0" w:line="183" w:lineRule="exact"/>
        <w:rPr>
          <w:rFonts w:ascii="Times New Roman" w:cs="Times New Roman" w:eastAsia="Times New Roman" w:hAnsi="Times New Roman"/>
          <w:sz w:val="19"/>
          <w:szCs w:val="19"/>
          <w:color w:val="auto"/>
        </w:rPr>
      </w:pPr>
    </w:p>
    <w:p>
      <w:pPr>
        <w:jc w:val="both"/>
        <w:ind w:left="100" w:right="120" w:firstLine="638"/>
        <w:spacing w:after="0" w:line="238" w:lineRule="auto"/>
        <w:tabs>
          <w:tab w:leader="none" w:pos="1189"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Company will reimburse you for your necessary and reasonable business expenses incurred in connection with your duties hereunder upon presentation of an itemized account and appropriate supporting documentation, all in accordance with the Company’s generally applicable policies.</w:t>
      </w:r>
    </w:p>
    <w:p>
      <w:pPr>
        <w:spacing w:after="0" w:line="145" w:lineRule="exact"/>
        <w:rPr>
          <w:rFonts w:ascii="Times New Roman" w:cs="Times New Roman" w:eastAsia="Times New Roman" w:hAnsi="Times New Roman"/>
          <w:sz w:val="19"/>
          <w:szCs w:val="19"/>
          <w:color w:val="auto"/>
        </w:rPr>
      </w:pPr>
    </w:p>
    <w:p>
      <w:pPr>
        <w:ind w:left="100" w:right="200" w:firstLine="638"/>
        <w:spacing w:after="0" w:line="207" w:lineRule="auto"/>
        <w:tabs>
          <w:tab w:leader="none" w:pos="118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For the avoidance of doubt and notwithstanding anything stated in this offer letter to the contrary, to the extent that any reimbursements payable or in-kind benefits provided by the Company to you under this offer letter or otherwise constitute deferred compensation under Internal Revenue Code Section 409A, the regulations and other guidance there under and any state law of similar effect, any such payments, reimbursements and/or benefits (i) will be paid no later than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of the year following the year in which the expense was incurred (or, if earlier, the time required by the</w:t>
      </w:r>
    </w:p>
    <w:p>
      <w:pPr>
        <w:ind w:left="100"/>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Company’s generally applicable policies), (ii) will not affect the amount eligible for reimbursement, or in- kind benefits to be provided, in any other taxable year, and (iii) will not be subject to liquidation or exchange for another benefit.</w:t>
      </w:r>
    </w:p>
    <w:p>
      <w:pPr>
        <w:spacing w:after="0" w:line="155" w:lineRule="exact"/>
        <w:rPr>
          <w:rFonts w:ascii="Times New Roman" w:cs="Times New Roman" w:eastAsia="Times New Roman" w:hAnsi="Times New Roman"/>
          <w:sz w:val="19"/>
          <w:szCs w:val="19"/>
          <w:color w:val="auto"/>
        </w:rPr>
      </w:pPr>
    </w:p>
    <w:p>
      <w:pPr>
        <w:jc w:val="both"/>
        <w:ind w:left="100" w:right="100" w:firstLine="3"/>
        <w:spacing w:after="0" w:line="228" w:lineRule="auto"/>
        <w:tabs>
          <w:tab w:leader="none" w:pos="55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Background and Reference Check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Like all Company employees, your employment offer and continued employment are contingent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clearance of a background check to the Company’s satisfaction. As a condition of your employment with the Company, you are required to sign the Company’s background check consent form. You agree to assist as needed and to complete any documentation at the Company’s request to meet these conditions. In addition, the Company reserves the right to a reference check on all its potential employees. Your job offer, therefore, may be contingent upon clearance of such a background and/or reference check, if any.</w:t>
      </w:r>
    </w:p>
    <w:p>
      <w:pPr>
        <w:spacing w:after="0" w:line="141" w:lineRule="exact"/>
        <w:rPr>
          <w:rFonts w:ascii="Times New Roman" w:cs="Times New Roman" w:eastAsia="Times New Roman" w:hAnsi="Times New Roman"/>
          <w:sz w:val="19"/>
          <w:szCs w:val="19"/>
          <w:color w:val="auto"/>
        </w:rPr>
      </w:pPr>
    </w:p>
    <w:p>
      <w:pPr>
        <w:ind w:left="100" w:right="120" w:firstLine="3"/>
        <w:spacing w:after="0" w:line="260" w:lineRule="auto"/>
        <w:tabs>
          <w:tab w:leader="none" w:pos="55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Work Authorization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required by law, your employment with the Company is contingent upon your providing legal proof of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identity and authorization to work in the United States. You agree to promptly complete the requisite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1"/>
          <w:szCs w:val="21"/>
          <w:color w:val="auto"/>
        </w:rPr>
        <w:t>3</w:t>
      </w:r>
    </w:p>
    <w:p>
      <w:pPr>
        <w:sectPr>
          <w:pgSz w:w="11900" w:h="16838" w:orient="portrait"/>
          <w:cols w:equalWidth="0" w:num="1">
            <w:col w:w="11160"/>
          </w:cols>
          <w:pgMar w:left="400" w:top="144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00" w:firstLine="3"/>
        <w:spacing w:after="0" w:line="268" w:lineRule="auto"/>
        <w:tabs>
          <w:tab w:leader="none" w:pos="55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Confidential Information and Invention Assignment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Like all Company employees, you will be required,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 of your employment with the Company, to sign the Company’s enclosed standard Confidential Information and Invention Assignment Agreement (CIIAA).</w:t>
      </w:r>
    </w:p>
    <w:p>
      <w:pPr>
        <w:spacing w:after="0" w:line="142" w:lineRule="exact"/>
        <w:rPr>
          <w:rFonts w:ascii="Times New Roman" w:cs="Times New Roman" w:eastAsia="Times New Roman" w:hAnsi="Times New Roman"/>
          <w:sz w:val="19"/>
          <w:szCs w:val="19"/>
          <w:color w:val="auto"/>
        </w:rPr>
      </w:pPr>
    </w:p>
    <w:p>
      <w:pPr>
        <w:jc w:val="both"/>
        <w:ind w:left="100" w:firstLine="3"/>
        <w:spacing w:after="0" w:line="224" w:lineRule="auto"/>
        <w:tabs>
          <w:tab w:leader="none" w:pos="55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At-Will Employment Relationship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Employment with the Company is for no specific period of time. Your employment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subject matter. Although your job duties, title, compensation and benefits, as well as the Company’s personnel policies and procedures, may change from time to time, the “at will” nature of your employment may only be changed in an express written agreement signed by you and the Company.</w:t>
      </w:r>
    </w:p>
    <w:p>
      <w:pPr>
        <w:spacing w:after="0" w:line="154" w:lineRule="exact"/>
        <w:rPr>
          <w:rFonts w:ascii="Times New Roman" w:cs="Times New Roman" w:eastAsia="Times New Roman" w:hAnsi="Times New Roman"/>
          <w:sz w:val="19"/>
          <w:szCs w:val="19"/>
          <w:color w:val="auto"/>
        </w:rPr>
      </w:pPr>
    </w:p>
    <w:p>
      <w:pPr>
        <w:jc w:val="both"/>
        <w:ind w:left="100" w:firstLine="3"/>
        <w:spacing w:after="0" w:line="230" w:lineRule="auto"/>
        <w:tabs>
          <w:tab w:leader="none" w:pos="55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Outside Activities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While you render services to the Company, you agree that you will not engage in any other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consulting, or other business activity without the prior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3" w:lineRule="exact"/>
        <w:rPr>
          <w:rFonts w:ascii="Times New Roman" w:cs="Times New Roman" w:eastAsia="Times New Roman" w:hAnsi="Times New Roman"/>
          <w:sz w:val="19"/>
          <w:szCs w:val="19"/>
          <w:color w:val="auto"/>
        </w:rPr>
      </w:pPr>
    </w:p>
    <w:p>
      <w:pPr>
        <w:ind w:left="100" w:firstLine="3"/>
        <w:spacing w:after="0" w:line="260" w:lineRule="auto"/>
        <w:tabs>
          <w:tab w:leader="none" w:pos="55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Duty to Follow Company Policies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agree to follow and be bound by the Company’s Code of Business Conduct and Ethics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applicable Company employment policies, practices and procedures that may be in effect during your employment.</w:t>
      </w:r>
    </w:p>
    <w:p>
      <w:pPr>
        <w:spacing w:after="0" w:line="136" w:lineRule="exact"/>
        <w:rPr>
          <w:rFonts w:ascii="Times New Roman" w:cs="Times New Roman" w:eastAsia="Times New Roman" w:hAnsi="Times New Roman"/>
          <w:sz w:val="19"/>
          <w:szCs w:val="19"/>
          <w:color w:val="auto"/>
        </w:rPr>
      </w:pPr>
    </w:p>
    <w:p>
      <w:pPr>
        <w:ind w:left="100" w:firstLine="3"/>
        <w:spacing w:after="0" w:line="246" w:lineRule="auto"/>
        <w:tabs>
          <w:tab w:leader="none" w:pos="547"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Taxes, Withholding, and Required Deductions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forms of compensation referred to in this letter are subject to all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taxes, withholding, and any other deductions required by applicable law.</w:t>
      </w:r>
    </w:p>
    <w:p>
      <w:pPr>
        <w:spacing w:after="0" w:line="148" w:lineRule="exact"/>
        <w:rPr>
          <w:rFonts w:ascii="Times New Roman" w:cs="Times New Roman" w:eastAsia="Times New Roman" w:hAnsi="Times New Roman"/>
          <w:sz w:val="19"/>
          <w:szCs w:val="19"/>
          <w:color w:val="auto"/>
        </w:rPr>
      </w:pPr>
    </w:p>
    <w:p>
      <w:pPr>
        <w:ind w:left="100" w:firstLine="3"/>
        <w:spacing w:after="0" w:line="260" w:lineRule="auto"/>
        <w:tabs>
          <w:tab w:leader="none" w:pos="55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Mutual Arbitration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condition of your employment with the Company, you will be required to sign the Company’s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enclosed Mutual Arbitration Agreement.</w:t>
      </w:r>
    </w:p>
    <w:p>
      <w:pPr>
        <w:spacing w:after="0" w:line="122" w:lineRule="exact"/>
        <w:rPr>
          <w:rFonts w:ascii="Times New Roman" w:cs="Times New Roman" w:eastAsia="Times New Roman" w:hAnsi="Times New Roman"/>
          <w:sz w:val="19"/>
          <w:szCs w:val="19"/>
          <w:color w:val="auto"/>
        </w:rPr>
      </w:pPr>
    </w:p>
    <w:p>
      <w:pPr>
        <w:ind w:left="720" w:hanging="617"/>
        <w:spacing w:after="0"/>
        <w:tabs>
          <w:tab w:leader="none" w:pos="72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p>
    <w:p>
      <w:pPr>
        <w:spacing w:after="0" w:line="196" w:lineRule="exact"/>
        <w:rPr>
          <w:rFonts w:ascii="Times New Roman" w:cs="Times New Roman" w:eastAsia="Times New Roman" w:hAnsi="Times New Roman"/>
          <w:sz w:val="19"/>
          <w:szCs w:val="19"/>
          <w:color w:val="auto"/>
        </w:rPr>
      </w:pPr>
    </w:p>
    <w:p>
      <w:pPr>
        <w:jc w:val="both"/>
        <w:ind w:left="100" w:firstLine="638"/>
        <w:spacing w:after="0" w:line="233" w:lineRule="auto"/>
        <w:tabs>
          <w:tab w:leader="none" w:pos="118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validity, interpretation, construction and performance of this letter, and all acts and transactions pursuant hereto and the rights and obligations of the parties hereto shall be governed, construed and interpreted in accordance with the laws of state in which you primarily perform work, without giving effect to principles of conflicts of law.</w:t>
      </w:r>
    </w:p>
    <w:p>
      <w:pPr>
        <w:spacing w:after="0" w:line="171" w:lineRule="exact"/>
        <w:rPr>
          <w:rFonts w:ascii="Times New Roman" w:cs="Times New Roman" w:eastAsia="Times New Roman" w:hAnsi="Times New Roman"/>
          <w:sz w:val="19"/>
          <w:szCs w:val="19"/>
          <w:color w:val="auto"/>
        </w:rPr>
      </w:pPr>
    </w:p>
    <w:p>
      <w:pPr>
        <w:jc w:val="both"/>
        <w:ind w:left="100" w:firstLine="638"/>
        <w:spacing w:after="0" w:line="233" w:lineRule="auto"/>
        <w:tabs>
          <w:tab w:leader="none" w:pos="1186"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pacing w:after="0" w:line="171" w:lineRule="exact"/>
        <w:rPr>
          <w:rFonts w:ascii="Times New Roman" w:cs="Times New Roman" w:eastAsia="Times New Roman" w:hAnsi="Times New Roman"/>
          <w:sz w:val="19"/>
          <w:szCs w:val="19"/>
          <w:color w:val="auto"/>
        </w:rPr>
      </w:pPr>
    </w:p>
    <w:p>
      <w:pPr>
        <w:jc w:val="both"/>
        <w:ind w:left="100" w:firstLine="638"/>
        <w:spacing w:after="0" w:line="224" w:lineRule="auto"/>
        <w:tabs>
          <w:tab w:leader="none" w:pos="1189"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offer letter may be executed in any number of counterparts, each of which when so executed and delivered shall be deemed an original, and all of which together shall constitute one and the same agreement of the terms of the offer letter. Execution of a facsimile, electronic signature, scanned image will have the same force and effect as execution of an original, and a facsimile, electronic signature, or scanned image signature is deemed an original and valid signature and the contents of this offer letter may not be challenged on that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21"/>
          <w:szCs w:val="21"/>
          <w:color w:val="auto"/>
        </w:rPr>
        <w:t>4</w:t>
      </w:r>
    </w:p>
    <w:p>
      <w:pPr>
        <w:sectPr>
          <w:pgSz w:w="11900" w:h="16838" w:orient="portrait"/>
          <w:cols w:equalWidth="0" w:num="1">
            <w:col w:w="11060"/>
          </w:cols>
          <w:pgMar w:left="400" w:top="1440" w:right="4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00" w:firstLine="638"/>
        <w:spacing w:after="0" w:line="224" w:lineRule="auto"/>
        <w:tabs>
          <w:tab w:leader="none" w:pos="118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w:t>
      </w:r>
      <w:r>
        <w:rPr>
          <w:rFonts w:ascii="Times New Roman" w:cs="Times New Roman" w:eastAsia="Times New Roman" w:hAnsi="Times New Roman"/>
          <w:sz w:val="19"/>
          <w:szCs w:val="19"/>
          <w:color w:val="auto"/>
        </w:rPr>
        <w:t>. The Company may, in its sole discretion, decide to deliver any documents or notices related to this letter, the Plan, the RSUs or any other matter by email or any other electronic means. You hereby consent to (i) conduct business electronically, (ii) receive such documents and notices by such electronic delivery, and (iii) sign documents electronically and agree to participate in any Company activity, the Plan or any benefit program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21"/>
          <w:szCs w:val="21"/>
          <w:color w:val="auto"/>
        </w:rPr>
        <w:t>5</w:t>
      </w:r>
    </w:p>
    <w:p>
      <w:pPr>
        <w:sectPr>
          <w:pgSz w:w="11900" w:h="16838" w:orient="portrait"/>
          <w:cols w:equalWidth="0" w:num="1">
            <w:col w:w="11060"/>
          </w:cols>
          <w:pgMar w:left="400" w:top="1440" w:right="4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line="223" w:lineRule="auto"/>
        <w:rPr>
          <w:sz w:val="20"/>
          <w:szCs w:val="20"/>
          <w:color w:val="auto"/>
        </w:rPr>
      </w:pPr>
      <w:r>
        <w:rPr>
          <w:rFonts w:ascii="Times New Roman" w:cs="Times New Roman" w:eastAsia="Times New Roman" w:hAnsi="Times New Roman"/>
          <w:sz w:val="19"/>
          <w:szCs w:val="19"/>
          <w:color w:val="auto"/>
        </w:rPr>
        <w:t xml:space="preserve">If you wish to accept this offer, please sign, date and return this letter to the Company, along with the CIIAA and Mutual Arbitration Agreement on or before </w:t>
      </w:r>
      <w:r>
        <w:rPr>
          <w:rFonts w:ascii="Times New Roman" w:cs="Times New Roman" w:eastAsia="Times New Roman" w:hAnsi="Times New Roman"/>
          <w:sz w:val="19"/>
          <w:szCs w:val="19"/>
          <w:b w:val="1"/>
          <w:bCs w:val="1"/>
          <w:color w:val="auto"/>
        </w:rPr>
        <w:t>January 9, 2023</w:t>
      </w:r>
      <w:r>
        <w:rPr>
          <w:rFonts w:ascii="Times New Roman" w:cs="Times New Roman" w:eastAsia="Times New Roman" w:hAnsi="Times New Roman"/>
          <w:sz w:val="19"/>
          <w:szCs w:val="19"/>
          <w:color w:val="auto"/>
        </w:rPr>
        <w:t>. As required, by law, your employment with the Company is also contingent upon your providing</w:t>
      </w:r>
    </w:p>
    <w:p>
      <w:pPr>
        <w:jc w:val="center"/>
        <w:ind w:right="260"/>
        <w:spacing w:after="0" w:line="451" w:lineRule="auto"/>
        <w:rPr>
          <w:sz w:val="20"/>
          <w:szCs w:val="20"/>
          <w:color w:val="auto"/>
        </w:rPr>
      </w:pPr>
      <w:r>
        <w:rPr>
          <w:rFonts w:ascii="Times New Roman" w:cs="Times New Roman" w:eastAsia="Times New Roman" w:hAnsi="Times New Roman"/>
          <w:sz w:val="19"/>
          <w:szCs w:val="19"/>
          <w:color w:val="auto"/>
        </w:rPr>
        <w:t xml:space="preserve">legal proof of your identity and authorization to work in the United States. We look forward to having you join us on </w:t>
      </w:r>
      <w:r>
        <w:rPr>
          <w:rFonts w:ascii="Times New Roman" w:cs="Times New Roman" w:eastAsia="Times New Roman" w:hAnsi="Times New Roman"/>
          <w:sz w:val="19"/>
          <w:szCs w:val="19"/>
          <w:b w:val="1"/>
          <w:bCs w:val="1"/>
          <w:color w:val="auto"/>
        </w:rPr>
        <w:t>February 6, 2023</w:t>
      </w:r>
      <w:r>
        <w:rPr>
          <w:rFonts w:ascii="Times New Roman" w:cs="Times New Roman" w:eastAsia="Times New Roman" w:hAnsi="Times New Roman"/>
          <w:sz w:val="19"/>
          <w:szCs w:val="19"/>
          <w:color w:val="auto"/>
        </w:rPr>
        <w:t>! Very truly yours,</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BEYOND MEAT, INC.</w:t>
      </w:r>
    </w:p>
    <w:p>
      <w:pPr>
        <w:spacing w:after="0" w:line="183" w:lineRule="exact"/>
        <w:rPr>
          <w:sz w:val="20"/>
          <w:szCs w:val="20"/>
          <w:color w:val="auto"/>
        </w:rPr>
      </w:pPr>
    </w:p>
    <w:p>
      <w:pPr>
        <w:ind w:left="4560"/>
        <w:spacing w:after="0"/>
        <w:tabs>
          <w:tab w:leader="none" w:pos="5020" w:val="left"/>
          <w:tab w:leader="none" w:pos="6460" w:val="left"/>
        </w:tabs>
        <w:rPr>
          <w:sz w:val="20"/>
          <w:szCs w:val="20"/>
          <w:color w:val="auto"/>
        </w:rPr>
      </w:pPr>
      <w:r>
        <w:rPr>
          <w:rFonts w:ascii="Times New Roman" w:cs="Times New Roman" w:eastAsia="Times New Roman" w:hAnsi="Times New Roman"/>
          <w:sz w:val="19"/>
          <w:szCs w:val="19"/>
          <w:color w:val="auto"/>
        </w:rPr>
        <w:t>By:</w:t>
        <w:tab/>
        <w:t>/s/ Jackie Trask</w:t>
        <w:tab/>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-5715</wp:posOffset>
            </wp:positionV>
            <wp:extent cx="1009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7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Name: Jackie Trask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-5715</wp:posOffset>
            </wp:positionV>
            <wp:extent cx="769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72" w:lineRule="exact"/>
        <w:rPr>
          <w:sz w:val="20"/>
          <w:szCs w:val="20"/>
          <w:color w:val="auto"/>
        </w:rPr>
      </w:pPr>
    </w:p>
    <w:p>
      <w:pPr>
        <w:ind w:left="456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tab/>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-5715</wp:posOffset>
            </wp:positionV>
            <wp:extent cx="12712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ACCEPTED AND AGREED:</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Akerho "AK" Oghoghomeh</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Akerho "AK" Oghoghomeh</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January 5th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21"/>
          <w:szCs w:val="21"/>
          <w:color w:val="auto"/>
        </w:rPr>
        <w:t>6</w:t>
      </w:r>
    </w:p>
    <w:p>
      <w:pPr>
        <w:sectPr>
          <w:pgSz w:w="11900" w:h="16838" w:orient="portrait"/>
          <w:cols w:equalWidth="0" w:num="1">
            <w:col w:w="11060"/>
          </w:cols>
          <w:pgMar w:left="400" w:top="1440" w:right="4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BEYOND MEAT, INC.</w:t>
      </w:r>
    </w:p>
    <w:p>
      <w:pPr>
        <w:spacing w:after="0" w:line="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EXECUTIVE CHANGE IN CONTROL SEVERANCE AGREEMENT</w:t>
      </w:r>
    </w:p>
    <w:p>
      <w:pPr>
        <w:spacing w:after="0" w:line="73" w:lineRule="exact"/>
        <w:rPr>
          <w:sz w:val="20"/>
          <w:szCs w:val="20"/>
          <w:color w:val="auto"/>
        </w:rPr>
      </w:pPr>
    </w:p>
    <w:p>
      <w:pPr>
        <w:ind w:left="100" w:right="540"/>
        <w:spacing w:after="0" w:line="232" w:lineRule="auto"/>
        <w:rPr>
          <w:sz w:val="20"/>
          <w:szCs w:val="20"/>
          <w:color w:val="auto"/>
        </w:rPr>
      </w:pPr>
      <w:r>
        <w:rPr>
          <w:rFonts w:ascii="Times New Roman" w:cs="Times New Roman" w:eastAsia="Times New Roman" w:hAnsi="Times New Roman"/>
          <w:sz w:val="19"/>
          <w:szCs w:val="19"/>
          <w:color w:val="auto"/>
        </w:rPr>
        <w:t>This Executive Change in Control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xml:space="preserve">”) is made and entered into by and between </w:t>
      </w:r>
      <w:r>
        <w:rPr>
          <w:rFonts w:ascii="Times New Roman" w:cs="Times New Roman" w:eastAsia="Times New Roman" w:hAnsi="Times New Roman"/>
          <w:sz w:val="19"/>
          <w:szCs w:val="19"/>
          <w:b w:val="1"/>
          <w:bCs w:val="1"/>
          <w:color w:val="auto"/>
        </w:rPr>
        <w:t>Akerho "AK"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Oghoghomeh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Beyond Meat,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w:t>
      </w:r>
      <w:r>
        <w:rPr>
          <w:rFonts w:ascii="Times New Roman" w:cs="Times New Roman" w:eastAsia="Times New Roman" w:hAnsi="Times New Roman"/>
          <w:sz w:val="19"/>
          <w:szCs w:val="19"/>
          <w:b w:val="1"/>
          <w:bCs w:val="1"/>
          <w:color w:val="auto"/>
        </w:rPr>
        <w:t xml:space="preserve"> January 30, 2023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53" w:lineRule="exact"/>
        <w:rPr>
          <w:sz w:val="20"/>
          <w:szCs w:val="20"/>
          <w:color w:val="auto"/>
        </w:rPr>
      </w:pPr>
    </w:p>
    <w:p>
      <w:pPr>
        <w:ind w:left="100" w:firstLine="638"/>
        <w:spacing w:after="0" w:line="260" w:lineRule="auto"/>
        <w:tabs>
          <w:tab w:leader="none" w:pos="118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desires to provide for the payment of certain benefits in connection with certain terminations of Executive’s employment with the Company that occur in connection with a Change in Control.</w:t>
      </w:r>
    </w:p>
    <w:p>
      <w:pPr>
        <w:spacing w:after="0" w:line="140" w:lineRule="exact"/>
        <w:rPr>
          <w:rFonts w:ascii="Times New Roman" w:cs="Times New Roman" w:eastAsia="Times New Roman" w:hAnsi="Times New Roman"/>
          <w:sz w:val="19"/>
          <w:szCs w:val="19"/>
          <w:color w:val="auto"/>
        </w:rPr>
      </w:pPr>
    </w:p>
    <w:p>
      <w:pPr>
        <w:ind w:left="1380" w:hanging="641"/>
        <w:spacing w:after="0"/>
        <w:tabs>
          <w:tab w:leader="none" w:pos="13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capitalized terms used in this Agreement are defined in Section 6 below.</w:t>
      </w:r>
    </w:p>
    <w:p>
      <w:pPr>
        <w:spacing w:after="0" w:line="1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NOW, THEREFORE, in consideration of the mutual covenants contained herein, the parties hereto agree as follows:</w:t>
      </w:r>
    </w:p>
    <w:p>
      <w:pPr>
        <w:spacing w:after="0" w:line="206" w:lineRule="exact"/>
        <w:rPr>
          <w:sz w:val="20"/>
          <w:szCs w:val="20"/>
          <w:color w:val="auto"/>
        </w:rPr>
      </w:pPr>
    </w:p>
    <w:p>
      <w:pPr>
        <w:ind w:left="100" w:right="640" w:firstLine="638"/>
        <w:spacing w:after="0" w:line="300" w:lineRule="auto"/>
        <w:tabs>
          <w:tab w:leader="none" w:pos="118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p>
    <w:p>
      <w:pPr>
        <w:spacing w:after="0" w:line="103" w:lineRule="exact"/>
        <w:rPr>
          <w:rFonts w:ascii="Times New Roman" w:cs="Times New Roman" w:eastAsia="Times New Roman" w:hAnsi="Times New Roman"/>
          <w:sz w:val="19"/>
          <w:szCs w:val="19"/>
          <w:color w:val="auto"/>
        </w:rPr>
      </w:pPr>
    </w:p>
    <w:p>
      <w:pPr>
        <w:ind w:left="100" w:right="340" w:firstLine="638"/>
        <w:spacing w:after="0" w:line="220" w:lineRule="auto"/>
        <w:tabs>
          <w:tab w:leader="none" w:pos="118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Upon Termination</w:t>
      </w:r>
      <w:r>
        <w:rPr>
          <w:rFonts w:ascii="Times New Roman" w:cs="Times New Roman" w:eastAsia="Times New Roman" w:hAnsi="Times New Roman"/>
          <w:sz w:val="19"/>
          <w:szCs w:val="19"/>
          <w:color w:val="auto"/>
        </w:rPr>
        <w:t>. Except as expressly provided in Section 3, upon the termination of Executive’s employment, Executive shall only be entitled to: (i) all earned but unpaid salary, all accrued but unpaid vacation and all other earned but unpaid compensation or wages, (ii) any unreimbursed business expenses incurred by Executive on or before the termination date and which are reimbursable under the Company’s business expense reimbursement policies, which will be paid to</w:t>
      </w:r>
    </w:p>
    <w:p>
      <w:pPr>
        <w:spacing w:after="0" w:line="2" w:lineRule="exact"/>
        <w:rPr>
          <w:rFonts w:ascii="Times New Roman" w:cs="Times New Roman" w:eastAsia="Times New Roman" w:hAnsi="Times New Roman"/>
          <w:sz w:val="19"/>
          <w:szCs w:val="19"/>
          <w:color w:val="auto"/>
        </w:rPr>
      </w:pPr>
    </w:p>
    <w:p>
      <w:pPr>
        <w:ind w:left="100" w:right="160"/>
        <w:spacing w:after="0" w:line="22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promptly following Executive’s submission of any required receipts and other documentation to the Company in accordance with the Company’s business expense reimbursement policies, provided such receipts and documents are received by the Company within forty-five (45) days after the date of Executive’s termination, and (iii) such other compensation or benefits due to Executive under any Company-provided plans, policies, and arrangements or as otherwise required by law (collectively, the “</w:t>
      </w:r>
      <w:r>
        <w:rPr>
          <w:rFonts w:ascii="Times New Roman" w:cs="Times New Roman" w:eastAsia="Times New Roman" w:hAnsi="Times New Roman"/>
          <w:sz w:val="19"/>
          <w:szCs w:val="19"/>
          <w:b w:val="1"/>
          <w:bCs w:val="1"/>
          <w:i w:val="1"/>
          <w:iCs w:val="1"/>
          <w:color w:val="auto"/>
        </w:rPr>
        <w:t>Accrued Benefits</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left="1380" w:hanging="641"/>
        <w:spacing w:after="0"/>
        <w:tabs>
          <w:tab w:leader="none" w:pos="13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100" w:right="120" w:firstLine="1274"/>
        <w:spacing w:after="0" w:line="229" w:lineRule="auto"/>
        <w:tabs>
          <w:tab w:leader="none" w:pos="1825"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for Good Reason during Change in Control Period</w:t>
      </w:r>
      <w:r>
        <w:rPr>
          <w:rFonts w:ascii="Times New Roman" w:cs="Times New Roman" w:eastAsia="Times New Roman" w:hAnsi="Times New Roman"/>
          <w:sz w:val="19"/>
          <w:szCs w:val="19"/>
          <w:color w:val="auto"/>
        </w:rPr>
        <w:t>. If, during the Change in Control Period, (i) the Company (or any parent, subsidiary or successor of the Company) terminates Executive’s employment without Cause or (ii) Executive terminates his employment with the Company (or any parent, subsidiary or successor of the Company) for Good Reason, then, subject to Section 4 below, Executive will receive the following severance benefits from the Company:</w:t>
      </w:r>
    </w:p>
    <w:p>
      <w:pPr>
        <w:spacing w:after="0" w:line="159" w:lineRule="exact"/>
        <w:rPr>
          <w:rFonts w:ascii="Times New Roman" w:cs="Times New Roman" w:eastAsia="Times New Roman" w:hAnsi="Times New Roman"/>
          <w:sz w:val="19"/>
          <w:szCs w:val="19"/>
          <w:color w:val="auto"/>
        </w:rPr>
      </w:pPr>
    </w:p>
    <w:p>
      <w:pPr>
        <w:ind w:left="100" w:right="100" w:firstLine="1911"/>
        <w:spacing w:after="0" w:line="224" w:lineRule="auto"/>
        <w:tabs>
          <w:tab w:leader="none" w:pos="2456"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 Severance Payment</w:t>
      </w:r>
      <w:r>
        <w:rPr>
          <w:rFonts w:ascii="Times New Roman" w:cs="Times New Roman" w:eastAsia="Times New Roman" w:hAnsi="Times New Roman"/>
          <w:sz w:val="19"/>
          <w:szCs w:val="19"/>
          <w:color w:val="auto"/>
        </w:rPr>
        <w:t>. Executive will receive a base salary severance payment in an amount equal to twelve (12) months of Executive’s then current base salary as in effect immediately prior to the date of such termination (provided, if Executive resigns as a result of Section 6(g)(ii), the base salary used to calculate the base salary severance payment due shall be the base salary as in effect immediately prior to the reduction triggering Section 6(g)(ii)). The base salary severance payment shall be paid to Executive in a single lump-sum within thirty (30) days following the Release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21"/>
          <w:szCs w:val="21"/>
          <w:color w:val="auto"/>
        </w:rPr>
        <w:t>7</w:t>
      </w:r>
    </w:p>
    <w:p>
      <w:pPr>
        <w:sectPr>
          <w:pgSz w:w="11900" w:h="16838" w:orient="portrait"/>
          <w:cols w:equalWidth="0" w:num="1">
            <w:col w:w="11000"/>
          </w:cols>
          <w:pgMar w:left="400" w:top="1440" w:right="49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right="440" w:firstLine="1911"/>
        <w:spacing w:after="0" w:line="221" w:lineRule="auto"/>
        <w:tabs>
          <w:tab w:leader="none" w:pos="2457"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 Severance Payment</w:t>
      </w:r>
      <w:r>
        <w:rPr>
          <w:rFonts w:ascii="Times New Roman" w:cs="Times New Roman" w:eastAsia="Times New Roman" w:hAnsi="Times New Roman"/>
          <w:sz w:val="19"/>
          <w:szCs w:val="19"/>
          <w:color w:val="auto"/>
        </w:rPr>
        <w:t>. Executive will receive a benefits severance payment in an amount equal to twelve (12) months’ of the monthly premiums that would be due for continuation coverage under the Consolidated Omnibus Budget Reconciliation Act of 1985, as amended</w:t>
      </w:r>
    </w:p>
    <w:p>
      <w:pPr>
        <w:spacing w:after="0" w:line="1" w:lineRule="exact"/>
        <w:rPr>
          <w:rFonts w:ascii="Times New Roman" w:cs="Times New Roman" w:eastAsia="Times New Roman" w:hAnsi="Times New Roman"/>
          <w:sz w:val="19"/>
          <w:szCs w:val="19"/>
          <w:color w:val="auto"/>
        </w:rPr>
      </w:pPr>
    </w:p>
    <w:p>
      <w:pPr>
        <w:ind w:left="100"/>
        <w:spacing w:after="0" w:line="2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if Executive were to elect COBRA continuation coverage for Executive and Executive’s eligible dependents (based on the coverage levels in effect immediately prior to Executive’s termination or resignation and based on the premium amount that would be due for the first month of COBRA coverage if Executive were to elect COBRA continuation coverage). The benefits severance payment shall be paid to Executive in a single lump-sum within thirty (30) days following the Release Deadline and will be made, subject to all applicable taxes and withholding for required deductions, and regardless of whether Executive elects COBRA continuation coverage.</w:t>
      </w:r>
    </w:p>
    <w:p>
      <w:pPr>
        <w:spacing w:after="0" w:line="160" w:lineRule="exact"/>
        <w:rPr>
          <w:rFonts w:ascii="Times New Roman" w:cs="Times New Roman" w:eastAsia="Times New Roman" w:hAnsi="Times New Roman"/>
          <w:sz w:val="19"/>
          <w:szCs w:val="19"/>
          <w:color w:val="auto"/>
        </w:rPr>
      </w:pPr>
    </w:p>
    <w:p>
      <w:pPr>
        <w:ind w:left="100" w:right="100" w:firstLine="1911"/>
        <w:spacing w:after="0" w:line="222" w:lineRule="auto"/>
        <w:tabs>
          <w:tab w:leader="none" w:pos="2458"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Executive shall vest in 100% of any then outstanding and unvested Equity Awards that are subject to time-based vesting. The Equity Awards will otherwise remain subject to the terms and conditions of the applicable Equity Award agreement. Notwithstanding anything stated herein or elsewhere to the contrary, if the successor to the Company or any affiliate of such successor does not agree to assume, substitute or otherwise continue any then outstanding Equity Awards at the time of a Change in Control, then 100% of the then-unvested shares subject to the Equity Awards shall fully vest and, if applicable, become exercisable, as of immediately prior to, and contingent upon, the consummation of such Change in Control, regardless of whether Executive’s employment with the Company (or any parent, subsidiary or successor of the Company) continues or terminates unless such termination is due to Executive’s resignation without Good Reason or by the Company for Cause.</w:t>
      </w:r>
    </w:p>
    <w:p>
      <w:pPr>
        <w:spacing w:after="0" w:line="145" w:lineRule="exact"/>
        <w:rPr>
          <w:rFonts w:ascii="Times New Roman" w:cs="Times New Roman" w:eastAsia="Times New Roman" w:hAnsi="Times New Roman"/>
          <w:sz w:val="19"/>
          <w:szCs w:val="19"/>
          <w:color w:val="auto"/>
        </w:rPr>
      </w:pPr>
    </w:p>
    <w:p>
      <w:pPr>
        <w:ind w:left="100" w:right="340" w:firstLine="1274"/>
        <w:spacing w:after="0" w:line="229" w:lineRule="auto"/>
        <w:tabs>
          <w:tab w:leader="none" w:pos="182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Termination for Cause</w:t>
      </w:r>
      <w:r>
        <w:rPr>
          <w:rFonts w:ascii="Times New Roman" w:cs="Times New Roman" w:eastAsia="Times New Roman" w:hAnsi="Times New Roman"/>
          <w:sz w:val="19"/>
          <w:szCs w:val="19"/>
          <w:color w:val="auto"/>
        </w:rPr>
        <w:t>. If Executive’s employment with the Company is terminated (i) by Executive (other than for Good Reason during the Change in Control Period), (ii) without Cause by the Company outside the Change in Control Period, or (iii) for Cause by the Company at any time, then Executive will not be entitled to receive severance or other benefits pursuant to this Agreement except for the Accrued Benefits.</w:t>
      </w:r>
    </w:p>
    <w:p>
      <w:pPr>
        <w:spacing w:after="0" w:line="159"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w:t>
      </w:r>
    </w:p>
    <w:p>
      <w:pPr>
        <w:ind w:left="100"/>
        <w:spacing w:after="0" w:line="220" w:lineRule="auto"/>
        <w:rPr>
          <w:sz w:val="20"/>
          <w:szCs w:val="20"/>
          <w:color w:val="auto"/>
        </w:rPr>
      </w:pPr>
      <w:r>
        <w:rPr>
          <w:rFonts w:ascii="Times New Roman" w:cs="Times New Roman" w:eastAsia="Times New Roman" w:hAnsi="Times New Roman"/>
          <w:sz w:val="19"/>
          <w:szCs w:val="19"/>
          <w:color w:val="auto"/>
        </w:rPr>
        <w:t>where Executive is no longer willing or able to continue performing</w:t>
      </w:r>
    </w:p>
    <w:p>
      <w:pPr>
        <w:spacing w:after="0" w:line="1" w:lineRule="exact"/>
        <w:rPr>
          <w:sz w:val="20"/>
          <w:szCs w:val="20"/>
          <w:color w:val="auto"/>
        </w:rPr>
      </w:pPr>
    </w:p>
    <w:p>
      <w:pPr>
        <w:ind w:left="100" w:right="180"/>
        <w:spacing w:after="0" w:line="261" w:lineRule="auto"/>
        <w:rPr>
          <w:sz w:val="20"/>
          <w:szCs w:val="20"/>
          <w:color w:val="auto"/>
        </w:rPr>
      </w:pPr>
      <w:r>
        <w:rPr>
          <w:rFonts w:ascii="Times New Roman" w:cs="Times New Roman" w:eastAsia="Times New Roman" w:hAnsi="Times New Roman"/>
          <w:sz w:val="19"/>
          <w:szCs w:val="19"/>
          <w:color w:val="auto"/>
        </w:rPr>
        <w:t>services for the Company, or Executive’s employment terminates due to his death, then Executive will not be entitled to receive severance or other benefits pursuant to this Agreement except for the Accrued Benefits.</w:t>
      </w:r>
    </w:p>
    <w:p>
      <w:pPr>
        <w:spacing w:after="0" w:line="152" w:lineRule="exact"/>
        <w:rPr>
          <w:sz w:val="20"/>
          <w:szCs w:val="20"/>
          <w:color w:val="auto"/>
        </w:rPr>
      </w:pPr>
    </w:p>
    <w:p>
      <w:pPr>
        <w:ind w:left="100" w:right="80" w:firstLine="1274"/>
        <w:spacing w:after="0" w:line="219" w:lineRule="auto"/>
        <w:tabs>
          <w:tab w:leader="none" w:pos="182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The parties acknowledge that Executive’s entitlement to the severance payments and benefits contained in this Section 3 are of the essence and an integral part of this Agreement, and that, without such severance provisions, the parties would not enter into this Agreement. Therefore, if the Company, or any successor to the Company, breaches the terms of this Section 3 by failing or refusing pay or provide any of the severance payments or benefits owed to Executive in the amounts and/or according to the time periods set forth herein, Executive shall be entitled to two times (2x) the amount of severance payments and benefits that Executive would otherwise be entitled to receive, payable and/or provided according to the same terms set forth herein. The parties acknowledge and agree that any additional severance payments and benefits paid pursuant to this Section 3(d) constitute liquidated damages that would be incurred by Executive and that these additional severance payments and benefits are not a penalty, rather they are a reasonable amount intended as liquidated damages that will compensate Executive in the circumstances in which they are payable for the efforts and resources expended, and opportunities foregone, while negotiating and/or enforcing this Agreement and in reliance on this Agreement and on the expectation of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1"/>
          <w:szCs w:val="21"/>
          <w:color w:val="auto"/>
        </w:rPr>
        <w:t>8</w:t>
      </w:r>
    </w:p>
    <w:p>
      <w:pPr>
        <w:sectPr>
          <w:pgSz w:w="11900" w:h="16838" w:orient="portrait"/>
          <w:cols w:equalWidth="0" w:num="1">
            <w:col w:w="11020"/>
          </w:cols>
          <w:pgMar w:left="400" w:top="1440" w:right="47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contemplated by this Agreement, which amounts would otherwise be impossible to calculate with precision.</w:t>
      </w:r>
    </w:p>
    <w:p>
      <w:pPr>
        <w:spacing w:after="0" w:line="192" w:lineRule="exact"/>
        <w:rPr>
          <w:sz w:val="20"/>
          <w:szCs w:val="20"/>
          <w:color w:val="auto"/>
        </w:rPr>
      </w:pPr>
    </w:p>
    <w:p>
      <w:pPr>
        <w:ind w:left="1380" w:hanging="641"/>
        <w:spacing w:after="0"/>
        <w:tabs>
          <w:tab w:leader="none" w:pos="138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Receipt of Severance.</w:t>
      </w:r>
    </w:p>
    <w:p>
      <w:pPr>
        <w:spacing w:after="0" w:line="179" w:lineRule="exact"/>
        <w:rPr>
          <w:rFonts w:ascii="Times New Roman" w:cs="Times New Roman" w:eastAsia="Times New Roman" w:hAnsi="Times New Roman"/>
          <w:sz w:val="19"/>
          <w:szCs w:val="19"/>
          <w:color w:val="auto"/>
        </w:rPr>
      </w:pPr>
    </w:p>
    <w:p>
      <w:pPr>
        <w:ind w:left="160" w:firstLine="1214"/>
        <w:spacing w:after="0" w:line="212" w:lineRule="auto"/>
        <w:tabs>
          <w:tab w:leader="none" w:pos="182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 Agreement</w:t>
      </w:r>
      <w:r>
        <w:rPr>
          <w:rFonts w:ascii="Times New Roman" w:cs="Times New Roman" w:eastAsia="Times New Roman" w:hAnsi="Times New Roman"/>
          <w:sz w:val="19"/>
          <w:szCs w:val="19"/>
          <w:color w:val="auto"/>
        </w:rPr>
        <w:t>. The receipt of any severance or other benefits pursuant to Section 3 will be subject to Executive signing and not revoking a general release of all claims in a form provided by the Company, and such release becoming effective and irrevocable no later than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following Executive’s termination (such deadline,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No severance or other benefits will be paid or provided pursuant to this Agreement until the release becomes effective and irrevocable. If the release does not become effective and irrevocable by the Release Deadline, Executive will forfeit all rights to severance payments and benefits under this Agreement.</w:t>
      </w:r>
    </w:p>
    <w:p>
      <w:pPr>
        <w:spacing w:after="0" w:line="159"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Agreement and Other Requirements</w:t>
      </w:r>
      <w:r>
        <w:rPr>
          <w:rFonts w:ascii="Times New Roman" w:cs="Times New Roman" w:eastAsia="Times New Roman" w:hAnsi="Times New Roman"/>
          <w:sz w:val="19"/>
          <w:szCs w:val="19"/>
          <w:color w:val="auto"/>
        </w:rPr>
        <w:t>. Executive’s receipt of any payments or benefits</w:t>
      </w:r>
    </w:p>
    <w:p>
      <w:pPr>
        <w:spacing w:after="0" w:line="2" w:lineRule="exact"/>
        <w:rPr>
          <w:sz w:val="20"/>
          <w:szCs w:val="20"/>
          <w:color w:val="auto"/>
        </w:rPr>
      </w:pPr>
    </w:p>
    <w:p>
      <w:pPr>
        <w:ind w:left="160" w:right="920"/>
        <w:spacing w:after="0" w:line="228" w:lineRule="auto"/>
        <w:rPr>
          <w:sz w:val="20"/>
          <w:szCs w:val="20"/>
          <w:color w:val="auto"/>
        </w:rPr>
      </w:pPr>
      <w:r>
        <w:rPr>
          <w:rFonts w:ascii="Times New Roman" w:cs="Times New Roman" w:eastAsia="Times New Roman" w:hAnsi="Times New Roman"/>
          <w:sz w:val="19"/>
          <w:szCs w:val="19"/>
          <w:color w:val="auto"/>
        </w:rPr>
        <w:t>under Section 3 will be subject to Executive continuing to comply with the terms of the Confidential Information and Invention Assignment Agreement, which Executive acknowledges and agrees shall remain in full force and effect.</w:t>
      </w:r>
    </w:p>
    <w:p>
      <w:pPr>
        <w:spacing w:after="0" w:line="159" w:lineRule="exact"/>
        <w:rPr>
          <w:sz w:val="20"/>
          <w:szCs w:val="20"/>
          <w:color w:val="auto"/>
        </w:rPr>
      </w:pPr>
    </w:p>
    <w:p>
      <w:pPr>
        <w:ind w:left="160" w:right="100" w:firstLine="1214"/>
        <w:spacing w:after="0" w:line="217" w:lineRule="auto"/>
        <w:tabs>
          <w:tab w:leader="none" w:pos="1821"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For purposes of Section 409A of the Code, the regulations and other guidance there under and any state law of similar effect (collectively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each payment that is paid pursuant to this Agreement is hereby designated as a separate payment. Further, (i) no severance or benefits to be paid or provided to Executive, if any, pursuant to this Agreement that, when considered together with any other severance payments or benefits, are considered deferred compensation under Section 409A, will be paid or otherwise provided until Executive has had a</w:t>
      </w:r>
    </w:p>
    <w:p>
      <w:pPr>
        <w:spacing w:after="0" w:line="1" w:lineRule="exact"/>
        <w:rPr>
          <w:rFonts w:ascii="Times New Roman" w:cs="Times New Roman" w:eastAsia="Times New Roman" w:hAnsi="Times New Roman"/>
          <w:sz w:val="19"/>
          <w:szCs w:val="19"/>
          <w:color w:val="auto"/>
        </w:rPr>
      </w:pPr>
    </w:p>
    <w:p>
      <w:pPr>
        <w:ind w:left="160" w:right="80"/>
        <w:spacing w:after="0" w:line="21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“separation from service” within the meaning of Section 409A, (ii) no severance or benefits to be paid or provided to Executive, if any, pursuant to this Agreement that are intended to be exempt from Section 409A pursuant to Treasury Regulation Section 1.409A-1(b)(9)(iii) will be paid or otherwise provided</w:t>
      </w:r>
    </w:p>
    <w:p>
      <w:pPr>
        <w:spacing w:after="0" w:line="1" w:lineRule="exact"/>
        <w:rPr>
          <w:rFonts w:ascii="Times New Roman" w:cs="Times New Roman" w:eastAsia="Times New Roman" w:hAnsi="Times New Roman"/>
          <w:sz w:val="19"/>
          <w:szCs w:val="19"/>
          <w:color w:val="auto"/>
        </w:rPr>
      </w:pPr>
    </w:p>
    <w:p>
      <w:pPr>
        <w:ind w:left="160" w:right="240"/>
        <w:spacing w:after="0" w:line="21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Executive has had an “involuntary separation from service” within the meaning of Section 409A, and (iii) in the case of (i) and (ii), any reference in this Agreement to “termination” or “termination of employment” or any similar term shall be construed to mean a “separation from service” within the meaning of Section 409A. The parties intend that all payments and benefits provided or to be provided under this Agreement comply with, or are exempt from, the requirements of Section 409A so that none</w:t>
      </w:r>
    </w:p>
    <w:p>
      <w:pPr>
        <w:spacing w:after="0" w:line="2" w:lineRule="exact"/>
        <w:rPr>
          <w:rFonts w:ascii="Times New Roman" w:cs="Times New Roman" w:eastAsia="Times New Roman" w:hAnsi="Times New Roman"/>
          <w:sz w:val="19"/>
          <w:szCs w:val="19"/>
          <w:color w:val="auto"/>
        </w:rPr>
      </w:pPr>
    </w:p>
    <w:p>
      <w:pPr>
        <w:ind w:left="160"/>
        <w:spacing w:after="0" w:line="21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payments or benefits will be subject to the adverse tax penalties imposed under Section 409A, and any ambiguities herein will be interpreted to so comply or be so exempt. The Company and Executive agree to work together in good faith to consider amendments to this Agreement, and to take such reasonable actions, which are necessary, appropriate or desirable to avoid imposition of any additional tax or income recognition under Section 409A before payments or benefits are provided to</w:t>
      </w:r>
    </w:p>
    <w:p>
      <w:pPr>
        <w:spacing w:after="0" w:line="2" w:lineRule="exact"/>
        <w:rPr>
          <w:rFonts w:ascii="Times New Roman" w:cs="Times New Roman" w:eastAsia="Times New Roman" w:hAnsi="Times New Roman"/>
          <w:sz w:val="19"/>
          <w:szCs w:val="19"/>
          <w:color w:val="auto"/>
        </w:rPr>
      </w:pPr>
    </w:p>
    <w:p>
      <w:pPr>
        <w:ind w:left="160" w:right="40"/>
        <w:spacing w:after="0" w:line="19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Any severance payments or benefits made in connection with Executive’s termination under this Agreement and provided on or before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month following the end of Executive’s first tax year in which Executive’s termination occurs or, if later,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month following the end of the Company’s first tax year in which Executive’s termination occurs, shall be exempt from Section 409A to the maximum extent permitted pursuant to Treasury Regulation Section 1.409A-1(b)(4) and any additional payments or benefits provided in connection with Executive’s termination under this Agreement shall be exempt from Section 409A to the maximum extent permitted pursuant to Treasury Regulation Section 1.409A-1(b)(9)(iii) (to the extent it is exempt pursuant to such section it will in any event be provided no later than the last day of Executive’s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xml:space="preserve"> taxable year following the taxable year in which Executive’s termination occurs). Notwithstanding the foregoing, if any of the payments or</w:t>
      </w:r>
    </w:p>
    <w:p>
      <w:pPr>
        <w:spacing w:after="0" w:line="2"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benefits provided in connection with Executive’s termination do not qualify for any reason to be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21"/>
          <w:szCs w:val="21"/>
          <w:color w:val="auto"/>
        </w:rPr>
        <w:t>9</w:t>
      </w:r>
    </w:p>
    <w:p>
      <w:pPr>
        <w:sectPr>
          <w:pgSz w:w="11900" w:h="16838" w:orient="portrait"/>
          <w:cols w:equalWidth="0" w:num="1">
            <w:col w:w="11000"/>
          </w:cols>
          <w:pgMar w:left="400" w:top="1440" w:right="49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right="40"/>
        <w:spacing w:after="0" w:line="223" w:lineRule="auto"/>
        <w:rPr>
          <w:sz w:val="20"/>
          <w:szCs w:val="20"/>
          <w:color w:val="auto"/>
        </w:rPr>
      </w:pPr>
      <w:r>
        <w:rPr>
          <w:rFonts w:ascii="Times New Roman" w:cs="Times New Roman" w:eastAsia="Times New Roman" w:hAnsi="Times New Roman"/>
          <w:sz w:val="19"/>
          <w:szCs w:val="19"/>
          <w:color w:val="auto"/>
        </w:rPr>
        <w:t>from Section 409A pursuant to Treasury Regulation Section 1.409A-1(b)(4), Treasury Regulation Section 1.409A-1(b)(9)(iii), or any other applicable exemption and Executive is, at the time of his termination, a “specified employee,” as defined in Treasury Regulation Section</w:t>
      </w:r>
    </w:p>
    <w:p>
      <w:pPr>
        <w:ind w:left="160" w:right="280"/>
        <w:spacing w:after="0" w:line="211" w:lineRule="auto"/>
        <w:rPr>
          <w:sz w:val="20"/>
          <w:szCs w:val="20"/>
          <w:color w:val="auto"/>
        </w:rPr>
      </w:pPr>
      <w:r>
        <w:rPr>
          <w:rFonts w:ascii="Times New Roman" w:cs="Times New Roman" w:eastAsia="Times New Roman" w:hAnsi="Times New Roman"/>
          <w:sz w:val="19"/>
          <w:szCs w:val="19"/>
          <w:color w:val="auto"/>
        </w:rPr>
        <w:t>1.409A-1(i), each such payment or benefit will not be provided until the first regularly scheduled payroll date that occurs on or after the date six (6) months and one (1) day following Executive’s termination and, on such date (or, if</w:t>
      </w:r>
    </w:p>
    <w:p>
      <w:pPr>
        <w:ind w:left="160" w:right="40"/>
        <w:spacing w:after="0" w:line="218" w:lineRule="auto"/>
        <w:rPr>
          <w:sz w:val="20"/>
          <w:szCs w:val="20"/>
          <w:color w:val="auto"/>
        </w:rPr>
      </w:pPr>
      <w:r>
        <w:rPr>
          <w:rFonts w:ascii="Times New Roman" w:cs="Times New Roman" w:eastAsia="Times New Roman" w:hAnsi="Times New Roman"/>
          <w:sz w:val="19"/>
          <w:szCs w:val="19"/>
          <w:color w:val="auto"/>
        </w:rPr>
        <w:t>earlier, another date that occurs as soon as practicable after Executive’s death), Executive will receive all payments and benefits that would have been provided during such period in a single lump sum, if applicable. In addition, notwithstanding any other provision herein to the</w:t>
      </w:r>
    </w:p>
    <w:p>
      <w:pPr>
        <w:spacing w:after="0" w:line="1" w:lineRule="exact"/>
        <w:rPr>
          <w:sz w:val="20"/>
          <w:szCs w:val="20"/>
          <w:color w:val="auto"/>
        </w:rPr>
      </w:pPr>
    </w:p>
    <w:p>
      <w:pPr>
        <w:ind w:left="160" w:right="440"/>
        <w:spacing w:after="0" w:line="211" w:lineRule="auto"/>
        <w:rPr>
          <w:sz w:val="20"/>
          <w:szCs w:val="20"/>
          <w:color w:val="auto"/>
        </w:rPr>
      </w:pPr>
      <w:r>
        <w:rPr>
          <w:rFonts w:ascii="Times New Roman" w:cs="Times New Roman" w:eastAsia="Times New Roman" w:hAnsi="Times New Roman"/>
          <w:sz w:val="19"/>
          <w:szCs w:val="19"/>
          <w:color w:val="auto"/>
        </w:rPr>
        <w:t>contrary, to the extent that any reimbursements or in-kind benefits under this Agreement or otherwise constitute non-exempt “nonqualified deferred compensation” within the meaning of Section 409A, then any such reimbursements and/or benefits (i) shall be</w:t>
      </w:r>
    </w:p>
    <w:p>
      <w:pPr>
        <w:ind w:left="160"/>
        <w:spacing w:after="0" w:line="218" w:lineRule="auto"/>
        <w:rPr>
          <w:sz w:val="20"/>
          <w:szCs w:val="20"/>
          <w:color w:val="auto"/>
        </w:rPr>
      </w:pPr>
      <w:r>
        <w:rPr>
          <w:rFonts w:ascii="Times New Roman" w:cs="Times New Roman" w:eastAsia="Times New Roman" w:hAnsi="Times New Roman"/>
          <w:sz w:val="19"/>
          <w:szCs w:val="19"/>
          <w:color w:val="auto"/>
        </w:rPr>
        <w:t>made or provided promptly but no later than December 31st of the calendar year following the year in which the expense was incurred by</w:t>
      </w:r>
    </w:p>
    <w:p>
      <w:pPr>
        <w:ind w:left="160" w:right="140"/>
        <w:spacing w:after="0" w:line="228" w:lineRule="auto"/>
        <w:rPr>
          <w:sz w:val="20"/>
          <w:szCs w:val="20"/>
          <w:color w:val="auto"/>
        </w:rPr>
      </w:pPr>
      <w:r>
        <w:rPr>
          <w:rFonts w:ascii="Times New Roman" w:cs="Times New Roman" w:eastAsia="Times New Roman" w:hAnsi="Times New Roman"/>
          <w:sz w:val="19"/>
          <w:szCs w:val="19"/>
          <w:color w:val="auto"/>
        </w:rPr>
        <w:t>Executive, (ii) shall not in any way affect the expenses eligible for reimbursement or in-kind benefits to be provided in any other calendar year, and (iii) shall not be subject to liquidation or exchange for another benefit.</w:t>
      </w:r>
    </w:p>
    <w:p>
      <w:pPr>
        <w:spacing w:after="0" w:line="159" w:lineRule="exact"/>
        <w:rPr>
          <w:sz w:val="20"/>
          <w:szCs w:val="20"/>
          <w:color w:val="auto"/>
        </w:rPr>
      </w:pPr>
    </w:p>
    <w:p>
      <w:pPr>
        <w:ind w:left="100" w:right="180" w:firstLine="638"/>
        <w:spacing w:after="0" w:line="229" w:lineRule="auto"/>
        <w:tabs>
          <w:tab w:leader="none" w:pos="1185"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In the event that the severance benefits provided for in this Agreement and/or other payments and benefits otherwise provided to Executive (i) constitute “parachute payments” within the meaning of Section 280G of the Code and (ii) but for this Section 5, would be subject to the excise tax imposed by Section 4999 of the Code, then, at the election of Executive, Executive’s severance benefits under Section 3, and/or the other payments and benefits otherwise provided to Executive, will be either:</w:t>
      </w:r>
    </w:p>
    <w:p>
      <w:pPr>
        <w:spacing w:after="0" w:line="159" w:lineRule="exact"/>
        <w:rPr>
          <w:rFonts w:ascii="Times New Roman" w:cs="Times New Roman" w:eastAsia="Times New Roman" w:hAnsi="Times New Roman"/>
          <w:sz w:val="19"/>
          <w:szCs w:val="19"/>
          <w:color w:val="auto"/>
        </w:rPr>
      </w:pPr>
    </w:p>
    <w:p>
      <w:pPr>
        <w:ind w:left="2000" w:hanging="625"/>
        <w:spacing w:after="0"/>
        <w:tabs>
          <w:tab w:leader="none" w:pos="2000"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in full, or</w:t>
      </w:r>
    </w:p>
    <w:p>
      <w:pPr>
        <w:spacing w:after="0" w:line="179" w:lineRule="exact"/>
        <w:rPr>
          <w:rFonts w:ascii="Times New Roman" w:cs="Times New Roman" w:eastAsia="Times New Roman" w:hAnsi="Times New Roman"/>
          <w:sz w:val="19"/>
          <w:szCs w:val="19"/>
          <w:color w:val="auto"/>
        </w:rPr>
      </w:pPr>
    </w:p>
    <w:p>
      <w:pPr>
        <w:ind w:left="100" w:right="660" w:firstLine="1274"/>
        <w:spacing w:after="0" w:line="256" w:lineRule="auto"/>
        <w:tabs>
          <w:tab w:leader="none" w:pos="1822"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as to such lesser extent which would result in no portion of such severance benefits being subject to excise tax under Section 4999 of the Code,</w:t>
      </w:r>
    </w:p>
    <w:p>
      <w:pPr>
        <w:spacing w:after="0" w:line="143" w:lineRule="exact"/>
        <w:rPr>
          <w:sz w:val="20"/>
          <w:szCs w:val="20"/>
          <w:color w:val="auto"/>
        </w:rPr>
      </w:pPr>
    </w:p>
    <w:p>
      <w:pPr>
        <w:ind w:left="100" w:right="120"/>
        <w:spacing w:after="0" w:line="223" w:lineRule="auto"/>
        <w:rPr>
          <w:sz w:val="20"/>
          <w:szCs w:val="20"/>
          <w:color w:val="auto"/>
        </w:rPr>
      </w:pPr>
      <w:r>
        <w:rPr>
          <w:rFonts w:ascii="Times New Roman" w:cs="Times New Roman" w:eastAsia="Times New Roman" w:hAnsi="Times New Roman"/>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severance benefits and other payments and</w:t>
      </w:r>
    </w:p>
    <w:p>
      <w:pPr>
        <w:ind w:left="100"/>
        <w:spacing w:after="0" w:line="218" w:lineRule="auto"/>
        <w:rPr>
          <w:sz w:val="20"/>
          <w:szCs w:val="20"/>
          <w:color w:val="auto"/>
        </w:rPr>
      </w:pPr>
      <w:r>
        <w:rPr>
          <w:rFonts w:ascii="Times New Roman" w:cs="Times New Roman" w:eastAsia="Times New Roman" w:hAnsi="Times New Roman"/>
          <w:sz w:val="19"/>
          <w:szCs w:val="19"/>
          <w:color w:val="auto"/>
        </w:rPr>
        <w:t>benefits, notwithstanding that all or some portion of such severance benefits and other payments and benefits may be taxable under Section</w:t>
      </w:r>
    </w:p>
    <w:p>
      <w:pPr>
        <w:spacing w:after="0" w:line="1" w:lineRule="exact"/>
        <w:rPr>
          <w:sz w:val="20"/>
          <w:szCs w:val="20"/>
          <w:color w:val="auto"/>
        </w:rPr>
      </w:pPr>
    </w:p>
    <w:p>
      <w:pPr>
        <w:ind w:left="100" w:right="220"/>
        <w:spacing w:after="0" w:line="211" w:lineRule="auto"/>
        <w:rPr>
          <w:sz w:val="20"/>
          <w:szCs w:val="20"/>
          <w:color w:val="auto"/>
        </w:rPr>
      </w:pPr>
      <w:r>
        <w:rPr>
          <w:rFonts w:ascii="Times New Roman" w:cs="Times New Roman" w:eastAsia="Times New Roman" w:hAnsi="Times New Roman"/>
          <w:sz w:val="19"/>
          <w:szCs w:val="19"/>
          <w:color w:val="auto"/>
        </w:rPr>
        <w:t>4999 of the Code. Unless the Company and Executive otherwise agree in writing, any determination required under this Section 5 will be made in writing by the Company’s outside legal counsel or</w:t>
      </w:r>
    </w:p>
    <w:p>
      <w:pPr>
        <w:ind w:left="100"/>
        <w:spacing w:after="0" w:line="218" w:lineRule="auto"/>
        <w:rPr>
          <w:sz w:val="20"/>
          <w:szCs w:val="20"/>
          <w:color w:val="auto"/>
        </w:rPr>
      </w:pPr>
      <w:r>
        <w:rPr>
          <w:rFonts w:ascii="Times New Roman" w:cs="Times New Roman" w:eastAsia="Times New Roman" w:hAnsi="Times New Roman"/>
          <w:sz w:val="19"/>
          <w:szCs w:val="19"/>
          <w:color w:val="auto"/>
        </w:rPr>
        <w:t>independent public accountants or other firm selected by the Company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whose determination will be conclusive and binding</w:t>
      </w:r>
    </w:p>
    <w:p>
      <w:pPr>
        <w:ind w:left="100" w:right="120"/>
        <w:spacing w:after="0" w:line="211" w:lineRule="auto"/>
        <w:rPr>
          <w:sz w:val="20"/>
          <w:szCs w:val="20"/>
          <w:color w:val="auto"/>
        </w:rPr>
      </w:pPr>
      <w:r>
        <w:rPr>
          <w:rFonts w:ascii="Times New Roman" w:cs="Times New Roman" w:eastAsia="Times New Roman" w:hAnsi="Times New Roman"/>
          <w:sz w:val="19"/>
          <w:szCs w:val="19"/>
          <w:color w:val="auto"/>
        </w:rPr>
        <w:t>upon Executive and the Company for all purposes. For purposes of making the calculations required by this Section 5, the Firm may make reasonable assumptions and approximations concerning applicable taxes and may rely on reasonable, good faith interpretations concerning</w:t>
      </w:r>
    </w:p>
    <w:p>
      <w:pPr>
        <w:ind w:left="100"/>
        <w:spacing w:after="0" w:line="218" w:lineRule="auto"/>
        <w:rPr>
          <w:sz w:val="20"/>
          <w:szCs w:val="20"/>
          <w:color w:val="auto"/>
        </w:rPr>
      </w:pPr>
      <w:r>
        <w:rPr>
          <w:rFonts w:ascii="Times New Roman" w:cs="Times New Roman" w:eastAsia="Times New Roman" w:hAnsi="Times New Roman"/>
          <w:sz w:val="19"/>
          <w:szCs w:val="19"/>
          <w:color w:val="auto"/>
        </w:rPr>
        <w:t>the application of Sections 280G and 4999 of the Code. The Company and Executive will furnish to the Firm such information and</w:t>
      </w:r>
    </w:p>
    <w:p>
      <w:pPr>
        <w:ind w:left="100"/>
        <w:spacing w:after="0" w:line="211" w:lineRule="auto"/>
        <w:rPr>
          <w:sz w:val="20"/>
          <w:szCs w:val="20"/>
          <w:color w:val="auto"/>
        </w:rPr>
      </w:pPr>
      <w:r>
        <w:rPr>
          <w:rFonts w:ascii="Times New Roman" w:cs="Times New Roman" w:eastAsia="Times New Roman" w:hAnsi="Times New Roman"/>
          <w:sz w:val="19"/>
          <w:szCs w:val="19"/>
          <w:color w:val="auto"/>
        </w:rPr>
        <w:t>documents as the Firm may reasonably request in order to make a determination under this Section. The Company will bear all costs the Firm may reasonably incur in connection with any calculations contemplated by this Section 5. Any reduction made pursuant to this Section</w:t>
      </w:r>
    </w:p>
    <w:p>
      <w:pPr>
        <w:ind w:left="100"/>
        <w:spacing w:after="0" w:line="218" w:lineRule="auto"/>
        <w:rPr>
          <w:sz w:val="20"/>
          <w:szCs w:val="20"/>
          <w:color w:val="auto"/>
        </w:rPr>
      </w:pPr>
      <w:r>
        <w:rPr>
          <w:rFonts w:ascii="Times New Roman" w:cs="Times New Roman" w:eastAsia="Times New Roman" w:hAnsi="Times New Roman"/>
          <w:sz w:val="19"/>
          <w:szCs w:val="19"/>
          <w:color w:val="auto"/>
        </w:rPr>
        <w:t>5 shall be made in accordance with the following order of priority: (i) stock options whose</w:t>
      </w:r>
    </w:p>
    <w:p>
      <w:pPr>
        <w:ind w:left="100" w:right="20"/>
        <w:spacing w:after="0" w:line="211" w:lineRule="auto"/>
        <w:rPr>
          <w:sz w:val="20"/>
          <w:szCs w:val="20"/>
          <w:color w:val="auto"/>
        </w:rPr>
      </w:pPr>
      <w:r>
        <w:rPr>
          <w:rFonts w:ascii="Times New Roman" w:cs="Times New Roman" w:eastAsia="Times New Roman" w:hAnsi="Times New Roman"/>
          <w:sz w:val="19"/>
          <w:szCs w:val="19"/>
          <w:color w:val="auto"/>
        </w:rPr>
        <w:t>exercise price exceeds the fair market value of the optioned stock (“</w:t>
      </w:r>
      <w:r>
        <w:rPr>
          <w:rFonts w:ascii="Times New Roman" w:cs="Times New Roman" w:eastAsia="Times New Roman" w:hAnsi="Times New Roman"/>
          <w:sz w:val="19"/>
          <w:szCs w:val="19"/>
          <w:b w:val="1"/>
          <w:bCs w:val="1"/>
          <w:i w:val="1"/>
          <w:iCs w:val="1"/>
          <w:color w:val="auto"/>
        </w:rPr>
        <w:t>Underwater Options</w:t>
      </w:r>
      <w:r>
        <w:rPr>
          <w:rFonts w:ascii="Times New Roman" w:cs="Times New Roman" w:eastAsia="Times New Roman" w:hAnsi="Times New Roman"/>
          <w:sz w:val="19"/>
          <w:szCs w:val="19"/>
          <w:color w:val="auto"/>
        </w:rPr>
        <w:t>”) (ii) Full Credit Payments (as defined below) that are payable in cash, (iii) non-cash Full Credit Payments that are taxable,</w:t>
      </w:r>
    </w:p>
    <w:p>
      <w:pPr>
        <w:ind w:left="100"/>
        <w:spacing w:after="0" w:line="218" w:lineRule="auto"/>
        <w:rPr>
          <w:sz w:val="20"/>
          <w:szCs w:val="20"/>
          <w:color w:val="auto"/>
        </w:rPr>
      </w:pPr>
      <w:r>
        <w:rPr>
          <w:rFonts w:ascii="Times New Roman" w:cs="Times New Roman" w:eastAsia="Times New Roman" w:hAnsi="Times New Roman"/>
          <w:sz w:val="19"/>
          <w:szCs w:val="19"/>
          <w:color w:val="auto"/>
        </w:rPr>
        <w:t>(iv) non-cash Full Credit Payments that are not taxable (v) Partial Credit Payments (as defined below) and</w:t>
      </w:r>
    </w:p>
    <w:p>
      <w:pPr>
        <w:ind w:left="100" w:right="360" w:firstLine="3"/>
        <w:spacing w:after="0" w:line="225" w:lineRule="auto"/>
        <w:tabs>
          <w:tab w:leader="none" w:pos="42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1"/>
          <w:szCs w:val="21"/>
          <w:color w:val="auto"/>
        </w:rPr>
        <w:t>10</w:t>
      </w:r>
    </w:p>
    <w:p>
      <w:pPr>
        <w:sectPr>
          <w:pgSz w:w="11900" w:h="16838" w:orient="portrait"/>
          <w:cols w:equalWidth="0" w:num="1">
            <w:col w:w="11000"/>
          </w:cols>
          <w:pgMar w:left="400" w:top="1440" w:right="49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right="320"/>
        <w:spacing w:after="0" w:line="225" w:lineRule="auto"/>
        <w:rPr>
          <w:sz w:val="20"/>
          <w:szCs w:val="20"/>
          <w:color w:val="auto"/>
        </w:rPr>
      </w:pPr>
      <w:r>
        <w:rPr>
          <w:rFonts w:ascii="Times New Roman" w:cs="Times New Roman" w:eastAsia="Times New Roman" w:hAnsi="Times New Roman"/>
          <w:sz w:val="19"/>
          <w:szCs w:val="19"/>
          <w:color w:val="auto"/>
        </w:rPr>
        <w:t>in the event payments or benefits are owed at the same time). “</w:t>
      </w:r>
      <w:r>
        <w:rPr>
          <w:rFonts w:ascii="Times New Roman" w:cs="Times New Roman" w:eastAsia="Times New Roman" w:hAnsi="Times New Roman"/>
          <w:sz w:val="19"/>
          <w:szCs w:val="19"/>
          <w:b w:val="1"/>
          <w:bCs w:val="1"/>
          <w:i w:val="1"/>
          <w:iCs w:val="1"/>
          <w:color w:val="auto"/>
        </w:rPr>
        <w:t>Full Credit Payment</w:t>
      </w:r>
      <w:r>
        <w:rPr>
          <w:rFonts w:ascii="Times New Roman" w:cs="Times New Roman" w:eastAsia="Times New Roman" w:hAnsi="Times New Roman"/>
          <w:sz w:val="19"/>
          <w:szCs w:val="19"/>
          <w:color w:val="auto"/>
        </w:rPr>
        <w:t>” means a payment, distribution or benefit, whether paid or payable or distributed or distributable pursuant to the terms of this Agreement or otherwise, that if reduced in value by one dollar</w:t>
      </w:r>
    </w:p>
    <w:p>
      <w:pPr>
        <w:ind w:left="100"/>
        <w:spacing w:after="0" w:line="218" w:lineRule="auto"/>
        <w:rPr>
          <w:sz w:val="20"/>
          <w:szCs w:val="20"/>
          <w:color w:val="auto"/>
        </w:rPr>
      </w:pPr>
      <w:r>
        <w:rPr>
          <w:rFonts w:ascii="Times New Roman" w:cs="Times New Roman" w:eastAsia="Times New Roman" w:hAnsi="Times New Roman"/>
          <w:sz w:val="19"/>
          <w:szCs w:val="19"/>
          <w:color w:val="auto"/>
        </w:rPr>
        <w:t>reduces the amount of the parachute payment (as defined in Section 280G of the Code) by one dollar, determined as if such payment,</w:t>
      </w:r>
    </w:p>
    <w:p>
      <w:pPr>
        <w:spacing w:after="0" w:line="1" w:lineRule="exact"/>
        <w:rPr>
          <w:sz w:val="20"/>
          <w:szCs w:val="20"/>
          <w:color w:val="auto"/>
        </w:rPr>
      </w:pPr>
    </w:p>
    <w:p>
      <w:pPr>
        <w:ind w:left="100" w:right="260"/>
        <w:spacing w:after="0" w:line="211" w:lineRule="auto"/>
        <w:rPr>
          <w:sz w:val="20"/>
          <w:szCs w:val="20"/>
          <w:color w:val="auto"/>
        </w:rPr>
      </w:pPr>
      <w:r>
        <w:rPr>
          <w:rFonts w:ascii="Times New Roman" w:cs="Times New Roman" w:eastAsia="Times New Roman" w:hAnsi="Times New Roman"/>
          <w:sz w:val="19"/>
          <w:szCs w:val="19"/>
          <w:color w:val="auto"/>
        </w:rPr>
        <w:t>distribution or benefit had been paid or distributed on the date of the event triggering the excise tax. “</w:t>
      </w:r>
      <w:r>
        <w:rPr>
          <w:rFonts w:ascii="Times New Roman" w:cs="Times New Roman" w:eastAsia="Times New Roman" w:hAnsi="Times New Roman"/>
          <w:sz w:val="19"/>
          <w:szCs w:val="19"/>
          <w:b w:val="1"/>
          <w:bCs w:val="1"/>
          <w:i w:val="1"/>
          <w:iCs w:val="1"/>
          <w:color w:val="auto"/>
        </w:rPr>
        <w:t>Partial Credit Payment</w:t>
      </w:r>
      <w:r>
        <w:rPr>
          <w:rFonts w:ascii="Times New Roman" w:cs="Times New Roman" w:eastAsia="Times New Roman" w:hAnsi="Times New Roman"/>
          <w:sz w:val="19"/>
          <w:szCs w:val="19"/>
          <w:color w:val="auto"/>
        </w:rPr>
        <w:t>” means any payment, distribution or benefit that is not a Full Credit Payment.</w:t>
      </w:r>
    </w:p>
    <w:p>
      <w:pPr>
        <w:ind w:left="100"/>
        <w:spacing w:after="0"/>
        <w:rPr>
          <w:sz w:val="20"/>
          <w:szCs w:val="20"/>
          <w:color w:val="auto"/>
        </w:rPr>
      </w:pPr>
      <w:r>
        <w:rPr>
          <w:rFonts w:ascii="Times New Roman" w:cs="Times New Roman" w:eastAsia="Times New Roman" w:hAnsi="Times New Roman"/>
          <w:sz w:val="19"/>
          <w:szCs w:val="19"/>
          <w:color w:val="auto"/>
        </w:rPr>
        <w:t>In no event shall Executive have any discretion with respect to the ordering of payment reductions.</w:t>
      </w:r>
    </w:p>
    <w:p>
      <w:pPr>
        <w:spacing w:after="0" w:line="170" w:lineRule="exact"/>
        <w:rPr>
          <w:sz w:val="20"/>
          <w:szCs w:val="20"/>
          <w:color w:val="auto"/>
        </w:rPr>
      </w:pPr>
    </w:p>
    <w:p>
      <w:pPr>
        <w:ind w:left="1180" w:hanging="442"/>
        <w:spacing w:after="0"/>
        <w:tabs>
          <w:tab w:leader="none" w:pos="118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 meanings:</w:t>
      </w:r>
    </w:p>
    <w:p>
      <w:pPr>
        <w:spacing w:after="0" w:line="188" w:lineRule="exact"/>
        <w:rPr>
          <w:rFonts w:ascii="Times New Roman" w:cs="Times New Roman" w:eastAsia="Times New Roman" w:hAnsi="Times New Roman"/>
          <w:sz w:val="19"/>
          <w:szCs w:val="19"/>
          <w:color w:val="auto"/>
        </w:rPr>
      </w:pPr>
    </w:p>
    <w:p>
      <w:pPr>
        <w:ind w:left="2000" w:hanging="625"/>
        <w:spacing w:after="0"/>
        <w:tabs>
          <w:tab w:leader="none" w:pos="200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means:</w:t>
      </w:r>
    </w:p>
    <w:p>
      <w:pPr>
        <w:spacing w:after="0" w:line="183" w:lineRule="exact"/>
        <w:rPr>
          <w:rFonts w:ascii="Times New Roman" w:cs="Times New Roman" w:eastAsia="Times New Roman" w:hAnsi="Times New Roman"/>
          <w:sz w:val="19"/>
          <w:szCs w:val="19"/>
          <w:color w:val="auto"/>
        </w:rPr>
      </w:pPr>
    </w:p>
    <w:p>
      <w:pPr>
        <w:ind w:left="100" w:right="360" w:firstLine="1911"/>
        <w:spacing w:after="0" w:line="229" w:lineRule="auto"/>
        <w:tabs>
          <w:tab w:leader="none" w:pos="2456"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willful, deliberate and repeated failure to substantially perform his assigned duties (other than a failure resulting from Executive’s Disability), which failure is not cured within thirty (30) days after a written demand for substantial performance is received by Executive from the Board which identifies the manner in which the Board believes Executive has not substantially performed his duties;</w:t>
      </w:r>
    </w:p>
    <w:p>
      <w:pPr>
        <w:spacing w:after="0" w:line="159" w:lineRule="exact"/>
        <w:rPr>
          <w:rFonts w:ascii="Times New Roman" w:cs="Times New Roman" w:eastAsia="Times New Roman" w:hAnsi="Times New Roman"/>
          <w:sz w:val="19"/>
          <w:szCs w:val="19"/>
          <w:color w:val="auto"/>
        </w:rPr>
      </w:pPr>
    </w:p>
    <w:p>
      <w:pPr>
        <w:ind w:left="100" w:right="320" w:firstLine="1911"/>
        <w:spacing w:after="0" w:line="233" w:lineRule="auto"/>
        <w:tabs>
          <w:tab w:leader="none" w:pos="2457"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illegal or intentional gross misconduct in the performance of his duties hereunder that is materially injurious to the Company’s business and/or reputation, which, if capable being cured, is not cured within thirty (30) days after written notice from the Board, which written notice shall state that failure to cure may result in termination for Cause;</w:t>
      </w:r>
    </w:p>
    <w:p>
      <w:pPr>
        <w:spacing w:after="0" w:line="171" w:lineRule="exact"/>
        <w:rPr>
          <w:rFonts w:ascii="Times New Roman" w:cs="Times New Roman" w:eastAsia="Times New Roman" w:hAnsi="Times New Roman"/>
          <w:sz w:val="19"/>
          <w:szCs w:val="19"/>
          <w:color w:val="auto"/>
        </w:rPr>
      </w:pPr>
    </w:p>
    <w:p>
      <w:pPr>
        <w:ind w:left="100" w:right="220" w:firstLine="1911"/>
        <w:spacing w:after="0" w:line="285" w:lineRule="auto"/>
        <w:tabs>
          <w:tab w:leader="none" w:pos="2458"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unauthorized and willful use or disclosure of any proprietary information or trade secrets of the Company where such use or disclosure causes material harm to the Company; or</w:t>
      </w:r>
    </w:p>
    <w:p>
      <w:pPr>
        <w:spacing w:after="0" w:line="128" w:lineRule="exact"/>
        <w:rPr>
          <w:rFonts w:ascii="Times New Roman" w:cs="Times New Roman" w:eastAsia="Times New Roman" w:hAnsi="Times New Roman"/>
          <w:sz w:val="19"/>
          <w:szCs w:val="19"/>
          <w:color w:val="auto"/>
        </w:rPr>
      </w:pPr>
    </w:p>
    <w:p>
      <w:pPr>
        <w:jc w:val="both"/>
        <w:ind w:left="100" w:right="100" w:firstLine="1911"/>
        <w:spacing w:after="0" w:line="286" w:lineRule="auto"/>
        <w:tabs>
          <w:tab w:leader="none" w:pos="2461"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Executive’s conviction of, 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 felony or any crime involving fraud, embezzlement or theft which is materially injurious, or reasonably expected to be materially injurious, to the Company’s business or reputation.</w:t>
      </w:r>
    </w:p>
    <w:p>
      <w:pPr>
        <w:spacing w:after="0" w:line="365"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05"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the occurrence of any of the</w:t>
      </w:r>
    </w:p>
    <w:p>
      <w:pPr>
        <w:spacing w:after="0" w:line="6" w:lineRule="exact"/>
        <w:rPr>
          <w:rFonts w:ascii="Times New Roman" w:cs="Times New Roman" w:eastAsia="Times New Roman" w:hAnsi="Times New Roman"/>
          <w:sz w:val="19"/>
          <w:szCs w:val="19"/>
          <w:color w:val="auto"/>
        </w:rPr>
      </w:pPr>
    </w:p>
    <w:p>
      <w:pPr>
        <w:ind w:left="1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w:t>
      </w:r>
    </w:p>
    <w:p>
      <w:pPr>
        <w:spacing w:after="0" w:line="157" w:lineRule="exact"/>
        <w:rPr>
          <w:rFonts w:ascii="Times New Roman" w:cs="Times New Roman" w:eastAsia="Times New Roman" w:hAnsi="Times New Roman"/>
          <w:sz w:val="19"/>
          <w:szCs w:val="19"/>
          <w:color w:val="auto"/>
        </w:rPr>
      </w:pPr>
    </w:p>
    <w:p>
      <w:pPr>
        <w:jc w:val="both"/>
        <w:ind w:left="100" w:firstLine="1911"/>
        <w:spacing w:after="0" w:line="233" w:lineRule="auto"/>
        <w:tabs>
          <w:tab w:leader="none" w:pos="2456"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71" w:lineRule="exact"/>
        <w:rPr>
          <w:rFonts w:ascii="Times New Roman" w:cs="Times New Roman" w:eastAsia="Times New Roman" w:hAnsi="Times New Roman"/>
          <w:sz w:val="19"/>
          <w:szCs w:val="19"/>
          <w:color w:val="auto"/>
        </w:rPr>
      </w:pPr>
    </w:p>
    <w:p>
      <w:pPr>
        <w:ind w:left="100" w:right="120" w:firstLine="1911"/>
        <w:spacing w:after="0" w:line="233" w:lineRule="auto"/>
        <w:tabs>
          <w:tab w:leader="none" w:pos="2457"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alibri" w:cs="Calibri" w:eastAsia="Calibri" w:hAnsi="Calibri"/>
          <w:sz w:val="21"/>
          <w:szCs w:val="21"/>
          <w:color w:val="auto"/>
        </w:rPr>
        <w:t>11</w:t>
      </w:r>
    </w:p>
    <w:p>
      <w:pPr>
        <w:sectPr>
          <w:pgSz w:w="11900" w:h="16838" w:orient="portrait"/>
          <w:cols w:equalWidth="0" w:num="1">
            <w:col w:w="11040"/>
          </w:cols>
          <w:pgMar w:left="400" w:top="1440" w:right="45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right="180"/>
        <w:spacing w:after="0" w:line="223" w:lineRule="auto"/>
        <w:rPr>
          <w:sz w:val="20"/>
          <w:szCs w:val="20"/>
          <w:color w:val="auto"/>
        </w:rPr>
      </w:pPr>
      <w:r>
        <w:rPr>
          <w:rFonts w:ascii="Times New Roman" w:cs="Times New Roman" w:eastAsia="Times New Roman" w:hAnsi="Times New Roman"/>
          <w:sz w:val="19"/>
          <w:szCs w:val="19"/>
          <w:color w:val="auto"/>
        </w:rPr>
        <w:t>corporation or other entity owned directly or indirectly by the shareholders of the Company in substantially the same proportions as their ownership of the Common Stock of the Company or (z) to a continuing or surviving entity described in Section 6(c)(i) in connection with</w:t>
      </w:r>
    </w:p>
    <w:p>
      <w:pPr>
        <w:ind w:left="100"/>
        <w:spacing w:after="0"/>
        <w:rPr>
          <w:sz w:val="20"/>
          <w:szCs w:val="20"/>
          <w:color w:val="auto"/>
        </w:rPr>
      </w:pPr>
      <w:r>
        <w:rPr>
          <w:rFonts w:ascii="Times New Roman" w:cs="Times New Roman" w:eastAsia="Times New Roman" w:hAnsi="Times New Roman"/>
          <w:sz w:val="19"/>
          <w:szCs w:val="19"/>
          <w:color w:val="auto"/>
        </w:rPr>
        <w:t>a merger, consolidation or reorganization which does not result in a Change in Control under Section 6(c)(i));</w:t>
      </w:r>
    </w:p>
    <w:p>
      <w:pPr>
        <w:spacing w:after="0" w:line="170" w:lineRule="exact"/>
        <w:rPr>
          <w:sz w:val="20"/>
          <w:szCs w:val="20"/>
          <w:color w:val="auto"/>
        </w:rPr>
      </w:pPr>
    </w:p>
    <w:p>
      <w:pPr>
        <w:ind w:left="100" w:right="40" w:firstLine="1911"/>
        <w:spacing w:after="0" w:line="233" w:lineRule="auto"/>
        <w:tabs>
          <w:tab w:leader="none" w:pos="2458"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or</w:t>
      </w:r>
    </w:p>
    <w:p>
      <w:pPr>
        <w:spacing w:after="0" w:line="147" w:lineRule="exact"/>
        <w:rPr>
          <w:rFonts w:ascii="Times New Roman" w:cs="Times New Roman" w:eastAsia="Times New Roman" w:hAnsi="Times New Roman"/>
          <w:sz w:val="19"/>
          <w:szCs w:val="19"/>
          <w:color w:val="auto"/>
        </w:rPr>
      </w:pPr>
    </w:p>
    <w:p>
      <w:pPr>
        <w:ind w:left="2640" w:hanging="628"/>
        <w:spacing w:after="0"/>
        <w:tabs>
          <w:tab w:leader="none" w:pos="264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any transaction as a result of which any Person</w:t>
      </w:r>
    </w:p>
    <w:p>
      <w:pPr>
        <w:ind w:left="100" w:right="260"/>
        <w:spacing w:after="0" w:line="218" w:lineRule="auto"/>
        <w:rPr>
          <w:sz w:val="20"/>
          <w:szCs w:val="20"/>
          <w:color w:val="auto"/>
        </w:rPr>
      </w:pPr>
      <w:r>
        <w:rPr>
          <w:rFonts w:ascii="Times New Roman" w:cs="Times New Roman" w:eastAsia="Times New Roman" w:hAnsi="Times New Roman"/>
          <w:sz w:val="19"/>
          <w:szCs w:val="19"/>
          <w:color w:val="auto"/>
        </w:rPr>
        <w:t>becomes the “beneficial owner” (as defined in Rule 13d-3 under the Securities Exchange Act of 1934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directly or indirectly, of securities of the Company representing at least 50% of the</w:t>
      </w:r>
    </w:p>
    <w:p>
      <w:pPr>
        <w:spacing w:after="0" w:line="1" w:lineRule="exact"/>
        <w:rPr>
          <w:sz w:val="20"/>
          <w:szCs w:val="20"/>
          <w:color w:val="auto"/>
        </w:rPr>
      </w:pPr>
    </w:p>
    <w:p>
      <w:pPr>
        <w:ind w:left="100" w:right="20"/>
        <w:spacing w:after="0" w:line="211" w:lineRule="auto"/>
        <w:rPr>
          <w:sz w:val="20"/>
          <w:szCs w:val="20"/>
          <w:color w:val="auto"/>
        </w:rPr>
      </w:pPr>
      <w:r>
        <w:rPr>
          <w:rFonts w:ascii="Times New Roman" w:cs="Times New Roman" w:eastAsia="Times New Roman" w:hAnsi="Times New Roman"/>
          <w:sz w:val="19"/>
          <w:szCs w:val="19"/>
          <w:color w:val="auto"/>
        </w:rPr>
        <w:t>total voting power represented by the Company’s then outstanding voting securities. For purposes of this Section 6(c)(iv), (A) if any Person who is the beneficial owner, directly or indirectly, of securities of the Company representing at least 50% of the total voting power</w:t>
      </w:r>
    </w:p>
    <w:p>
      <w:pPr>
        <w:ind w:left="100"/>
        <w:spacing w:after="0" w:line="218" w:lineRule="auto"/>
        <w:rPr>
          <w:sz w:val="20"/>
          <w:szCs w:val="20"/>
          <w:color w:val="auto"/>
        </w:rPr>
      </w:pPr>
      <w:r>
        <w:rPr>
          <w:rFonts w:ascii="Times New Roman" w:cs="Times New Roman" w:eastAsia="Times New Roman" w:hAnsi="Times New Roman"/>
          <w:sz w:val="19"/>
          <w:szCs w:val="19"/>
          <w:color w:val="auto"/>
        </w:rPr>
        <w:t>represented by the Company’s then outstanding voting securities acquires additional securities of the Company, such acquisition of</w:t>
      </w:r>
    </w:p>
    <w:p>
      <w:pPr>
        <w:ind w:left="100"/>
        <w:spacing w:after="0" w:line="204" w:lineRule="auto"/>
        <w:rPr>
          <w:sz w:val="20"/>
          <w:szCs w:val="20"/>
          <w:color w:val="auto"/>
        </w:rPr>
      </w:pPr>
      <w:r>
        <w:rPr>
          <w:rFonts w:ascii="Times New Roman" w:cs="Times New Roman" w:eastAsia="Times New Roman" w:hAnsi="Times New Roman"/>
          <w:sz w:val="19"/>
          <w:szCs w:val="19"/>
          <w:color w:val="auto"/>
        </w:rPr>
        <w:t>additional securities will not be considered to cause a Change in Control pursuant to this Section 6(c)(iv), and (B)</w:t>
      </w:r>
    </w:p>
    <w:p>
      <w:pPr>
        <w:ind w:left="100"/>
        <w:spacing w:after="0"/>
        <w:rPr>
          <w:sz w:val="20"/>
          <w:szCs w:val="20"/>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shall have the same meaning as when used in sections 13(d) and 14(d) of the Exchange Act but shall exclude:</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a trustee or other fiduciary holding securities under an employee benefit plan of the Company or an affiliate of the Company;</w:t>
      </w:r>
    </w:p>
    <w:p>
      <w:pPr>
        <w:spacing w:after="0" w:line="206" w:lineRule="exact"/>
        <w:rPr>
          <w:sz w:val="20"/>
          <w:szCs w:val="20"/>
          <w:color w:val="auto"/>
        </w:rPr>
      </w:pPr>
    </w:p>
    <w:p>
      <w:pPr>
        <w:ind w:left="100"/>
        <w:spacing w:after="0" w:line="246" w:lineRule="auto"/>
        <w:rPr>
          <w:sz w:val="20"/>
          <w:szCs w:val="20"/>
          <w:color w:val="auto"/>
        </w:rPr>
      </w:pPr>
      <w:r>
        <w:rPr>
          <w:rFonts w:ascii="Times New Roman" w:cs="Times New Roman" w:eastAsia="Times New Roman" w:hAnsi="Times New Roman"/>
          <w:sz w:val="19"/>
          <w:szCs w:val="19"/>
          <w:b w:val="1"/>
          <w:bCs w:val="1"/>
          <w:color w:val="auto"/>
        </w:rPr>
        <w:t>a corporation or other entity owned directly or indirectly by the stockholders of the Company in substantially the same proportions as their ownership of the Company’s Common Stock;</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the Company; and</w:t>
      </w:r>
    </w:p>
    <w:p>
      <w:pPr>
        <w:spacing w:after="0" w:line="192" w:lineRule="exact"/>
        <w:rPr>
          <w:sz w:val="20"/>
          <w:szCs w:val="20"/>
          <w:color w:val="auto"/>
        </w:rPr>
      </w:pPr>
    </w:p>
    <w:p>
      <w:pPr>
        <w:ind w:left="100" w:right="660"/>
        <w:spacing w:after="0" w:line="246" w:lineRule="auto"/>
        <w:rPr>
          <w:sz w:val="20"/>
          <w:szCs w:val="20"/>
          <w:color w:val="auto"/>
        </w:rPr>
      </w:pPr>
      <w:r>
        <w:rPr>
          <w:rFonts w:ascii="Times New Roman" w:cs="Times New Roman" w:eastAsia="Times New Roman" w:hAnsi="Times New Roman"/>
          <w:sz w:val="19"/>
          <w:szCs w:val="19"/>
          <w:b w:val="1"/>
          <w:bCs w:val="1"/>
          <w:color w:val="auto"/>
        </w:rPr>
        <w:t>a corporation or other entity of which at least a majority of its combined voting power is owned directly or indirectly by the Company.</w:t>
      </w:r>
    </w:p>
    <w:p>
      <w:pPr>
        <w:spacing w:after="0" w:line="219" w:lineRule="exact"/>
        <w:rPr>
          <w:sz w:val="20"/>
          <w:szCs w:val="20"/>
          <w:color w:val="auto"/>
        </w:rPr>
      </w:pPr>
    </w:p>
    <w:p>
      <w:pPr>
        <w:ind w:left="100" w:right="280" w:firstLine="1908"/>
        <w:spacing w:after="0" w:line="223" w:lineRule="auto"/>
        <w:rPr>
          <w:sz w:val="20"/>
          <w:szCs w:val="20"/>
          <w:color w:val="auto"/>
        </w:rPr>
      </w:pPr>
      <w:r>
        <w:rPr>
          <w:rFonts w:ascii="Times New Roman" w:cs="Times New Roman" w:eastAsia="Times New Roman" w:hAnsi="Times New Roman"/>
          <w:sz w:val="19"/>
          <w:szCs w:val="19"/>
          <w:color w:val="auto"/>
        </w:rPr>
        <w:t>A transaction shall not constitute a Change in Control if its sole purpose is to change the state of the Company’s incorporation or to create a holding company that will be owned in</w:t>
      </w:r>
    </w:p>
    <w:p>
      <w:pPr>
        <w:ind w:left="100"/>
        <w:spacing w:after="0"/>
        <w:rPr>
          <w:sz w:val="20"/>
          <w:szCs w:val="20"/>
          <w:color w:val="auto"/>
        </w:rPr>
      </w:pPr>
      <w:r>
        <w:rPr>
          <w:rFonts w:ascii="Times New Roman" w:cs="Times New Roman" w:eastAsia="Times New Roman" w:hAnsi="Times New Roman"/>
          <w:sz w:val="19"/>
          <w:szCs w:val="19"/>
          <w:color w:val="auto"/>
        </w:rPr>
        <w:t>substantially the same proportions by the persons who held the Company’s securities immediately before such transactions.</w:t>
      </w:r>
    </w:p>
    <w:p>
      <w:pPr>
        <w:spacing w:after="0" w:line="193" w:lineRule="exact"/>
        <w:rPr>
          <w:sz w:val="20"/>
          <w:szCs w:val="20"/>
          <w:color w:val="auto"/>
        </w:rPr>
      </w:pPr>
    </w:p>
    <w:p>
      <w:pPr>
        <w:ind w:left="100" w:right="60" w:firstLine="1274"/>
        <w:spacing w:after="0" w:line="246" w:lineRule="auto"/>
        <w:tabs>
          <w:tab w:leader="none" w:pos="182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Period</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Change in Control Period</w:t>
      </w:r>
      <w:r>
        <w:rPr>
          <w:rFonts w:ascii="Times New Roman" w:cs="Times New Roman" w:eastAsia="Times New Roman" w:hAnsi="Times New Roman"/>
          <w:sz w:val="19"/>
          <w:szCs w:val="19"/>
          <w:color w:val="auto"/>
        </w:rPr>
        <w:t>” means the period beginning three (3) months prior to, and ending eighteen (18) months following, a Change in Control.</w:t>
      </w:r>
    </w:p>
    <w:p>
      <w:pPr>
        <w:spacing w:after="0" w:line="148"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total and permanent disability as defined in</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Section 22(e) (3) of the Code.</w:t>
      </w:r>
    </w:p>
    <w:p>
      <w:pPr>
        <w:spacing w:after="0" w:line="166" w:lineRule="exact"/>
        <w:rPr>
          <w:sz w:val="20"/>
          <w:szCs w:val="20"/>
          <w:color w:val="auto"/>
        </w:rPr>
      </w:pPr>
    </w:p>
    <w:p>
      <w:pPr>
        <w:ind w:left="100" w:right="500" w:firstLine="1274"/>
        <w:spacing w:after="0" w:line="268" w:lineRule="auto"/>
        <w:tabs>
          <w:tab w:leader="none" w:pos="183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Equity Award</w:t>
      </w:r>
      <w:r>
        <w:rPr>
          <w:rFonts w:ascii="Times New Roman" w:cs="Times New Roman" w:eastAsia="Times New Roman" w:hAnsi="Times New Roman"/>
          <w:sz w:val="19"/>
          <w:szCs w:val="19"/>
          <w:color w:val="auto"/>
        </w:rPr>
        <w:t>” means each then outstanding award relating to the Company’s common stock (whether stock options, stock appreciation rights, shares of restricted stock, restricted stock units, performance shares, performance units or other similar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alibri" w:cs="Calibri" w:eastAsia="Calibri" w:hAnsi="Calibri"/>
          <w:sz w:val="21"/>
          <w:szCs w:val="21"/>
          <w:color w:val="auto"/>
        </w:rPr>
        <w:t>12</w:t>
      </w:r>
    </w:p>
    <w:p>
      <w:pPr>
        <w:sectPr>
          <w:pgSz w:w="11900" w:h="16838" w:orient="portrait"/>
          <w:cols w:equalWidth="0" w:num="1">
            <w:col w:w="10980"/>
          </w:cols>
          <w:pgMar w:left="400" w:top="1440" w:right="51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right="320" w:firstLine="1274"/>
        <w:spacing w:after="0" w:line="234" w:lineRule="auto"/>
        <w:tabs>
          <w:tab w:leader="none" w:pos="182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For purposes of this Agreement, resignation for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means Executive’s resignation due to the occurrence of any of the following conditions which occurs without Executive’s written consent, provided that the requirements regarding advance notice and an opportunity to cure set forth below are satisfied:</w:t>
      </w:r>
    </w:p>
    <w:p>
      <w:pPr>
        <w:spacing w:after="0" w:line="159" w:lineRule="exact"/>
        <w:rPr>
          <w:rFonts w:ascii="Times New Roman" w:cs="Times New Roman" w:eastAsia="Times New Roman" w:hAnsi="Times New Roman"/>
          <w:sz w:val="19"/>
          <w:szCs w:val="19"/>
          <w:color w:val="auto"/>
        </w:rPr>
      </w:pPr>
    </w:p>
    <w:p>
      <w:pPr>
        <w:ind w:left="160" w:right="280" w:firstLine="1850"/>
        <w:spacing w:after="0" w:line="256" w:lineRule="auto"/>
        <w:tabs>
          <w:tab w:leader="none" w:pos="2452"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adverse change to Executive’s authority, duties or responsibilities that, taken as a whole, results in a material diminution in Executive’s authority, duties or responsibilities in effect prior to such change;</w:t>
      </w:r>
    </w:p>
    <w:p>
      <w:pPr>
        <w:spacing w:after="0" w:line="130" w:lineRule="exact"/>
        <w:rPr>
          <w:rFonts w:ascii="Times New Roman" w:cs="Times New Roman" w:eastAsia="Times New Roman" w:hAnsi="Times New Roman"/>
          <w:sz w:val="19"/>
          <w:szCs w:val="19"/>
          <w:color w:val="auto"/>
        </w:rPr>
      </w:pPr>
    </w:p>
    <w:p>
      <w:pPr>
        <w:ind w:left="160" w:right="1120" w:firstLine="1850"/>
        <w:spacing w:after="0" w:line="256" w:lineRule="auto"/>
        <w:tabs>
          <w:tab w:leader="none" w:pos="2453"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 or more reduction in Executive’s then-current base salary or a 10% or more reduction in Executive’s base compensation (including base salary and bonus);</w:t>
      </w:r>
    </w:p>
    <w:p>
      <w:pPr>
        <w:spacing w:after="0" w:line="130" w:lineRule="exact"/>
        <w:rPr>
          <w:rFonts w:ascii="Times New Roman" w:cs="Times New Roman" w:eastAsia="Times New Roman" w:hAnsi="Times New Roman"/>
          <w:sz w:val="19"/>
          <w:szCs w:val="19"/>
          <w:color w:val="auto"/>
        </w:rPr>
      </w:pPr>
    </w:p>
    <w:p>
      <w:pPr>
        <w:ind w:left="160" w:right="220" w:firstLine="1850"/>
        <w:spacing w:after="0" w:line="238" w:lineRule="auto"/>
        <w:tabs>
          <w:tab w:leader="none" w:pos="245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conditions Executive’s continued service with the Company on the relocation of Executive’s principal work location to a location that is more than thirty- five (35) miles from Executive’s then current principal work location and such relocation results in an increase in Executive’s one-way commuting distance from his home by thirty-five (35) miles or more;</w:t>
      </w:r>
    </w:p>
    <w:p>
      <w:pPr>
        <w:spacing w:after="0" w:line="158" w:lineRule="exact"/>
        <w:rPr>
          <w:rFonts w:ascii="Times New Roman" w:cs="Times New Roman" w:eastAsia="Times New Roman" w:hAnsi="Times New Roman"/>
          <w:sz w:val="19"/>
          <w:szCs w:val="19"/>
          <w:color w:val="auto"/>
        </w:rPr>
      </w:pPr>
    </w:p>
    <w:p>
      <w:pPr>
        <w:ind w:left="2460" w:hanging="450"/>
        <w:spacing w:after="0"/>
        <w:tabs>
          <w:tab w:leader="none" w:pos="246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the Company to obtain the assumption of this Agreement by any successor to the Company;</w:t>
      </w:r>
    </w:p>
    <w:p>
      <w:pPr>
        <w:spacing w:after="0" w:line="34"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w:t>
      </w:r>
    </w:p>
    <w:p>
      <w:pPr>
        <w:spacing w:after="0" w:line="190" w:lineRule="exact"/>
        <w:rPr>
          <w:rFonts w:ascii="Times New Roman" w:cs="Times New Roman" w:eastAsia="Times New Roman" w:hAnsi="Times New Roman"/>
          <w:sz w:val="19"/>
          <w:szCs w:val="19"/>
          <w:color w:val="auto"/>
        </w:rPr>
      </w:pPr>
    </w:p>
    <w:p>
      <w:pPr>
        <w:ind w:left="2460" w:hanging="450"/>
        <w:spacing w:after="0"/>
        <w:tabs>
          <w:tab w:leader="none" w:pos="246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breach or material violation of a material provision of this Agreement by the Company (or any</w:t>
      </w:r>
    </w:p>
    <w:p>
      <w:pPr>
        <w:spacing w:after="0" w:line="34"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 to the Company).</w:t>
      </w:r>
    </w:p>
    <w:p>
      <w:pPr>
        <w:spacing w:after="0" w:line="178" w:lineRule="exact"/>
        <w:rPr>
          <w:sz w:val="20"/>
          <w:szCs w:val="20"/>
          <w:color w:val="auto"/>
        </w:rPr>
      </w:pPr>
    </w:p>
    <w:p>
      <w:pPr>
        <w:ind w:left="160"/>
        <w:spacing w:after="0" w:line="230" w:lineRule="auto"/>
        <w:rPr>
          <w:sz w:val="20"/>
          <w:szCs w:val="20"/>
          <w:color w:val="auto"/>
        </w:rPr>
      </w:pPr>
      <w:r>
        <w:rPr>
          <w:rFonts w:ascii="Times New Roman" w:cs="Times New Roman" w:eastAsia="Times New Roman" w:hAnsi="Times New Roman"/>
          <w:sz w:val="19"/>
          <w:szCs w:val="19"/>
          <w:color w:val="auto"/>
        </w:rPr>
        <w:t>In order for Executive to resign for Good Reason, Executive must provide written notice to the Company of the existence of the Good Reason condition within ninety (90) days of the initial existence of such Good Reason condition. Upon receipt of such notice, the Company</w:t>
      </w:r>
    </w:p>
    <w:p>
      <w:pPr>
        <w:spacing w:after="0" w:line="1" w:lineRule="exact"/>
        <w:rPr>
          <w:sz w:val="20"/>
          <w:szCs w:val="20"/>
          <w:color w:val="auto"/>
        </w:rPr>
      </w:pPr>
    </w:p>
    <w:p>
      <w:pPr>
        <w:ind w:left="160" w:right="40"/>
        <w:spacing w:after="0" w:line="211" w:lineRule="auto"/>
        <w:rPr>
          <w:sz w:val="20"/>
          <w:szCs w:val="20"/>
          <w:color w:val="auto"/>
        </w:rPr>
      </w:pPr>
      <w:r>
        <w:rPr>
          <w:rFonts w:ascii="Times New Roman" w:cs="Times New Roman" w:eastAsia="Times New Roman" w:hAnsi="Times New Roman"/>
          <w:sz w:val="19"/>
          <w:szCs w:val="19"/>
          <w:color w:val="auto"/>
        </w:rPr>
        <w:t>will have thirty (30) days during which it may remedy the Good Reason condition and not be required to provide the severance payments and benefits described herein as a result of such proposed resignation. If the Good Reason condition is not remedied within such thirty (30)</w:t>
      </w:r>
    </w:p>
    <w:p>
      <w:pPr>
        <w:ind w:left="160" w:right="160"/>
        <w:spacing w:after="0" w:line="228" w:lineRule="auto"/>
        <w:rPr>
          <w:sz w:val="20"/>
          <w:szCs w:val="20"/>
          <w:color w:val="auto"/>
        </w:rPr>
      </w:pPr>
      <w:r>
        <w:rPr>
          <w:rFonts w:ascii="Times New Roman" w:cs="Times New Roman" w:eastAsia="Times New Roman" w:hAnsi="Times New Roman"/>
          <w:sz w:val="19"/>
          <w:szCs w:val="19"/>
          <w:color w:val="auto"/>
        </w:rPr>
        <w:t>day cure period, Executive may resign based on the Good Reason condition specified in the notice effective no later than ninety (90) days following the expiration of the thirty (30) day cure period.</w:t>
      </w:r>
    </w:p>
    <w:p>
      <w:pPr>
        <w:spacing w:after="0" w:line="159" w:lineRule="exact"/>
        <w:rPr>
          <w:sz w:val="20"/>
          <w:szCs w:val="20"/>
          <w:color w:val="auto"/>
        </w:rPr>
      </w:pPr>
    </w:p>
    <w:p>
      <w:pPr>
        <w:ind w:left="1380" w:hanging="641"/>
        <w:spacing w:after="0"/>
        <w:tabs>
          <w:tab w:leader="none" w:pos="13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ind w:left="100" w:right="280" w:firstLine="1274"/>
        <w:spacing w:after="0" w:line="224" w:lineRule="auto"/>
        <w:tabs>
          <w:tab w:leader="none" w:pos="1825"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Successors</w:t>
      </w:r>
      <w:r>
        <w:rPr>
          <w:rFonts w:ascii="Times New Roman" w:cs="Times New Roman" w:eastAsia="Times New Roman" w:hAnsi="Times New Roman"/>
          <w:sz w:val="19"/>
          <w:szCs w:val="19"/>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such successor to the Company’s business and/or assets.</w:t>
      </w:r>
    </w:p>
    <w:p>
      <w:pPr>
        <w:spacing w:after="0" w:line="159" w:lineRule="exact"/>
        <w:rPr>
          <w:rFonts w:ascii="Times New Roman" w:cs="Times New Roman" w:eastAsia="Times New Roman" w:hAnsi="Times New Roman"/>
          <w:sz w:val="19"/>
          <w:szCs w:val="19"/>
          <w:color w:val="auto"/>
        </w:rPr>
      </w:pPr>
    </w:p>
    <w:p>
      <w:pPr>
        <w:ind w:left="160" w:right="160" w:firstLine="1214"/>
        <w:spacing w:after="0" w:line="233" w:lineRule="auto"/>
        <w:tabs>
          <w:tab w:leader="none" w:pos="1819"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alibri" w:cs="Calibri" w:eastAsia="Calibri" w:hAnsi="Calibri"/>
          <w:sz w:val="21"/>
          <w:szCs w:val="21"/>
          <w:color w:val="auto"/>
        </w:rPr>
        <w:t>13</w:t>
      </w:r>
    </w:p>
    <w:p>
      <w:pPr>
        <w:sectPr>
          <w:pgSz w:w="11900" w:h="16838" w:orient="portrait"/>
          <w:cols w:equalWidth="0" w:num="1">
            <w:col w:w="11020"/>
          </w:cols>
          <w:pgMar w:left="400" w:top="1440" w:right="47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80" w:hanging="641"/>
        <w:spacing w:after="0"/>
        <w:tabs>
          <w:tab w:leader="none" w:pos="13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160" w:firstLine="1214"/>
        <w:spacing w:after="0" w:line="225" w:lineRule="auto"/>
        <w:tabs>
          <w:tab w:leader="none" w:pos="1821"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at the home address which he most recently communicated to the Company in writing. In the case of the Company, mailed notices will be addressed to its corporate headquarters, and all notices will be directed to the attention of the Company’s Secretary (or, if Executive is the Company’s Secretary, any other executive officer of the Company).</w:t>
      </w:r>
    </w:p>
    <w:p>
      <w:pPr>
        <w:spacing w:after="0" w:line="149" w:lineRule="exact"/>
        <w:rPr>
          <w:rFonts w:ascii="Times New Roman" w:cs="Times New Roman" w:eastAsia="Times New Roman" w:hAnsi="Times New Roman"/>
          <w:sz w:val="19"/>
          <w:szCs w:val="19"/>
          <w:color w:val="auto"/>
        </w:rPr>
      </w:pPr>
    </w:p>
    <w:p>
      <w:pPr>
        <w:ind w:left="160" w:right="60" w:firstLine="1214"/>
        <w:spacing w:after="0"/>
        <w:tabs>
          <w:tab w:leader="none" w:pos="1819"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Any termination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w:t>
      </w:r>
    </w:p>
    <w:p>
      <w:pPr>
        <w:spacing w:after="0" w:line="318" w:lineRule="exact"/>
        <w:rPr>
          <w:rFonts w:ascii="Times New Roman" w:cs="Times New Roman" w:eastAsia="Times New Roman" w:hAnsi="Times New Roman"/>
          <w:sz w:val="19"/>
          <w:szCs w:val="19"/>
          <w:color w:val="auto"/>
        </w:rPr>
      </w:pPr>
    </w:p>
    <w:p>
      <w:pPr>
        <w:ind w:left="1380" w:hanging="641"/>
        <w:spacing w:after="0"/>
        <w:tabs>
          <w:tab w:leader="none" w:pos="13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100" w:right="440" w:firstLine="1274"/>
        <w:spacing w:after="0" w:line="256" w:lineRule="auto"/>
        <w:tabs>
          <w:tab w:leader="none" w:pos="1825"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earnings that Executive may receive from any other source reduce any such payment.</w:t>
      </w:r>
    </w:p>
    <w:p>
      <w:pPr>
        <w:spacing w:after="0" w:line="143" w:lineRule="exact"/>
        <w:rPr>
          <w:rFonts w:ascii="Times New Roman" w:cs="Times New Roman" w:eastAsia="Times New Roman" w:hAnsi="Times New Roman"/>
          <w:sz w:val="19"/>
          <w:szCs w:val="19"/>
          <w:color w:val="auto"/>
        </w:rPr>
      </w:pPr>
    </w:p>
    <w:p>
      <w:pPr>
        <w:jc w:val="both"/>
        <w:ind w:left="100" w:right="160" w:firstLine="1274"/>
        <w:spacing w:after="0" w:line="229" w:lineRule="auto"/>
        <w:tabs>
          <w:tab w:leader="none" w:pos="182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9" w:lineRule="exact"/>
        <w:rPr>
          <w:rFonts w:ascii="Times New Roman" w:cs="Times New Roman" w:eastAsia="Times New Roman" w:hAnsi="Times New Roman"/>
          <w:sz w:val="19"/>
          <w:szCs w:val="19"/>
          <w:color w:val="auto"/>
        </w:rPr>
      </w:pPr>
    </w:p>
    <w:p>
      <w:pPr>
        <w:ind w:left="1820" w:hanging="446"/>
        <w:spacing w:after="0"/>
        <w:tabs>
          <w:tab w:leader="none" w:pos="182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 reference only and do</w:t>
      </w:r>
    </w:p>
    <w:p>
      <w:pPr>
        <w:spacing w:after="0" w:line="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not form a part of this Agreement.</w:t>
      </w:r>
    </w:p>
    <w:p>
      <w:pPr>
        <w:spacing w:after="0" w:line="178" w:lineRule="exact"/>
        <w:rPr>
          <w:sz w:val="20"/>
          <w:szCs w:val="20"/>
          <w:color w:val="auto"/>
        </w:rPr>
      </w:pPr>
    </w:p>
    <w:p>
      <w:pPr>
        <w:ind w:left="100" w:right="120" w:firstLine="1274"/>
        <w:spacing w:after="0" w:line="256" w:lineRule="auto"/>
        <w:tabs>
          <w:tab w:leader="none" w:pos="182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19"/>
          <w:szCs w:val="19"/>
          <w:color w:val="auto"/>
        </w:rPr>
      </w:pPr>
    </w:p>
    <w:p>
      <w:pPr>
        <w:ind w:left="100" w:right="40" w:firstLine="1274"/>
        <w:spacing w:after="0" w:line="220" w:lineRule="auto"/>
        <w:tabs>
          <w:tab w:leader="none" w:pos="1825"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parties hereto and supersedes all prior or contemporaneous agreements with respect to the subject matter of this Agreement. Further, this Agreement supersedes in their entirety any and all prior offer letters or employment agreements entered into by and between Executive and the Company, which offer letters and employment agreements shall be null and void. No waiver, alteration, or modification of any of the provisions of this Agreement will be binding unless in writing and signed by duly authorized representatives of the parties hereto and which specifically mention this Agreement. In entering into this Agreement, no party has relied on or made any representation, warranty, inducement, promise, or understanding that is not in this Agreement. To the extent that any provisions of this Agreement conflict with those of any other agreement between Executive and the Company, the terms in this Agreement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21"/>
          <w:szCs w:val="21"/>
          <w:color w:val="auto"/>
        </w:rPr>
        <w:t>14</w:t>
      </w:r>
    </w:p>
    <w:p>
      <w:pPr>
        <w:sectPr>
          <w:pgSz w:w="11900" w:h="16838" w:orient="portrait"/>
          <w:cols w:equalWidth="0" w:num="1">
            <w:col w:w="11020"/>
          </w:cols>
          <w:pgMar w:left="400" w:top="1440" w:right="47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00" w:firstLine="1274"/>
        <w:spacing w:after="0"/>
        <w:tabs>
          <w:tab w:leader="none" w:pos="183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becomes or is declared by a court of competent jurisdiction to be illegal, unenforceable, or void, this Agreement will continue in full force and effect without said provision or portion of provision. The remainder of this Agreement shall be interpreted so as best to effect the intent of the Company and Executive.</w:t>
      </w:r>
    </w:p>
    <w:p>
      <w:pPr>
        <w:spacing w:after="0" w:line="338" w:lineRule="exact"/>
        <w:rPr>
          <w:rFonts w:ascii="Times New Roman" w:cs="Times New Roman" w:eastAsia="Times New Roman" w:hAnsi="Times New Roman"/>
          <w:sz w:val="19"/>
          <w:szCs w:val="19"/>
          <w:color w:val="auto"/>
        </w:rPr>
      </w:pPr>
    </w:p>
    <w:p>
      <w:pPr>
        <w:ind w:left="100" w:right="440" w:firstLine="1274"/>
        <w:spacing w:after="0" w:line="300" w:lineRule="auto"/>
        <w:tabs>
          <w:tab w:leader="none" w:pos="182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Withholding and Required Deductions</w:t>
      </w:r>
      <w:r>
        <w:rPr>
          <w:rFonts w:ascii="Times New Roman" w:cs="Times New Roman" w:eastAsia="Times New Roman" w:hAnsi="Times New Roman"/>
          <w:sz w:val="19"/>
          <w:szCs w:val="19"/>
          <w:color w:val="auto"/>
        </w:rPr>
        <w:t>. All payments and, if applicable, benefits made pursuant to this Agreement will be subject to all applicable taxes, withholding of taxes, and any other required deductions.</w:t>
      </w:r>
    </w:p>
    <w:p>
      <w:pPr>
        <w:spacing w:after="0" w:line="116" w:lineRule="exact"/>
        <w:rPr>
          <w:rFonts w:ascii="Times New Roman" w:cs="Times New Roman" w:eastAsia="Times New Roman" w:hAnsi="Times New Roman"/>
          <w:sz w:val="19"/>
          <w:szCs w:val="19"/>
          <w:color w:val="auto"/>
        </w:rPr>
      </w:pPr>
    </w:p>
    <w:p>
      <w:pPr>
        <w:ind w:left="100" w:right="120" w:firstLine="1274"/>
        <w:spacing w:after="0" w:line="300" w:lineRule="auto"/>
        <w:tabs>
          <w:tab w:leader="none" w:pos="182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1"/>
          <w:szCs w:val="21"/>
          <w:color w:val="auto"/>
        </w:rPr>
        <w:t>15</w:t>
      </w:r>
    </w:p>
    <w:p>
      <w:pPr>
        <w:sectPr>
          <w:pgSz w:w="11900" w:h="16838" w:orient="portrait"/>
          <w:cols w:equalWidth="0" w:num="1">
            <w:col w:w="10760"/>
          </w:cols>
          <w:pgMar w:left="400" w:top="1440" w:right="739" w:bottom="1440" w:gutter="0" w:footer="0" w:header="0"/>
        </w:sectPr>
      </w:pPr>
    </w:p>
    <w:bookmarkStart w:id="177" w:name="page178"/>
    <w:bookmarkEnd w:id="177"/>
    <w:p>
      <w:pPr>
        <w:spacing w:after="0" w:line="256"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3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BEYOND MEAT, INC.</w:t>
      </w:r>
    </w:p>
    <w:p>
      <w:pPr>
        <w:spacing w:after="0" w:line="183" w:lineRule="exact"/>
        <w:rPr>
          <w:sz w:val="20"/>
          <w:szCs w:val="20"/>
          <w:color w:val="auto"/>
        </w:rPr>
      </w:pPr>
    </w:p>
    <w:p>
      <w:pPr>
        <w:ind w:left="4460"/>
        <w:spacing w:after="0"/>
        <w:tabs>
          <w:tab w:leader="none" w:pos="4920" w:val="left"/>
          <w:tab w:leader="none" w:pos="6360" w:val="left"/>
        </w:tabs>
        <w:rPr>
          <w:sz w:val="20"/>
          <w:szCs w:val="20"/>
          <w:color w:val="auto"/>
        </w:rPr>
      </w:pPr>
      <w:r>
        <w:rPr>
          <w:rFonts w:ascii="Times New Roman" w:cs="Times New Roman" w:eastAsia="Times New Roman" w:hAnsi="Times New Roman"/>
          <w:sz w:val="19"/>
          <w:szCs w:val="19"/>
          <w:color w:val="auto"/>
        </w:rPr>
        <w:t>By:</w:t>
        <w:tab/>
        <w:t>/s/ Jackie Trask</w:t>
        <w:tab/>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-5715</wp:posOffset>
            </wp:positionV>
            <wp:extent cx="10090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7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Jackie Trask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-5715</wp:posOffset>
            </wp:positionV>
            <wp:extent cx="769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7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Title: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-5715</wp:posOffset>
            </wp:positionV>
            <wp:extent cx="11480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1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Date: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-5715</wp:posOffset>
            </wp:positionV>
            <wp:extent cx="9385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8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Akerho "AK" Oghoghomeh</w:t>
      </w:r>
    </w:p>
    <w:p>
      <w:pPr>
        <w:spacing w:after="0" w:line="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/s/ Akerho "AK" Oghoghomeh</w:t>
      </w:r>
    </w:p>
    <w:p>
      <w:pPr>
        <w:spacing w:after="0" w:line="1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Date: January 5th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-5715</wp:posOffset>
            </wp:positionV>
            <wp:extent cx="12706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ectPr>
          <w:pgSz w:w="11900" w:h="16838" w:orient="portrait"/>
          <w:cols w:equalWidth="0" w:num="1">
            <w:col w:w="10840"/>
          </w:cols>
          <w:pgMar w:left="500" w:top="1283" w:right="55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9"/>
          <w:szCs w:val="19"/>
          <w:b w:val="1"/>
          <w:bCs w:val="1"/>
          <w:color w:val="auto"/>
        </w:rPr>
        <w:t>Exhibit 10.35</w:t>
      </w:r>
    </w:p>
    <w:p>
      <w:pPr>
        <w:spacing w:after="0" w:line="219" w:lineRule="exact"/>
        <w:rPr>
          <w:sz w:val="20"/>
          <w:szCs w:val="20"/>
          <w:color w:val="auto"/>
        </w:rPr>
      </w:pPr>
    </w:p>
    <w:p>
      <w:pPr>
        <w:jc w:val="center"/>
        <w:ind w:right="160"/>
        <w:spacing w:after="0" w:line="246" w:lineRule="auto"/>
        <w:rPr>
          <w:sz w:val="20"/>
          <w:szCs w:val="20"/>
          <w:color w:val="auto"/>
        </w:rPr>
      </w:pPr>
      <w:r>
        <w:rPr>
          <w:rFonts w:ascii="Times New Roman" w:cs="Times New Roman" w:eastAsia="Times New Roman" w:hAnsi="Times New Roman"/>
          <w:sz w:val="19"/>
          <w:szCs w:val="19"/>
          <w:b w:val="1"/>
          <w:bCs w:val="1"/>
          <w:color w:val="auto"/>
        </w:rPr>
        <w:t>***[ADDRESS] INDICATES THE PORTION OF THIS EXHIBIT THAT HAS BEEN OMITTED BECAUSE IT IS BOTH (i) NOT MATERIAL AND (ii) THE TYPE OF INFORMATION COMPANY TREATS AS PRIVATE OR CONFIDENTIAL</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[logo]</w:t>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808080"/>
        </w:rPr>
        <w:t>119 Standard St.</w:t>
      </w:r>
    </w:p>
    <w:p>
      <w:pPr>
        <w:spacing w:after="0" w:line="1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808080"/>
        </w:rPr>
        <w:t xml:space="preserve">El Segundo, CA 90245 </w:t>
      </w:r>
      <w:r>
        <w:rPr>
          <w:rFonts w:ascii="Times New Roman" w:cs="Times New Roman" w:eastAsia="Times New Roman" w:hAnsi="Times New Roman"/>
          <w:sz w:val="21"/>
          <w:szCs w:val="21"/>
          <w:color w:val="000000"/>
        </w:rPr>
        <w:t>May 5, 2021</w:t>
      </w:r>
    </w:p>
    <w:p>
      <w:pPr>
        <w:spacing w:after="0" w:line="1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Jonathan Nelson</w:t>
      </w:r>
    </w:p>
    <w:p>
      <w:pPr>
        <w:spacing w:after="0" w:line="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[Address]</w:t>
      </w:r>
    </w:p>
    <w:p>
      <w:pPr>
        <w:spacing w:after="0" w:line="3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Dear Jonathan,</w:t>
      </w:r>
    </w:p>
    <w:p>
      <w:pPr>
        <w:spacing w:after="0" w:line="103" w:lineRule="exact"/>
        <w:rPr>
          <w:sz w:val="20"/>
          <w:szCs w:val="20"/>
          <w:color w:val="auto"/>
        </w:rPr>
      </w:pPr>
    </w:p>
    <w:p>
      <w:pPr>
        <w:ind w:left="780" w:right="2480" w:firstLine="636"/>
        <w:spacing w:after="0" w:line="245" w:lineRule="auto"/>
        <w:rPr>
          <w:sz w:val="20"/>
          <w:szCs w:val="20"/>
          <w:color w:val="auto"/>
        </w:rPr>
      </w:pPr>
      <w:r>
        <w:rPr>
          <w:rFonts w:ascii="Times New Roman" w:cs="Times New Roman" w:eastAsia="Times New Roman" w:hAnsi="Times New Roman"/>
          <w:sz w:val="21"/>
          <w:szCs w:val="21"/>
          <w:color w:val="auto"/>
        </w:rPr>
        <w:t>Beyond Meat,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pleased to offer you employment with the Company on the terms described below.</w:t>
      </w:r>
    </w:p>
    <w:p>
      <w:pPr>
        <w:spacing w:after="0" w:line="139" w:lineRule="exact"/>
        <w:rPr>
          <w:sz w:val="20"/>
          <w:szCs w:val="20"/>
          <w:color w:val="auto"/>
        </w:rPr>
      </w:pPr>
    </w:p>
    <w:p>
      <w:pPr>
        <w:ind w:left="780" w:right="1460" w:firstLine="637"/>
        <w:spacing w:after="0" w:line="219" w:lineRule="auto"/>
        <w:tabs>
          <w:tab w:leader="none" w:pos="174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start in a full-time, exempt position as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Vice President, NA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 xml:space="preserve">Manufacturing Operations </w:t>
      </w:r>
      <w:r>
        <w:rPr>
          <w:rFonts w:ascii="Times New Roman" w:cs="Times New Roman" w:eastAsia="Times New Roman" w:hAnsi="Times New Roman"/>
          <w:sz w:val="21"/>
          <w:szCs w:val="21"/>
          <w:color w:val="auto"/>
        </w:rPr>
        <w:t>and you will report to Sanjay Shah, the Company’s Chief Officer 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 will be based from your home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making</w:t>
      </w:r>
    </w:p>
    <w:p>
      <w:pPr>
        <w:spacing w:after="0" w:line="2" w:lineRule="exact"/>
        <w:rPr>
          <w:rFonts w:ascii="Times New Roman" w:cs="Times New Roman" w:eastAsia="Times New Roman" w:hAnsi="Times New Roman"/>
          <w:sz w:val="21"/>
          <w:szCs w:val="21"/>
          <w:color w:val="auto"/>
        </w:rPr>
      </w:pPr>
    </w:p>
    <w:p>
      <w:pPr>
        <w:ind w:left="780" w:right="100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 trips to the Company’s plants in Columbia, MS and Devault, PA and headquarters in El Segundo, CA. All business travel and approved expenses will be paid by the Company according to policies and practices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By signing this letter, you confirm with the Company that you are under no contractual or other legal obligations that would prohibit you from performing your duties with the Company.</w:t>
      </w:r>
    </w:p>
    <w:p>
      <w:pPr>
        <w:spacing w:after="0" w:line="146" w:lineRule="exact"/>
        <w:rPr>
          <w:rFonts w:ascii="Times New Roman" w:cs="Times New Roman" w:eastAsia="Times New Roman" w:hAnsi="Times New Roman"/>
          <w:sz w:val="21"/>
          <w:szCs w:val="21"/>
          <w:color w:val="auto"/>
        </w:rPr>
      </w:pPr>
    </w:p>
    <w:p>
      <w:pPr>
        <w:ind w:left="780" w:right="1300" w:firstLine="637"/>
        <w:spacing w:after="0" w:line="219" w:lineRule="auto"/>
        <w:tabs>
          <w:tab w:leader="none" w:pos="174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TriNet HR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benefits, payroll, and other human resource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services are provided through TriNet HR Corporation, a professional employer organization. As a result of the Company’s arrangement with TriNet, TriNet will be</w:t>
      </w:r>
    </w:p>
    <w:p>
      <w:pPr>
        <w:spacing w:after="0" w:line="2" w:lineRule="exact"/>
        <w:rPr>
          <w:rFonts w:ascii="Times New Roman" w:cs="Times New Roman" w:eastAsia="Times New Roman" w:hAnsi="Times New Roman"/>
          <w:sz w:val="21"/>
          <w:szCs w:val="21"/>
          <w:color w:val="auto"/>
        </w:rPr>
      </w:pPr>
    </w:p>
    <w:p>
      <w:pPr>
        <w:jc w:val="both"/>
        <w:ind w:left="780" w:right="1120"/>
        <w:spacing w:after="0" w:line="2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considered your employer of record for these purposes and your managers at the Company will be responsible for directing your work, reviewing your performance, setting your schedule, and otherwise directing your work at the Company.</w:t>
      </w:r>
    </w:p>
    <w:p>
      <w:pPr>
        <w:spacing w:after="0" w:line="143" w:lineRule="exact"/>
        <w:rPr>
          <w:rFonts w:ascii="Times New Roman" w:cs="Times New Roman" w:eastAsia="Times New Roman" w:hAnsi="Times New Roman"/>
          <w:sz w:val="21"/>
          <w:szCs w:val="21"/>
          <w:color w:val="auto"/>
        </w:rPr>
      </w:pPr>
    </w:p>
    <w:p>
      <w:pPr>
        <w:ind w:left="2060" w:hanging="642"/>
        <w:spacing w:after="0"/>
        <w:tabs>
          <w:tab w:leader="none" w:pos="206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and Employee Benefits</w:t>
      </w:r>
      <w:r>
        <w:rPr>
          <w:rFonts w:ascii="Times New Roman" w:cs="Times New Roman" w:eastAsia="Times New Roman" w:hAnsi="Times New Roman"/>
          <w:sz w:val="21"/>
          <w:szCs w:val="21"/>
          <w:b w:val="1"/>
          <w:bCs w:val="1"/>
          <w:color w:val="auto"/>
        </w:rPr>
        <w:t>.</w:t>
      </w:r>
    </w:p>
    <w:p>
      <w:pPr>
        <w:spacing w:after="0" w:line="186" w:lineRule="exact"/>
        <w:rPr>
          <w:rFonts w:ascii="Times New Roman" w:cs="Times New Roman" w:eastAsia="Times New Roman" w:hAnsi="Times New Roman"/>
          <w:sz w:val="21"/>
          <w:szCs w:val="21"/>
          <w:color w:val="auto"/>
        </w:rPr>
      </w:pPr>
    </w:p>
    <w:p>
      <w:pPr>
        <w:ind w:left="1420" w:right="1100" w:hanging="320"/>
        <w:spacing w:after="0" w:line="245" w:lineRule="auto"/>
        <w:tabs>
          <w:tab w:leader="none" w:pos="141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Your initial base salary will be $275,000 per year, and you will be eligible for a salary review in 2022. Your base salary will be payable on the Company’s regular payroll dates.</w:t>
      </w:r>
    </w:p>
    <w:p>
      <w:pPr>
        <w:spacing w:after="0" w:line="169" w:lineRule="exact"/>
        <w:rPr>
          <w:rFonts w:ascii="Times New Roman" w:cs="Times New Roman" w:eastAsia="Times New Roman" w:hAnsi="Times New Roman"/>
          <w:sz w:val="21"/>
          <w:szCs w:val="21"/>
          <w:color w:val="auto"/>
        </w:rPr>
      </w:pPr>
    </w:p>
    <w:p>
      <w:pPr>
        <w:ind w:left="1420" w:right="1140" w:hanging="320"/>
        <w:spacing w:after="0" w:line="218" w:lineRule="auto"/>
        <w:tabs>
          <w:tab w:leader="none" w:pos="141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You will be eligible to participate in the Company’s Executive Incentive Bonus Plan, with the target amount of your bonus for the 2021 calendar year equal to 30% of your base salary, pro-rated based on the Commencement Date. The</w:t>
      </w:r>
    </w:p>
    <w:p>
      <w:pPr>
        <w:spacing w:after="0" w:line="1" w:lineRule="exact"/>
        <w:rPr>
          <w:rFonts w:ascii="Times New Roman" w:cs="Times New Roman" w:eastAsia="Times New Roman" w:hAnsi="Times New Roman"/>
          <w:sz w:val="21"/>
          <w:szCs w:val="21"/>
          <w:color w:val="auto"/>
        </w:rPr>
      </w:pPr>
    </w:p>
    <w:p>
      <w:pPr>
        <w:ind w:left="1420" w:right="116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Committee of the Company’s Board of Directors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will determine in its sole and absolute discretion whether you have earned a bonus for each calendar year, including whether any applicable performance objectives have been met and the amount of the bonus.</w:t>
      </w:r>
    </w:p>
    <w:p>
      <w:pPr>
        <w:sectPr>
          <w:pgSz w:w="11900" w:h="16838" w:orient="portrait"/>
          <w:cols w:equalWidth="0" w:num="1">
            <w:col w:w="11080"/>
          </w:cols>
          <w:pgMar w:left="480" w:top="1440"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right="80" w:hanging="320"/>
        <w:spacing w:after="0" w:line="219" w:lineRule="auto"/>
        <w:tabs>
          <w:tab w:leader="none" w:pos="4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Sign-On Cash Bonus</w:t>
      </w:r>
      <w:r>
        <w:rPr>
          <w:rFonts w:ascii="Times New Roman" w:cs="Times New Roman" w:eastAsia="Times New Roman" w:hAnsi="Times New Roman"/>
          <w:sz w:val="21"/>
          <w:szCs w:val="21"/>
          <w:color w:val="auto"/>
        </w:rPr>
        <w:t xml:space="preserve">. The Company will pay you a bonus equal to </w:t>
      </w:r>
      <w:r>
        <w:rPr>
          <w:rFonts w:ascii="Times New Roman" w:cs="Times New Roman" w:eastAsia="Times New Roman" w:hAnsi="Times New Roman"/>
          <w:sz w:val="21"/>
          <w:szCs w:val="21"/>
          <w:b w:val="1"/>
          <w:bCs w:val="1"/>
          <w:color w:val="auto"/>
        </w:rPr>
        <w:t>$10,000</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Sign- On Bonus</w:t>
      </w:r>
      <w:r>
        <w:rPr>
          <w:rFonts w:ascii="Times New Roman" w:cs="Times New Roman" w:eastAsia="Times New Roman" w:hAnsi="Times New Roman"/>
          <w:sz w:val="21"/>
          <w:szCs w:val="21"/>
          <w:color w:val="auto"/>
        </w:rPr>
        <w:t>”) within 30 days of the date of you commence employment with the Company (the “</w:t>
      </w:r>
      <w:r>
        <w:rPr>
          <w:rFonts w:ascii="Times New Roman" w:cs="Times New Roman" w:eastAsia="Times New Roman" w:hAnsi="Times New Roman"/>
          <w:sz w:val="21"/>
          <w:szCs w:val="21"/>
          <w:u w:val="single" w:color="auto"/>
          <w:color w:val="auto"/>
        </w:rPr>
        <w:t>Commencement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subject to your continued employment through the payment date. You will earn, and be permitted to retain, the full amount of the Sign-On Bonus if you remain employed by the Company through the 1-year anniversary of the Commencement Date. By signing below, you acknowledge and agree that, if before such 1-year anniversary date, you terminate employment with the Company for any reason, you will be required to immediately re-pay the full amount of the Sign-On Bonus no later than 30 days following the last day of your employment with the Company.</w:t>
      </w:r>
    </w:p>
    <w:p>
      <w:pPr>
        <w:spacing w:after="0" w:line="175" w:lineRule="exact"/>
        <w:rPr>
          <w:rFonts w:ascii="Times New Roman" w:cs="Times New Roman" w:eastAsia="Times New Roman" w:hAnsi="Times New Roman"/>
          <w:sz w:val="21"/>
          <w:szCs w:val="21"/>
          <w:color w:val="auto"/>
        </w:rPr>
      </w:pPr>
    </w:p>
    <w:p>
      <w:pPr>
        <w:ind w:left="460" w:right="240" w:hanging="320"/>
        <w:spacing w:after="0" w:line="245" w:lineRule="auto"/>
        <w:tabs>
          <w:tab w:leader="none" w:pos="45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Like other Company executives, you will be eligible for severance pursuant to the terms of the enclosed Executive Change in Control Severance Agreement.</w:t>
      </w:r>
    </w:p>
    <w:p>
      <w:pPr>
        <w:spacing w:after="0" w:line="169" w:lineRule="exact"/>
        <w:rPr>
          <w:rFonts w:ascii="Times New Roman" w:cs="Times New Roman" w:eastAsia="Times New Roman" w:hAnsi="Times New Roman"/>
          <w:sz w:val="21"/>
          <w:szCs w:val="21"/>
          <w:color w:val="auto"/>
        </w:rPr>
      </w:pPr>
    </w:p>
    <w:p>
      <w:pPr>
        <w:ind w:left="460" w:right="180" w:hanging="320"/>
        <w:spacing w:after="0" w:line="232" w:lineRule="auto"/>
        <w:tabs>
          <w:tab w:leader="none" w:pos="4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As a regular employee of the Company you will be eligible to participate in a number of Company-sponsored benefits, which are described in the employee benefit summary enclosed with this letter. In addition to Company holidays, you will be entitled to 20 days of Paid Time-Off (PTO).</w:t>
      </w:r>
    </w:p>
    <w:p>
      <w:pPr>
        <w:spacing w:after="0" w:line="174" w:lineRule="exact"/>
        <w:rPr>
          <w:rFonts w:ascii="Times New Roman" w:cs="Times New Roman" w:eastAsia="Times New Roman" w:hAnsi="Times New Roman"/>
          <w:sz w:val="21"/>
          <w:szCs w:val="21"/>
          <w:color w:val="auto"/>
        </w:rPr>
      </w:pPr>
    </w:p>
    <w:p>
      <w:pPr>
        <w:ind w:left="460" w:right="640" w:hanging="320"/>
        <w:spacing w:after="0" w:line="245" w:lineRule="auto"/>
        <w:tabs>
          <w:tab w:leader="none" w:pos="45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Review</w:t>
      </w:r>
      <w:r>
        <w:rPr>
          <w:rFonts w:ascii="Times New Roman" w:cs="Times New Roman" w:eastAsia="Times New Roman" w:hAnsi="Times New Roman"/>
          <w:sz w:val="21"/>
          <w:szCs w:val="21"/>
          <w:color w:val="auto"/>
        </w:rPr>
        <w:t>. The Compensation Committee will review your compensation, along with the compensation provided to the Company’s other executives, at least annually.</w:t>
      </w:r>
    </w:p>
    <w:p>
      <w:pPr>
        <w:spacing w:after="0" w:line="165" w:lineRule="exact"/>
        <w:rPr>
          <w:rFonts w:ascii="Times New Roman" w:cs="Times New Roman" w:eastAsia="Times New Roman" w:hAnsi="Times New Roman"/>
          <w:sz w:val="21"/>
          <w:szCs w:val="21"/>
          <w:color w:val="auto"/>
        </w:rPr>
      </w:pPr>
    </w:p>
    <w:p>
      <w:pPr>
        <w:ind w:left="-180" w:right="140" w:firstLine="637"/>
        <w:spacing w:after="0" w:line="233" w:lineRule="auto"/>
        <w:tabs>
          <w:tab w:leader="none" w:pos="786"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Background Check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Like all Company employees, your employment is subject to a background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check. As a condition of your employment with the Company, you are required to sign the Company’s enclosed background check consent form.</w:t>
      </w:r>
    </w:p>
    <w:p>
      <w:pPr>
        <w:spacing w:after="0" w:line="144" w:lineRule="exact"/>
        <w:rPr>
          <w:rFonts w:ascii="Times New Roman" w:cs="Times New Roman" w:eastAsia="Times New Roman" w:hAnsi="Times New Roman"/>
          <w:sz w:val="21"/>
          <w:szCs w:val="21"/>
          <w:color w:val="auto"/>
        </w:rPr>
      </w:pPr>
    </w:p>
    <w:p>
      <w:pPr>
        <w:ind w:left="-180" w:firstLine="637"/>
        <w:spacing w:after="0" w:line="216" w:lineRule="auto"/>
        <w:tabs>
          <w:tab w:leader="none" w:pos="786"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Stock Grants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212121"/>
        </w:rPr>
        <w:t>Subject to the approval of the Compensation Committee and, as applicable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212121"/>
        </w:rPr>
        <w:t>satisfaction of the requirements set forth below, you will be granted: (a) options (“</w:t>
      </w:r>
      <w:r>
        <w:rPr>
          <w:rFonts w:ascii="Times New Roman" w:cs="Times New Roman" w:eastAsia="Times New Roman" w:hAnsi="Times New Roman"/>
          <w:sz w:val="21"/>
          <w:szCs w:val="21"/>
          <w:u w:val="single" w:color="auto"/>
          <w:color w:val="212121"/>
        </w:rPr>
        <w:t>Option</w:t>
      </w:r>
      <w:r>
        <w:rPr>
          <w:rFonts w:ascii="Times New Roman" w:cs="Times New Roman" w:eastAsia="Times New Roman" w:hAnsi="Times New Roman"/>
          <w:sz w:val="21"/>
          <w:szCs w:val="21"/>
          <w:color w:val="212121"/>
        </w:rPr>
        <w:t>”) to purchase shares of the Company’s common stock (“</w:t>
      </w:r>
      <w:r>
        <w:rPr>
          <w:rFonts w:ascii="Times New Roman" w:cs="Times New Roman" w:eastAsia="Times New Roman" w:hAnsi="Times New Roman"/>
          <w:sz w:val="21"/>
          <w:szCs w:val="21"/>
          <w:u w:val="single" w:color="auto"/>
          <w:color w:val="212121"/>
        </w:rPr>
        <w:t>Common Stock</w:t>
      </w:r>
      <w:r>
        <w:rPr>
          <w:rFonts w:ascii="Times New Roman" w:cs="Times New Roman" w:eastAsia="Times New Roman" w:hAnsi="Times New Roman"/>
          <w:sz w:val="21"/>
          <w:szCs w:val="21"/>
          <w:color w:val="212121"/>
        </w:rPr>
        <w:t>”), and (b) awards of restricted stock units (“</w:t>
      </w:r>
      <w:r>
        <w:rPr>
          <w:rFonts w:ascii="Times New Roman" w:cs="Times New Roman" w:eastAsia="Times New Roman" w:hAnsi="Times New Roman"/>
          <w:sz w:val="21"/>
          <w:szCs w:val="21"/>
          <w:u w:val="single" w:color="auto"/>
          <w:color w:val="212121"/>
        </w:rPr>
        <w:t>RSUs</w:t>
      </w:r>
      <w:r>
        <w:rPr>
          <w:rFonts w:ascii="Times New Roman" w:cs="Times New Roman" w:eastAsia="Times New Roman" w:hAnsi="Times New Roman"/>
          <w:sz w:val="21"/>
          <w:szCs w:val="21"/>
          <w:color w:val="212121"/>
        </w:rPr>
        <w:t>”), under the Company’s 2018 Equity Incentive Plan (as such plan may be amended and restated from time to time, the “</w:t>
      </w:r>
      <w:r>
        <w:rPr>
          <w:rFonts w:ascii="Times New Roman" w:cs="Times New Roman" w:eastAsia="Times New Roman" w:hAnsi="Times New Roman"/>
          <w:sz w:val="21"/>
          <w:szCs w:val="21"/>
          <w:u w:val="single" w:color="auto"/>
          <w:color w:val="212121"/>
        </w:rPr>
        <w:t>Plan</w:t>
      </w:r>
      <w:r>
        <w:rPr>
          <w:rFonts w:ascii="Times New Roman" w:cs="Times New Roman" w:eastAsia="Times New Roman" w:hAnsi="Times New Roman"/>
          <w:sz w:val="21"/>
          <w:szCs w:val="21"/>
          <w:color w:val="212121"/>
        </w:rPr>
        <w:t>”), as set forth in more detail below. For each Option, the number of shares of Common Stock subject to the Option will be determined by dividing the dollar value of the Option award by the Average Closing Price (as defined below), multiplying the resultant total by two (2), and rounding up to the nearest whole number of shares of Common Stock. For each RSU award, the number of shares to be granted will be determined by dividing the dollar value of the RSU award by the Average Closing Price and rounding up to the nearest whole number of shares. The Average Closing Price shall be calculated based on the average of the closing prices of Common Stock as reported on the NASDAQ Global Select Market for the period of 10 consecutive trading days ending on (and including) the last trading day prior to the date of grant.</w:t>
      </w:r>
    </w:p>
    <w:p>
      <w:pPr>
        <w:sectPr>
          <w:pgSz w:w="11900" w:h="16838" w:orient="portrait"/>
          <w:cols w:equalWidth="0" w:num="1">
            <w:col w:w="9140"/>
          </w:cols>
          <w:pgMar w:left="1440" w:top="1440" w:right="131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hanging="320"/>
        <w:spacing w:after="0"/>
        <w:tabs>
          <w:tab w:leader="none" w:pos="4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Equity Awards</w:t>
      </w:r>
      <w:r>
        <w:rPr>
          <w:rFonts w:ascii="Times New Roman" w:cs="Times New Roman" w:eastAsia="Times New Roman" w:hAnsi="Times New Roman"/>
          <w:sz w:val="21"/>
          <w:szCs w:val="21"/>
          <w:color w:val="auto"/>
        </w:rPr>
        <w:t>. If approved, the initial Option and RSUs set forth in subsections 5(a)(i) and</w:t>
      </w:r>
    </w:p>
    <w:p>
      <w:pPr>
        <w:ind w:left="460" w:right="760" w:hanging="2"/>
        <w:spacing w:after="0" w:line="231" w:lineRule="auto"/>
        <w:tabs>
          <w:tab w:leader="none" w:pos="772"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will be granted at the next regular Compensation Committee meeting following the Commencement Date.</w:t>
      </w:r>
    </w:p>
    <w:p>
      <w:pPr>
        <w:spacing w:after="0" w:line="173" w:lineRule="exact"/>
        <w:rPr>
          <w:rFonts w:ascii="Times New Roman" w:cs="Times New Roman" w:eastAsia="Times New Roman" w:hAnsi="Times New Roman"/>
          <w:sz w:val="21"/>
          <w:szCs w:val="21"/>
          <w:color w:val="auto"/>
        </w:rPr>
      </w:pPr>
    </w:p>
    <w:p>
      <w:pPr>
        <w:ind w:left="1100" w:hanging="437"/>
        <w:spacing w:after="0" w:line="217" w:lineRule="auto"/>
        <w:tabs>
          <w:tab w:leader="none" w:pos="1099" w:val="left"/>
        </w:tabs>
        <w:numPr>
          <w:ilvl w:val="3"/>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In accordance with the methodology above, you will be eligible to be granted an initial Option to purchase Common Stock valued at $300,000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Commencement Date and 1/48th of the total number of shares subject to the Option will vest and become exercisable in monthly installments thereafter, subject to your continuous service through each vesting date, as described in the applicable stock option agreement.</w:t>
      </w:r>
    </w:p>
    <w:p>
      <w:pPr>
        <w:spacing w:after="0" w:line="175" w:lineRule="exact"/>
        <w:rPr>
          <w:rFonts w:ascii="Times New Roman" w:cs="Times New Roman" w:eastAsia="Times New Roman" w:hAnsi="Times New Roman"/>
          <w:sz w:val="21"/>
          <w:szCs w:val="21"/>
          <w:color w:val="auto"/>
        </w:rPr>
      </w:pPr>
    </w:p>
    <w:p>
      <w:pPr>
        <w:ind w:left="1100" w:hanging="496"/>
        <w:spacing w:after="0" w:line="219" w:lineRule="auto"/>
        <w:tabs>
          <w:tab w:leader="none" w:pos="1099" w:val="left"/>
        </w:tabs>
        <w:numPr>
          <w:ilvl w:val="3"/>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In accordance with the methodology above, you will be eligible to be granted an initial award of RSUs valued at $300,000, subject to the terms and conditions of the Plan and the applicable RSU agreement. Generally, the RSUs will vest and become non-forfeitable as follows: 25% of the RSUs will vest on the 12-month anniversary of the Commencement Date and 1/16th of the RSUs will vest in quarterly installments thereafter, subject to applicable taxes and withholdings, and subject to your continuous service through each vesting date, as described in the applicable RSU agreement.</w:t>
      </w:r>
    </w:p>
    <w:p>
      <w:pPr>
        <w:spacing w:after="0" w:line="202" w:lineRule="exact"/>
        <w:rPr>
          <w:rFonts w:ascii="Times New Roman" w:cs="Times New Roman" w:eastAsia="Times New Roman" w:hAnsi="Times New Roman"/>
          <w:sz w:val="21"/>
          <w:szCs w:val="21"/>
          <w:color w:val="auto"/>
        </w:rPr>
      </w:pPr>
    </w:p>
    <w:p>
      <w:pPr>
        <w:jc w:val="both"/>
        <w:ind w:left="-180" w:right="940" w:firstLine="637"/>
        <w:spacing w:after="0" w:line="233" w:lineRule="auto"/>
        <w:tabs>
          <w:tab w:leader="none" w:pos="78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 Information and Invention Assignment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Like all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employees, you will be required, as a condition of your employment with the Company, to sign the Company’s enclosed standard Confidential Information and Invention Assignment Agreement.</w:t>
      </w:r>
    </w:p>
    <w:p>
      <w:pPr>
        <w:spacing w:after="0" w:line="144" w:lineRule="exact"/>
        <w:rPr>
          <w:rFonts w:ascii="Times New Roman" w:cs="Times New Roman" w:eastAsia="Times New Roman" w:hAnsi="Times New Roman"/>
          <w:sz w:val="21"/>
          <w:szCs w:val="21"/>
          <w:color w:val="auto"/>
        </w:rPr>
      </w:pPr>
    </w:p>
    <w:p>
      <w:pPr>
        <w:ind w:left="-180" w:right="20" w:firstLine="637"/>
        <w:spacing w:after="0" w:line="219" w:lineRule="auto"/>
        <w:tabs>
          <w:tab w:leader="none" w:pos="78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 Relationship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the Company is for no specific period of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45" w:lineRule="exact"/>
        <w:rPr>
          <w:rFonts w:ascii="Times New Roman" w:cs="Times New Roman" w:eastAsia="Times New Roman" w:hAnsi="Times New Roman"/>
          <w:sz w:val="21"/>
          <w:szCs w:val="21"/>
          <w:color w:val="auto"/>
        </w:rPr>
      </w:pPr>
    </w:p>
    <w:p>
      <w:pPr>
        <w:ind w:left="-180" w:right="660" w:firstLine="637"/>
        <w:spacing w:after="0" w:line="249" w:lineRule="auto"/>
        <w:tabs>
          <w:tab w:leader="none" w:pos="78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Outside Activities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While you render services to the Company, you agree that you will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engage in any other employment, consulting or other business activity without the</w:t>
      </w:r>
    </w:p>
    <w:p>
      <w:pPr>
        <w:sectPr>
          <w:pgSz w:w="11900" w:h="16838" w:orient="portrait"/>
          <w:cols w:equalWidth="0" w:num="1">
            <w:col w:w="9160"/>
          </w:cols>
          <w:pgMar w:left="1440" w:top="1440" w:right="129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1"/>
          <w:szCs w:val="21"/>
          <w:color w:val="auto"/>
        </w:rPr>
        <w:t>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4" w:lineRule="exact"/>
        <w:rPr>
          <w:sz w:val="20"/>
          <w:szCs w:val="20"/>
          <w:color w:val="auto"/>
        </w:rPr>
      </w:pPr>
    </w:p>
    <w:p>
      <w:pPr>
        <w:jc w:val="both"/>
        <w:ind w:right="280" w:firstLine="637"/>
        <w:spacing w:after="0" w:line="249" w:lineRule="auto"/>
        <w:tabs>
          <w:tab w:leader="none" w:pos="96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Taxes, Withholding and Required Deductions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forms of compensation referred to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letter are subject to all applicable taxes, withholding, and any other deductions required by applicable law.</w:t>
      </w:r>
    </w:p>
    <w:p>
      <w:pPr>
        <w:spacing w:after="0" w:line="134" w:lineRule="exact"/>
        <w:rPr>
          <w:rFonts w:ascii="Times New Roman" w:cs="Times New Roman" w:eastAsia="Times New Roman" w:hAnsi="Times New Roman"/>
          <w:sz w:val="21"/>
          <w:szCs w:val="21"/>
          <w:color w:val="auto"/>
        </w:rPr>
      </w:pPr>
    </w:p>
    <w:p>
      <w:pPr>
        <w:ind w:right="20" w:firstLine="637"/>
        <w:spacing w:after="0" w:line="249" w:lineRule="auto"/>
        <w:tabs>
          <w:tab w:leader="none" w:pos="96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letter supersedes and replaces any prior understandings or agreements,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whether oral, written or implied, between you and the Company regarding the matters described in this letter.</w:t>
      </w:r>
    </w:p>
    <w:p>
      <w:pPr>
        <w:spacing w:after="0" w:line="200" w:lineRule="exact"/>
        <w:rPr>
          <w:sz w:val="20"/>
          <w:szCs w:val="20"/>
          <w:color w:val="auto"/>
        </w:rPr>
      </w:pPr>
    </w:p>
    <w:p>
      <w:pPr>
        <w:spacing w:after="0" w:line="23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1"/>
          <w:szCs w:val="21"/>
          <w:color w:val="auto"/>
        </w:rPr>
        <w:t>If you wish to accept this offer, please sign, date and return this letter to the Company, along with the enclosed Executive Change in Control Severance Agreement and Confidential Information and Invention Assignment Agreement, on or before June 1, 2021. As required, by law, your employment with the Company is also contingent upon your providing legal proof of your identity and authorization to work in the United States. We look forward to having you join us!</w:t>
      </w:r>
    </w:p>
    <w:p>
      <w:pPr>
        <w:spacing w:after="0" w:line="1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BEYOND MEAT, INC.</w:t>
      </w:r>
    </w:p>
    <w:p>
      <w:pPr>
        <w:spacing w:after="0" w:line="171" w:lineRule="exact"/>
        <w:rPr>
          <w:sz w:val="20"/>
          <w:szCs w:val="20"/>
          <w:color w:val="auto"/>
        </w:rPr>
      </w:pPr>
    </w:p>
    <w:tbl>
      <w:tblPr>
        <w:tblLayout w:type="fixed"/>
        <w:tblInd w:w="4460" w:type="dxa"/>
        <w:tblCellMar>
          <w:top w:w="0" w:type="dxa"/>
          <w:left w:w="0" w:type="dxa"/>
          <w:bottom w:w="0" w:type="dxa"/>
          <w:right w:w="0" w:type="dxa"/>
        </w:tblCellMar>
      </w:tblPr>
      <w:tr>
        <w:trPr>
          <w:trHeight w:val="241"/>
        </w:trPr>
        <w:tc>
          <w:tcPr>
            <w:tcW w:w="18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Jackie Trask</w:t>
            </w:r>
          </w:p>
        </w:tc>
        <w:tc>
          <w:tcPr>
            <w:tcW w:w="16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(Signature)</w:t>
            </w:r>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23"/>
        </w:trPr>
        <w:tc>
          <w:tcPr>
            <w:tcW w:w="18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Name: Jackie Trask</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Title:  Chief People</w:t>
            </w:r>
          </w:p>
        </w:tc>
      </w:tr>
      <w:tr>
        <w:trPr>
          <w:trHeight w:val="430"/>
        </w:trPr>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8"/>
              </w:rPr>
              <w:t>Officer</w:t>
            </w: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rPr>
          <w:sz w:val="20"/>
          <w:szCs w:val="20"/>
          <w:color w:val="auto"/>
        </w:rPr>
      </w:pPr>
      <w:r>
        <w:rPr>
          <w:rFonts w:ascii="Times New Roman" w:cs="Times New Roman" w:eastAsia="Times New Roman" w:hAnsi="Times New Roman"/>
          <w:sz w:val="21"/>
          <w:szCs w:val="21"/>
          <w:color w:val="auto"/>
        </w:rPr>
        <w:t>Jonathan Nelson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Jonathan Nelson</w:t>
      </w:r>
    </w:p>
    <w:p>
      <w:pPr>
        <w:spacing w:after="0" w:line="3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 5/5/2021</w:t>
      </w:r>
    </w:p>
    <w:p>
      <w:pPr>
        <w:spacing w:after="0" w:line="1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Anticipated Start Date: May 31, 2021 (or earlier)</w:t>
      </w:r>
    </w:p>
    <w:p>
      <w:pPr>
        <w:sectPr>
          <w:pgSz w:w="11900" w:h="16838" w:orient="portrait"/>
          <w:cols w:equalWidth="0" w:num="1">
            <w:col w:w="9280"/>
          </w:cols>
          <w:pgMar w:left="1260" w:top="1440" w:right="1359" w:bottom="1440" w:gutter="0" w:footer="0" w:header="0"/>
        </w:sectPr>
      </w:pPr>
    </w:p>
    <w:bookmarkStart w:id="182" w:name="page183"/>
    <w:bookmarkEnd w:id="182"/>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BEYOND MEAT, INC.</w:t>
      </w:r>
    </w:p>
    <w:p>
      <w:pPr>
        <w:spacing w:after="0" w:line="86"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EXECUTIVE CHANGE IN CONTROL SEVERANCE AGREEMENT</w:t>
      </w:r>
    </w:p>
    <w:p>
      <w:pPr>
        <w:spacing w:after="0" w:line="86" w:lineRule="exact"/>
        <w:rPr>
          <w:sz w:val="20"/>
          <w:szCs w:val="20"/>
          <w:color w:val="auto"/>
        </w:rPr>
      </w:pPr>
    </w:p>
    <w:p>
      <w:pPr>
        <w:ind w:left="860" w:right="260" w:firstLine="635"/>
        <w:spacing w:after="0" w:line="264" w:lineRule="auto"/>
        <w:rPr>
          <w:sz w:val="20"/>
          <w:szCs w:val="20"/>
          <w:color w:val="auto"/>
        </w:rPr>
      </w:pPr>
      <w:r>
        <w:rPr>
          <w:rFonts w:ascii="Times New Roman" w:cs="Times New Roman" w:eastAsia="Times New Roman" w:hAnsi="Times New Roman"/>
          <w:sz w:val="19"/>
          <w:szCs w:val="19"/>
          <w:color w:val="auto"/>
        </w:rPr>
        <w:t>This Executive Change in Control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by and between Jonathan Nelson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Beyond Meat,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May 31, 2021 (the</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92" w:lineRule="exact"/>
        <w:rPr>
          <w:sz w:val="20"/>
          <w:szCs w:val="20"/>
          <w:color w:val="auto"/>
        </w:rPr>
      </w:pPr>
    </w:p>
    <w:p>
      <w:pPr>
        <w:jc w:val="both"/>
        <w:ind w:left="860" w:right="20" w:firstLine="637"/>
        <w:spacing w:after="0" w:line="234" w:lineRule="auto"/>
        <w:tabs>
          <w:tab w:leader="none" w:pos="182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desires to provide for the payment of certain benefits in connection with certain terminations of Executive’s employment with the Company that occur in connection with a Change in Control.</w:t>
      </w:r>
    </w:p>
    <w:p>
      <w:pPr>
        <w:spacing w:after="0" w:line="159" w:lineRule="exact"/>
        <w:rPr>
          <w:rFonts w:ascii="Times New Roman" w:cs="Times New Roman" w:eastAsia="Times New Roman" w:hAnsi="Times New Roman"/>
          <w:sz w:val="19"/>
          <w:szCs w:val="19"/>
          <w:color w:val="auto"/>
        </w:rPr>
      </w:pPr>
    </w:p>
    <w:p>
      <w:pPr>
        <w:ind w:left="2140" w:hanging="642"/>
        <w:spacing w:after="0"/>
        <w:tabs>
          <w:tab w:leader="none" w:pos="21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capitalized terms used in this Agreement are defined in Section 6 below.</w:t>
      </w:r>
    </w:p>
    <w:p>
      <w:pPr>
        <w:spacing w:after="0" w:line="200" w:lineRule="exact"/>
        <w:rPr>
          <w:sz w:val="20"/>
          <w:szCs w:val="20"/>
          <w:color w:val="auto"/>
        </w:rPr>
      </w:pPr>
    </w:p>
    <w:p>
      <w:pPr>
        <w:spacing w:after="0" w:line="346"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77" w:lineRule="exact"/>
        <w:rPr>
          <w:sz w:val="20"/>
          <w:szCs w:val="20"/>
          <w:color w:val="auto"/>
        </w:rPr>
      </w:pPr>
    </w:p>
    <w:p>
      <w:pPr>
        <w:ind w:left="860" w:right="340" w:firstLine="635"/>
        <w:spacing w:after="0" w:line="256" w:lineRule="auto"/>
        <w:rPr>
          <w:sz w:val="20"/>
          <w:szCs w:val="20"/>
          <w:color w:val="auto"/>
        </w:rPr>
      </w:pPr>
      <w:r>
        <w:rPr>
          <w:rFonts w:ascii="Times New Roman" w:cs="Times New Roman" w:eastAsia="Times New Roman" w:hAnsi="Times New Roman"/>
          <w:sz w:val="19"/>
          <w:szCs w:val="19"/>
          <w:color w:val="auto"/>
        </w:rPr>
        <w:t>NOW, THEREFORE, in consideration of the mutual covenants contained herein, the parties hereto agree as follows:</w:t>
      </w:r>
    </w:p>
    <w:p>
      <w:pPr>
        <w:spacing w:after="0" w:line="143" w:lineRule="exact"/>
        <w:rPr>
          <w:sz w:val="20"/>
          <w:szCs w:val="20"/>
          <w:color w:val="auto"/>
        </w:rPr>
      </w:pPr>
    </w:p>
    <w:p>
      <w:pPr>
        <w:ind w:left="860" w:right="800" w:firstLine="637"/>
        <w:spacing w:after="0" w:line="241" w:lineRule="auto"/>
        <w:tabs>
          <w:tab w:leader="none" w:pos="182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p>
    <w:p>
      <w:pPr>
        <w:spacing w:after="0" w:line="157" w:lineRule="exact"/>
        <w:rPr>
          <w:rFonts w:ascii="Times New Roman" w:cs="Times New Roman" w:eastAsia="Times New Roman" w:hAnsi="Times New Roman"/>
          <w:sz w:val="19"/>
          <w:szCs w:val="19"/>
          <w:color w:val="auto"/>
        </w:rPr>
      </w:pPr>
    </w:p>
    <w:p>
      <w:pPr>
        <w:ind w:left="860" w:right="140" w:firstLine="637"/>
        <w:spacing w:after="0" w:line="220" w:lineRule="auto"/>
        <w:tabs>
          <w:tab w:leader="none" w:pos="182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Upon Termination</w:t>
      </w:r>
      <w:r>
        <w:rPr>
          <w:rFonts w:ascii="Times New Roman" w:cs="Times New Roman" w:eastAsia="Times New Roman" w:hAnsi="Times New Roman"/>
          <w:sz w:val="19"/>
          <w:szCs w:val="19"/>
          <w:color w:val="auto"/>
        </w:rPr>
        <w:t>. Except as expressly provided in Section 3, upon the termination of Executive’s employment, Executive shall only be entitled to: (i) all earned but unpaid salary, all accrued but unpaid vacation and all other earned but unpaid compensation or wages, (ii) any unreimbursed business expenses incurred by Executive on or before the termination date and which are reimbursable under the Company’s business expense reimbursement policies, which will be paid to Executive promptly following Executive’s submission of any required receipts and other documentation to the Company in accordance with the Company’s business expense reimbursement policies, provided such receipts and documents are received by the Company within forty-five (45) days after the date of Executive’s termination, and (iii) such other compensation or benefits due to Executive under any Company-provided plans, policies, and arrangements or as otherwise required by law (collectively, the “</w:t>
      </w:r>
      <w:r>
        <w:rPr>
          <w:rFonts w:ascii="Times New Roman" w:cs="Times New Roman" w:eastAsia="Times New Roman" w:hAnsi="Times New Roman"/>
          <w:sz w:val="19"/>
          <w:szCs w:val="19"/>
          <w:b w:val="1"/>
          <w:bCs w:val="1"/>
          <w:i w:val="1"/>
          <w:iCs w:val="1"/>
          <w:color w:val="auto"/>
        </w:rPr>
        <w:t>Accrued Benefits</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ind w:left="2140" w:hanging="642"/>
        <w:spacing w:after="0"/>
        <w:tabs>
          <w:tab w:leader="none" w:pos="21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860" w:right="100" w:firstLine="1273"/>
        <w:spacing w:after="0" w:line="227" w:lineRule="auto"/>
        <w:tabs>
          <w:tab w:leader="none" w:pos="2466"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for Good Reason during Change in Control Period</w:t>
      </w:r>
      <w:r>
        <w:rPr>
          <w:rFonts w:ascii="Times New Roman" w:cs="Times New Roman" w:eastAsia="Times New Roman" w:hAnsi="Times New Roman"/>
          <w:sz w:val="19"/>
          <w:szCs w:val="19"/>
          <w:color w:val="auto"/>
        </w:rPr>
        <w:t>. If, during the Change in Control Period, (i) the Company (or any parent, subsidiary or successor of the Company) terminates Executive’s employment without Cause or (ii) Executive terminates his employment with the Company (or any parent, subsidiary or successor of the Company) for Good Reason, then, subject to Section 4 below, Executive will receive the following severance benefits from the Company:</w:t>
      </w:r>
    </w:p>
    <w:p>
      <w:pPr>
        <w:spacing w:after="0" w:line="159" w:lineRule="exact"/>
        <w:rPr>
          <w:rFonts w:ascii="Times New Roman" w:cs="Times New Roman" w:eastAsia="Times New Roman" w:hAnsi="Times New Roman"/>
          <w:sz w:val="19"/>
          <w:szCs w:val="19"/>
          <w:color w:val="auto"/>
        </w:rPr>
      </w:pPr>
    </w:p>
    <w:p>
      <w:pPr>
        <w:ind w:left="860" w:firstLine="1909"/>
        <w:spacing w:after="0" w:line="223" w:lineRule="auto"/>
        <w:tabs>
          <w:tab w:leader="none" w:pos="3096"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 Severance Payment</w:t>
      </w:r>
      <w:r>
        <w:rPr>
          <w:rFonts w:ascii="Times New Roman" w:cs="Times New Roman" w:eastAsia="Times New Roman" w:hAnsi="Times New Roman"/>
          <w:sz w:val="19"/>
          <w:szCs w:val="19"/>
          <w:color w:val="auto"/>
        </w:rPr>
        <w:t>. Executive will receive a base salary severance payment in an amount equal to twelve (12) months of Executive’s then current base salary as in effect immediately prior to the date of such termination (provided, if Executive resigns as a result of Section 6(g)(ii), the base salary used to calculate the base salary severance payment due shall be the base salary as in effect immediately prior to the reduction triggering Section 6(g)(ii)). The base salary severance payment shall be paid to Executive in a single lump-sum within thirty (30) days following the Release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200"/>
          </w:cols>
          <w:pgMar w:left="400" w:top="1425" w:right="1299" w:bottom="1440" w:gutter="0" w:footer="0" w:header="0"/>
        </w:sectPr>
      </w:pPr>
    </w:p>
    <w:bookmarkStart w:id="183" w:name="page184"/>
    <w:bookmarkEnd w:id="183"/>
    <w:p>
      <w:pPr>
        <w:spacing w:after="0" w:line="227" w:lineRule="exact"/>
        <w:rPr>
          <w:sz w:val="20"/>
          <w:szCs w:val="20"/>
          <w:color w:val="auto"/>
        </w:rPr>
      </w:pPr>
    </w:p>
    <w:p>
      <w:pPr>
        <w:ind w:left="860" w:right="120" w:firstLine="1909"/>
        <w:spacing w:after="0" w:line="221" w:lineRule="auto"/>
        <w:tabs>
          <w:tab w:leader="none" w:pos="309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 Severance Payment</w:t>
      </w:r>
      <w:r>
        <w:rPr>
          <w:rFonts w:ascii="Times New Roman" w:cs="Times New Roman" w:eastAsia="Times New Roman" w:hAnsi="Times New Roman"/>
          <w:sz w:val="19"/>
          <w:szCs w:val="19"/>
          <w:color w:val="auto"/>
        </w:rPr>
        <w:t>. Executive will receive a benefits severance payment in an amount equal to twelve (12) months’ of the monthly premiums that would be due for continuation coverage under the Consolidated Omnibus Budget Reconciliation Act of 1985, as amended</w:t>
      </w:r>
    </w:p>
    <w:p>
      <w:pPr>
        <w:spacing w:after="0" w:line="1" w:lineRule="exact"/>
        <w:rPr>
          <w:rFonts w:ascii="Times New Roman" w:cs="Times New Roman" w:eastAsia="Times New Roman" w:hAnsi="Times New Roman"/>
          <w:sz w:val="19"/>
          <w:szCs w:val="19"/>
          <w:color w:val="auto"/>
        </w:rPr>
      </w:pPr>
    </w:p>
    <w:p>
      <w:pPr>
        <w:ind w:left="860" w:right="300"/>
        <w:spacing w:after="0" w:line="2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if Executive were to elect COBRA continuation coverage for Executive and Executive’s eligible dependents (based on the coverage levels in effect immediately prior to Executive’s termination or resignation and based on the premium amount that would be due for the first month of COBRA coverage if Executive were to elect COBRA continuation coverage). The benefits severance payment shall be paid to Executive in a single lump-sum within thirty (30) days following the Release Deadline and will be made, subject to all applicable taxes and withholding for required deductions, and regardless of whether Executive elects COBRA continuation coverage.</w:t>
      </w:r>
    </w:p>
    <w:p>
      <w:pPr>
        <w:spacing w:after="0" w:line="159" w:lineRule="exact"/>
        <w:rPr>
          <w:rFonts w:ascii="Times New Roman" w:cs="Times New Roman" w:eastAsia="Times New Roman" w:hAnsi="Times New Roman"/>
          <w:sz w:val="19"/>
          <w:szCs w:val="19"/>
          <w:color w:val="auto"/>
        </w:rPr>
      </w:pPr>
    </w:p>
    <w:p>
      <w:pPr>
        <w:ind w:left="860" w:firstLine="1909"/>
        <w:spacing w:after="0" w:line="220" w:lineRule="auto"/>
        <w:tabs>
          <w:tab w:leader="none" w:pos="309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Executive shall vest in 100% of any then outstanding and unvested Equity Awards that are subject to time-based vesting. The Equity Awards will otherwise remain subject to the terms and conditions of the applicable Equity Award agreement. Notwithstanding anything stated herein or elsewhere to the contrary, if the successor to the Company or any affiliate of such successor does not agree to assume, substitute or otherwise continue any then outstanding Equity Awards at the time of a Change in Control, then 100% of the then-unvested shares subject to the Equity Awards shall fully vest and, if applicable, become exercisable, as of immediately prior to, and contingent upon, the consummation of such Change in Control, regardless of whether Executive’s employment with the Company (or any parent, subsidiary or successor of the Company) continues or terminates unless such termination is due to Executive’s resignation without Good Reason or by the Company for Cause.</w:t>
      </w:r>
    </w:p>
    <w:p>
      <w:pPr>
        <w:spacing w:after="0" w:line="159" w:lineRule="exact"/>
        <w:rPr>
          <w:sz w:val="20"/>
          <w:szCs w:val="20"/>
          <w:color w:val="auto"/>
        </w:rPr>
      </w:pPr>
    </w:p>
    <w:p>
      <w:pPr>
        <w:ind w:left="860" w:right="420" w:firstLine="1273"/>
        <w:spacing w:after="0" w:line="224" w:lineRule="auto"/>
        <w:tabs>
          <w:tab w:leader="none" w:pos="2463"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Termination for Cause</w:t>
      </w:r>
      <w:r>
        <w:rPr>
          <w:rFonts w:ascii="Times New Roman" w:cs="Times New Roman" w:eastAsia="Times New Roman" w:hAnsi="Times New Roman"/>
          <w:sz w:val="19"/>
          <w:szCs w:val="19"/>
          <w:color w:val="auto"/>
        </w:rPr>
        <w:t>. If Executive’s employment with the Company is terminated (i) by Executive (other than for Good Reason during the Change in Control Period), (ii) without Cause by the Company outside the Change in Control Period, or (iii) for Cause by the Company at any time, then Executive will not be entitled to receive severance or other benefits pursuant to this Agreement except for the Accrued Benefits.</w:t>
      </w:r>
    </w:p>
    <w:p>
      <w:pPr>
        <w:spacing w:after="0" w:line="159" w:lineRule="exact"/>
        <w:rPr>
          <w:rFonts w:ascii="Times New Roman" w:cs="Times New Roman" w:eastAsia="Times New Roman" w:hAnsi="Times New Roman"/>
          <w:sz w:val="19"/>
          <w:szCs w:val="19"/>
          <w:color w:val="auto"/>
        </w:rPr>
      </w:pPr>
    </w:p>
    <w:p>
      <w:pPr>
        <w:ind w:left="860" w:right="160" w:firstLine="1273"/>
        <w:spacing w:after="0" w:line="229" w:lineRule="auto"/>
        <w:tabs>
          <w:tab w:leader="none" w:pos="246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 where Executive is no longer willing or able to continue performing services for the Company, or Executive’s employment terminates due to his death, then Executive will not be entitled to receive severance or other benefits pursuant to this Agreement except for the Accrued Benefits.</w:t>
      </w:r>
    </w:p>
    <w:p>
      <w:pPr>
        <w:spacing w:after="0" w:line="159" w:lineRule="exact"/>
        <w:rPr>
          <w:rFonts w:ascii="Times New Roman" w:cs="Times New Roman" w:eastAsia="Times New Roman" w:hAnsi="Times New Roman"/>
          <w:sz w:val="19"/>
          <w:szCs w:val="19"/>
          <w:color w:val="auto"/>
        </w:rPr>
      </w:pPr>
    </w:p>
    <w:p>
      <w:pPr>
        <w:ind w:left="860" w:firstLine="1273"/>
        <w:spacing w:after="0" w:line="234" w:lineRule="auto"/>
        <w:tabs>
          <w:tab w:leader="none" w:pos="2463"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The parties acknowledge that Executive’s entitlement to the severance payments and benefits contained in this Section 3 are of the essence and an integral part of this Agreement, and that, without such severance provisions, the parties would not enter into this Agreement. Therefore, if the Company, or any successor to the Company, breaches the terms of this Section 3 by failing or refusing pay or provide any of the severance payments or benefits owed to Executive in the amounts and/or according to the time periods set forth herein, Executive shall be entitled to two times (2x) the amount of severance payments and benefits that Executive would otherwise be entitled to receive, payable and/or provided according to the same terms set forth herein. The parties acknowledge and agree that any additional severance payments and benefits paid pursuant to this Section 3(d) constitute liquidated damages that would be incurred by Executive and that these additional severance payments and benefits are not a penalty, rather they are a reasonable amount intended as liquidated damages that will compensate Executive in the circumstances in which they are payable for the efforts and resources expended, and opportunities foregone, while negotiating and/or enforcing this Agreement and in reliance on this Agreement and on the expectation of the consummation of the transactions contemplated by this Agreement, which amounts would otherwise be impossible to calculate with precision.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20"/>
          </w:cols>
          <w:pgMar w:left="400" w:top="1440" w:right="1379" w:bottom="1440" w:gutter="0" w:footer="0" w:header="0"/>
        </w:sectPr>
      </w:pPr>
    </w:p>
    <w:bookmarkStart w:id="184" w:name="page185"/>
    <w:bookmarkEnd w:id="184"/>
    <w:p>
      <w:pPr>
        <w:spacing w:after="0" w:line="228" w:lineRule="exact"/>
        <w:rPr>
          <w:sz w:val="20"/>
          <w:szCs w:val="20"/>
          <w:color w:val="auto"/>
        </w:rPr>
      </w:pPr>
    </w:p>
    <w:p>
      <w:pPr>
        <w:ind w:left="2140" w:hanging="642"/>
        <w:spacing w:after="0"/>
        <w:tabs>
          <w:tab w:leader="none" w:pos="214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Receipt of Severance.</w:t>
      </w:r>
    </w:p>
    <w:p>
      <w:pPr>
        <w:spacing w:after="0" w:line="192" w:lineRule="exact"/>
        <w:rPr>
          <w:rFonts w:ascii="Times New Roman" w:cs="Times New Roman" w:eastAsia="Times New Roman" w:hAnsi="Times New Roman"/>
          <w:sz w:val="19"/>
          <w:szCs w:val="19"/>
          <w:color w:val="auto"/>
        </w:rPr>
      </w:pPr>
    </w:p>
    <w:p>
      <w:pPr>
        <w:ind w:left="920" w:firstLine="1213"/>
        <w:spacing w:after="0" w:line="211" w:lineRule="auto"/>
        <w:tabs>
          <w:tab w:leader="none" w:pos="2462"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 Agreement</w:t>
      </w:r>
      <w:r>
        <w:rPr>
          <w:rFonts w:ascii="Times New Roman" w:cs="Times New Roman" w:eastAsia="Times New Roman" w:hAnsi="Times New Roman"/>
          <w:sz w:val="19"/>
          <w:szCs w:val="19"/>
          <w:color w:val="auto"/>
        </w:rPr>
        <w:t>. The receipt of any severance or other benefits pursuant to Section 3 will be subject to Executive signing and not revoking a general release of all claims in a form provided by the Company, and such release becoming effective and irrevocable no later than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following Executive’s termination (such deadline,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No severance or other benefits will be paid or provided pursuant to this Agreement until the release becomes effective and irrevocable. If the release does not become effective and irrevocable by the Release Deadline, Executive will forfeit all rights to severance payments and benefits under this Agreement.</w:t>
      </w:r>
    </w:p>
    <w:p>
      <w:pPr>
        <w:spacing w:after="0" w:line="158" w:lineRule="exact"/>
        <w:rPr>
          <w:rFonts w:ascii="Times New Roman" w:cs="Times New Roman" w:eastAsia="Times New Roman" w:hAnsi="Times New Roman"/>
          <w:sz w:val="19"/>
          <w:szCs w:val="19"/>
          <w:color w:val="auto"/>
        </w:rPr>
      </w:pPr>
    </w:p>
    <w:p>
      <w:pPr>
        <w:jc w:val="both"/>
        <w:ind w:left="920" w:right="480" w:firstLine="1213"/>
        <w:spacing w:after="0" w:line="229" w:lineRule="auto"/>
        <w:tabs>
          <w:tab w:leader="none" w:pos="2460"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Agreement and Other Requirements</w:t>
      </w:r>
      <w:r>
        <w:rPr>
          <w:rFonts w:ascii="Times New Roman" w:cs="Times New Roman" w:eastAsia="Times New Roman" w:hAnsi="Times New Roman"/>
          <w:sz w:val="19"/>
          <w:szCs w:val="19"/>
          <w:color w:val="auto"/>
        </w:rPr>
        <w:t>. Executive’s receipt of any payments or benefits under Section 3 will be subject to Executive continuing to comply with the terms of the Confidential Information and Invention Assignment Agreement, which Executive acknowledges and agrees shall remain in full force and effect.</w:t>
      </w:r>
    </w:p>
    <w:p>
      <w:pPr>
        <w:spacing w:after="0" w:line="159"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For purposes of Section 409A of the Code, the regulations and other</w:t>
      </w:r>
    </w:p>
    <w:p>
      <w:pPr>
        <w:spacing w:after="0" w:line="2" w:lineRule="exact"/>
        <w:rPr>
          <w:sz w:val="20"/>
          <w:szCs w:val="20"/>
          <w:color w:val="auto"/>
        </w:rPr>
      </w:pPr>
    </w:p>
    <w:p>
      <w:pPr>
        <w:ind w:left="920" w:right="100"/>
        <w:spacing w:after="0" w:line="211" w:lineRule="auto"/>
        <w:rPr>
          <w:sz w:val="20"/>
          <w:szCs w:val="20"/>
          <w:color w:val="auto"/>
        </w:rPr>
      </w:pPr>
      <w:r>
        <w:rPr>
          <w:rFonts w:ascii="Times New Roman" w:cs="Times New Roman" w:eastAsia="Times New Roman" w:hAnsi="Times New Roman"/>
          <w:sz w:val="19"/>
          <w:szCs w:val="19"/>
          <w:color w:val="auto"/>
        </w:rPr>
        <w:t>guidance there under and any state law of similar effect (collectively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each payment that is paid pursuant to this Agreement is hereby designated as a separate payment. Further, (i) no severance or benefits to be paid</w:t>
      </w:r>
    </w:p>
    <w:p>
      <w:pPr>
        <w:ind w:left="920"/>
        <w:spacing w:after="0" w:line="218" w:lineRule="auto"/>
        <w:rPr>
          <w:sz w:val="20"/>
          <w:szCs w:val="20"/>
          <w:color w:val="auto"/>
        </w:rPr>
      </w:pPr>
      <w:r>
        <w:rPr>
          <w:rFonts w:ascii="Times New Roman" w:cs="Times New Roman" w:eastAsia="Times New Roman" w:hAnsi="Times New Roman"/>
          <w:sz w:val="19"/>
          <w:szCs w:val="19"/>
          <w:color w:val="auto"/>
        </w:rPr>
        <w:t>or provided to Executive, if any, pursuant to this Agreement that, when considered together with any other severance</w:t>
      </w:r>
    </w:p>
    <w:p>
      <w:pPr>
        <w:ind w:left="920" w:right="240"/>
        <w:spacing w:after="0" w:line="211" w:lineRule="auto"/>
        <w:rPr>
          <w:sz w:val="20"/>
          <w:szCs w:val="20"/>
          <w:color w:val="auto"/>
        </w:rPr>
      </w:pPr>
      <w:r>
        <w:rPr>
          <w:rFonts w:ascii="Times New Roman" w:cs="Times New Roman" w:eastAsia="Times New Roman" w:hAnsi="Times New Roman"/>
          <w:sz w:val="19"/>
          <w:szCs w:val="19"/>
          <w:color w:val="auto"/>
        </w:rPr>
        <w:t>payments or benefits, are considered deferred compensation under Section 409A, will be paid or otherwise provided until Executive has had a</w:t>
      </w:r>
    </w:p>
    <w:p>
      <w:pPr>
        <w:ind w:left="920" w:right="180"/>
        <w:spacing w:after="0" w:line="211" w:lineRule="auto"/>
        <w:rPr>
          <w:sz w:val="20"/>
          <w:szCs w:val="20"/>
          <w:color w:val="auto"/>
        </w:rPr>
      </w:pPr>
      <w:r>
        <w:rPr>
          <w:rFonts w:ascii="Times New Roman" w:cs="Times New Roman" w:eastAsia="Times New Roman" w:hAnsi="Times New Roman"/>
          <w:sz w:val="19"/>
          <w:szCs w:val="19"/>
          <w:color w:val="auto"/>
        </w:rPr>
        <w:t>“separation from service” within the meaning of Section 409A, (ii) no severance or benefits to be paid or provided to Executive, if any, pursuant to this Agreement that are intended to be exempt from Section 409A pursuant to Treasury</w:t>
      </w:r>
    </w:p>
    <w:p>
      <w:pPr>
        <w:ind w:left="920"/>
        <w:spacing w:after="0" w:line="218" w:lineRule="auto"/>
        <w:rPr>
          <w:sz w:val="20"/>
          <w:szCs w:val="20"/>
          <w:color w:val="auto"/>
        </w:rPr>
      </w:pPr>
      <w:r>
        <w:rPr>
          <w:rFonts w:ascii="Times New Roman" w:cs="Times New Roman" w:eastAsia="Times New Roman" w:hAnsi="Times New Roman"/>
          <w:sz w:val="19"/>
          <w:szCs w:val="19"/>
          <w:color w:val="auto"/>
        </w:rPr>
        <w:t>Regulation Section 1.409A-1(b)(9)(iii) will be paid or otherwise provided</w:t>
      </w:r>
    </w:p>
    <w:p>
      <w:pPr>
        <w:ind w:left="920" w:right="160"/>
        <w:spacing w:after="0" w:line="211" w:lineRule="auto"/>
        <w:rPr>
          <w:sz w:val="20"/>
          <w:szCs w:val="20"/>
          <w:color w:val="auto"/>
        </w:rPr>
      </w:pPr>
      <w:r>
        <w:rPr>
          <w:rFonts w:ascii="Times New Roman" w:cs="Times New Roman" w:eastAsia="Times New Roman" w:hAnsi="Times New Roman"/>
          <w:sz w:val="19"/>
          <w:szCs w:val="19"/>
          <w:color w:val="auto"/>
        </w:rPr>
        <w:t>until Executive has had an “involuntary separation from service” within the meaning of Section 409A, and (iii) in the case of (i) and (ii), any reference in this Agreement to “termination” or “termination of employment” or any similar</w:t>
      </w:r>
    </w:p>
    <w:p>
      <w:pPr>
        <w:ind w:left="920"/>
        <w:spacing w:after="0" w:line="218" w:lineRule="auto"/>
        <w:rPr>
          <w:sz w:val="20"/>
          <w:szCs w:val="20"/>
          <w:color w:val="auto"/>
        </w:rPr>
      </w:pPr>
      <w:r>
        <w:rPr>
          <w:rFonts w:ascii="Times New Roman" w:cs="Times New Roman" w:eastAsia="Times New Roman" w:hAnsi="Times New Roman"/>
          <w:sz w:val="19"/>
          <w:szCs w:val="19"/>
          <w:color w:val="auto"/>
        </w:rPr>
        <w:t>term shall be construed to mean a “separation from service” within the meaning of Section 409A. The parties intend</w:t>
      </w:r>
    </w:p>
    <w:p>
      <w:pPr>
        <w:ind w:left="920" w:right="160"/>
        <w:spacing w:after="0" w:line="211" w:lineRule="auto"/>
        <w:rPr>
          <w:sz w:val="20"/>
          <w:szCs w:val="20"/>
          <w:color w:val="auto"/>
        </w:rPr>
      </w:pPr>
      <w:r>
        <w:rPr>
          <w:rFonts w:ascii="Times New Roman" w:cs="Times New Roman" w:eastAsia="Times New Roman" w:hAnsi="Times New Roman"/>
          <w:sz w:val="19"/>
          <w:szCs w:val="19"/>
          <w:color w:val="auto"/>
        </w:rPr>
        <w:t>that all payments and benefits provided or to be provided under this Agreement comply with, or are exempt from, the requirements of Section 409A so that none</w:t>
      </w:r>
    </w:p>
    <w:p>
      <w:pPr>
        <w:ind w:left="920"/>
        <w:spacing w:after="0" w:line="218" w:lineRule="auto"/>
        <w:rPr>
          <w:sz w:val="20"/>
          <w:szCs w:val="20"/>
          <w:color w:val="auto"/>
        </w:rPr>
      </w:pPr>
      <w:r>
        <w:rPr>
          <w:rFonts w:ascii="Times New Roman" w:cs="Times New Roman" w:eastAsia="Times New Roman" w:hAnsi="Times New Roman"/>
          <w:sz w:val="19"/>
          <w:szCs w:val="19"/>
          <w:color w:val="auto"/>
        </w:rPr>
        <w:t>of the payments or benefits will be subject to the adverse tax penalties imposed under Section 409A, and any</w:t>
      </w:r>
    </w:p>
    <w:p>
      <w:pPr>
        <w:ind w:left="920" w:right="540"/>
        <w:spacing w:after="0" w:line="211" w:lineRule="auto"/>
        <w:rPr>
          <w:sz w:val="20"/>
          <w:szCs w:val="20"/>
          <w:color w:val="auto"/>
        </w:rPr>
      </w:pPr>
      <w:r>
        <w:rPr>
          <w:rFonts w:ascii="Times New Roman" w:cs="Times New Roman" w:eastAsia="Times New Roman" w:hAnsi="Times New Roman"/>
          <w:sz w:val="19"/>
          <w:szCs w:val="19"/>
          <w:color w:val="auto"/>
        </w:rPr>
        <w:t>ambiguities herein will be interpreted to so comply or be so exempt. The Company and Executive agree to work together in good faith to consider amendments to this Agreement, and to take such reasonable actions, which are</w:t>
      </w:r>
    </w:p>
    <w:p>
      <w:pPr>
        <w:ind w:left="920" w:right="500"/>
        <w:spacing w:after="0" w:line="211" w:lineRule="auto"/>
        <w:rPr>
          <w:sz w:val="20"/>
          <w:szCs w:val="20"/>
          <w:color w:val="auto"/>
        </w:rPr>
      </w:pPr>
      <w:r>
        <w:rPr>
          <w:rFonts w:ascii="Times New Roman" w:cs="Times New Roman" w:eastAsia="Times New Roman" w:hAnsi="Times New Roman"/>
          <w:sz w:val="19"/>
          <w:szCs w:val="19"/>
          <w:color w:val="auto"/>
        </w:rPr>
        <w:t>necessary, appropriate or desirable to avoid imposition of any additional tax or income recognition under Section 409A before payments or benefits are provided to</w:t>
      </w:r>
    </w:p>
    <w:p>
      <w:pPr>
        <w:ind w:left="920" w:right="280"/>
        <w:spacing w:after="0" w:line="185" w:lineRule="auto"/>
        <w:rPr>
          <w:sz w:val="20"/>
          <w:szCs w:val="20"/>
          <w:color w:val="auto"/>
        </w:rPr>
      </w:pPr>
      <w:r>
        <w:rPr>
          <w:rFonts w:ascii="Times New Roman" w:cs="Times New Roman" w:eastAsia="Times New Roman" w:hAnsi="Times New Roman"/>
          <w:sz w:val="19"/>
          <w:szCs w:val="19"/>
          <w:color w:val="auto"/>
        </w:rPr>
        <w:t>Executive. Any severance payments or benefits made in connection with Executive’s termination under this Agreement and provided on or before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month following the end of Executive’s first tax year in</w:t>
      </w:r>
    </w:p>
    <w:p>
      <w:pPr>
        <w:spacing w:after="0" w:line="2" w:lineRule="exact"/>
        <w:rPr>
          <w:sz w:val="20"/>
          <w:szCs w:val="20"/>
          <w:color w:val="auto"/>
        </w:rPr>
      </w:pPr>
    </w:p>
    <w:p>
      <w:pPr>
        <w:ind w:left="920" w:right="40"/>
        <w:spacing w:after="0" w:line="184" w:lineRule="auto"/>
        <w:rPr>
          <w:sz w:val="20"/>
          <w:szCs w:val="20"/>
          <w:color w:val="auto"/>
        </w:rPr>
      </w:pPr>
      <w:r>
        <w:rPr>
          <w:rFonts w:ascii="Times New Roman" w:cs="Times New Roman" w:eastAsia="Times New Roman" w:hAnsi="Times New Roman"/>
          <w:sz w:val="19"/>
          <w:szCs w:val="19"/>
          <w:color w:val="auto"/>
        </w:rPr>
        <w:t>which Executive’s termination occurs or, if later,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month following the end of the Company’s first tax year in which Executive’s termination occurs, shall be exempt from Section 409A to the maximum extent</w:t>
      </w:r>
    </w:p>
    <w:p>
      <w:pPr>
        <w:ind w:left="920"/>
        <w:spacing w:after="0" w:line="220" w:lineRule="auto"/>
        <w:rPr>
          <w:sz w:val="20"/>
          <w:szCs w:val="20"/>
          <w:color w:val="auto"/>
        </w:rPr>
      </w:pPr>
      <w:r>
        <w:rPr>
          <w:rFonts w:ascii="Times New Roman" w:cs="Times New Roman" w:eastAsia="Times New Roman" w:hAnsi="Times New Roman"/>
          <w:sz w:val="19"/>
          <w:szCs w:val="19"/>
          <w:color w:val="auto"/>
        </w:rPr>
        <w:t>permitted pursuant to Treasury Regulation Section 1.409A-1(b)(4) and any additional payments or benefits provided</w:t>
      </w:r>
    </w:p>
    <w:p>
      <w:pPr>
        <w:spacing w:after="0" w:line="1" w:lineRule="exact"/>
        <w:rPr>
          <w:sz w:val="20"/>
          <w:szCs w:val="20"/>
          <w:color w:val="auto"/>
        </w:rPr>
      </w:pPr>
    </w:p>
    <w:p>
      <w:pPr>
        <w:ind w:left="920" w:right="80"/>
        <w:spacing w:after="0" w:line="207" w:lineRule="auto"/>
        <w:rPr>
          <w:sz w:val="20"/>
          <w:szCs w:val="20"/>
          <w:color w:val="auto"/>
        </w:rPr>
      </w:pPr>
      <w:r>
        <w:rPr>
          <w:rFonts w:ascii="Times New Roman" w:cs="Times New Roman" w:eastAsia="Times New Roman" w:hAnsi="Times New Roman"/>
          <w:sz w:val="19"/>
          <w:szCs w:val="19"/>
          <w:color w:val="auto"/>
        </w:rPr>
        <w:t>in connection with Executive’s termination under this Agreement shall be exempt from Section 409A to the maximum extent permitted pursuant to Treasury Regulation Section 1.409A-1(b)(9)(iii) (to the extent it is exempt pursuant to</w:t>
      </w:r>
    </w:p>
    <w:p>
      <w:pPr>
        <w:ind w:left="920"/>
        <w:spacing w:after="0" w:line="187" w:lineRule="auto"/>
        <w:rPr>
          <w:sz w:val="20"/>
          <w:szCs w:val="20"/>
          <w:color w:val="auto"/>
        </w:rPr>
      </w:pPr>
      <w:r>
        <w:rPr>
          <w:rFonts w:ascii="Times New Roman" w:cs="Times New Roman" w:eastAsia="Times New Roman" w:hAnsi="Times New Roman"/>
          <w:sz w:val="18"/>
          <w:szCs w:val="18"/>
          <w:color w:val="auto"/>
        </w:rPr>
        <w:t>such section it will in any event be provided no later than the last day of Executive’s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taxable year following the</w:t>
      </w:r>
    </w:p>
    <w:p>
      <w:pPr>
        <w:ind w:left="920" w:right="120"/>
        <w:spacing w:after="0" w:line="211" w:lineRule="auto"/>
        <w:rPr>
          <w:sz w:val="20"/>
          <w:szCs w:val="20"/>
          <w:color w:val="auto"/>
        </w:rPr>
      </w:pPr>
      <w:r>
        <w:rPr>
          <w:rFonts w:ascii="Times New Roman" w:cs="Times New Roman" w:eastAsia="Times New Roman" w:hAnsi="Times New Roman"/>
          <w:sz w:val="19"/>
          <w:szCs w:val="19"/>
          <w:color w:val="auto"/>
        </w:rPr>
        <w:t>taxable year in which Executive’s termination occurs). Notwithstanding the foregoing, if any of the payments or benefits provided in connection with Executive’s termination do not qualify for any reason to be exempt from Section</w:t>
      </w:r>
    </w:p>
    <w:p>
      <w:pPr>
        <w:ind w:left="920"/>
        <w:spacing w:after="0" w:line="218" w:lineRule="auto"/>
        <w:rPr>
          <w:sz w:val="20"/>
          <w:szCs w:val="20"/>
          <w:color w:val="auto"/>
        </w:rPr>
      </w:pPr>
      <w:r>
        <w:rPr>
          <w:rFonts w:ascii="Times New Roman" w:cs="Times New Roman" w:eastAsia="Times New Roman" w:hAnsi="Times New Roman"/>
          <w:sz w:val="19"/>
          <w:szCs w:val="19"/>
          <w:color w:val="auto"/>
        </w:rPr>
        <w:t>409A pursuant to Treasury Regulation Section 1.409A-1(b)(4), Treasury Regulation Section 1.409A-1(b)(9)(iii), or</w:t>
      </w:r>
    </w:p>
    <w:p>
      <w:pPr>
        <w:ind w:left="920" w:right="160"/>
        <w:spacing w:after="0" w:line="211" w:lineRule="auto"/>
        <w:rPr>
          <w:sz w:val="20"/>
          <w:szCs w:val="20"/>
          <w:color w:val="auto"/>
        </w:rPr>
      </w:pPr>
      <w:r>
        <w:rPr>
          <w:rFonts w:ascii="Times New Roman" w:cs="Times New Roman" w:eastAsia="Times New Roman" w:hAnsi="Times New Roman"/>
          <w:sz w:val="19"/>
          <w:szCs w:val="19"/>
          <w:color w:val="auto"/>
        </w:rPr>
        <w:t>any other applicable exemption and Executive is, at the time of his termination, a “specified employee,” as defined in Treasury Regulation Section 1.409A-1(i), each such payment or benefit will not be provided until the first regularly</w:t>
      </w:r>
    </w:p>
    <w:p>
      <w:pPr>
        <w:ind w:left="920" w:right="920"/>
        <w:spacing w:after="0" w:line="218" w:lineRule="auto"/>
        <w:rPr>
          <w:sz w:val="20"/>
          <w:szCs w:val="20"/>
          <w:color w:val="auto"/>
        </w:rPr>
      </w:pPr>
      <w:r>
        <w:rPr>
          <w:rFonts w:ascii="Times New Roman" w:cs="Times New Roman" w:eastAsia="Times New Roman" w:hAnsi="Times New Roman"/>
          <w:sz w:val="19"/>
          <w:szCs w:val="19"/>
          <w:color w:val="auto"/>
        </w:rPr>
        <w:t>scheduled payroll date that occurs on or after the date six (6) months and one (1) day following Executive’s termination and, on such date (or, if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earlier, another date that occurs as soon as practicable after Executive’s death), Executive will receive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200"/>
          </w:cols>
          <w:pgMar w:left="400" w:top="1440" w:right="1299" w:bottom="1440" w:gutter="0" w:footer="0" w:header="0"/>
        </w:sectPr>
      </w:pPr>
    </w:p>
    <w:bookmarkStart w:id="185" w:name="page186"/>
    <w:bookmarkEnd w:id="185"/>
    <w:p>
      <w:pPr>
        <w:spacing w:after="0" w:line="2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payments and benefits that would have been provided during such period in a single lump sum, if applicable. In</w:t>
      </w:r>
    </w:p>
    <w:p>
      <w:pPr>
        <w:spacing w:after="0" w:line="2" w:lineRule="exact"/>
        <w:rPr>
          <w:sz w:val="20"/>
          <w:szCs w:val="20"/>
          <w:color w:val="auto"/>
        </w:rPr>
      </w:pPr>
    </w:p>
    <w:p>
      <w:pPr>
        <w:ind w:left="920" w:right="180"/>
        <w:spacing w:after="0" w:line="211" w:lineRule="auto"/>
        <w:rPr>
          <w:sz w:val="20"/>
          <w:szCs w:val="20"/>
          <w:color w:val="auto"/>
        </w:rPr>
      </w:pPr>
      <w:r>
        <w:rPr>
          <w:rFonts w:ascii="Times New Roman" w:cs="Times New Roman" w:eastAsia="Times New Roman" w:hAnsi="Times New Roman"/>
          <w:sz w:val="19"/>
          <w:szCs w:val="19"/>
          <w:color w:val="auto"/>
        </w:rPr>
        <w:t>addition, notwithstanding any other provision herein to the contrary, to the extent that any reimbursements or in-kind benefits under this Agreement or otherwise constitute non-exempt</w:t>
      </w:r>
    </w:p>
    <w:p>
      <w:pPr>
        <w:ind w:left="920"/>
        <w:spacing w:after="0" w:line="218" w:lineRule="auto"/>
        <w:rPr>
          <w:sz w:val="20"/>
          <w:szCs w:val="20"/>
          <w:color w:val="auto"/>
        </w:rPr>
      </w:pPr>
      <w:r>
        <w:rPr>
          <w:rFonts w:ascii="Times New Roman" w:cs="Times New Roman" w:eastAsia="Times New Roman" w:hAnsi="Times New Roman"/>
          <w:sz w:val="19"/>
          <w:szCs w:val="19"/>
          <w:color w:val="auto"/>
        </w:rPr>
        <w:t>“nonqualified deferred compensation” within the meaning of Section 409A, then any such reimbursements and/or</w:t>
      </w:r>
    </w:p>
    <w:p>
      <w:pPr>
        <w:ind w:left="920" w:right="380"/>
        <w:spacing w:after="0" w:line="211" w:lineRule="auto"/>
        <w:rPr>
          <w:sz w:val="20"/>
          <w:szCs w:val="20"/>
          <w:color w:val="auto"/>
        </w:rPr>
      </w:pPr>
      <w:r>
        <w:rPr>
          <w:rFonts w:ascii="Times New Roman" w:cs="Times New Roman" w:eastAsia="Times New Roman" w:hAnsi="Times New Roman"/>
          <w:sz w:val="19"/>
          <w:szCs w:val="19"/>
          <w:color w:val="auto"/>
        </w:rPr>
        <w:t>benefits (i) shall be made or provided promptly but no later than December 31st of the calendar year following the year in which the expense was incurred by Executive, (ii) shall not in any way affect the expenses eligible for</w:t>
      </w:r>
    </w:p>
    <w:p>
      <w:pPr>
        <w:ind w:left="920" w:right="20"/>
        <w:spacing w:after="0" w:line="236" w:lineRule="auto"/>
        <w:rPr>
          <w:sz w:val="20"/>
          <w:szCs w:val="20"/>
          <w:color w:val="auto"/>
        </w:rPr>
      </w:pPr>
      <w:r>
        <w:rPr>
          <w:rFonts w:ascii="Times New Roman" w:cs="Times New Roman" w:eastAsia="Times New Roman" w:hAnsi="Times New Roman"/>
          <w:sz w:val="19"/>
          <w:szCs w:val="19"/>
          <w:color w:val="auto"/>
        </w:rPr>
        <w:t>reimbursement or in-kind benefits to be provided in any other calendar year, and (iii) shall not be subject to liquidation or exchange for another benefit.</w:t>
      </w:r>
    </w:p>
    <w:p>
      <w:pPr>
        <w:spacing w:after="0" w:line="145" w:lineRule="exact"/>
        <w:rPr>
          <w:sz w:val="20"/>
          <w:szCs w:val="20"/>
          <w:color w:val="auto"/>
        </w:rPr>
      </w:pPr>
    </w:p>
    <w:p>
      <w:pPr>
        <w:ind w:left="860" w:right="220" w:firstLine="637"/>
        <w:spacing w:after="0" w:line="220" w:lineRule="auto"/>
        <w:tabs>
          <w:tab w:leader="none" w:pos="182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In the event that the severance benefits provided for in this Agreement and/or other payments and benefits otherwise provided to Executive (i) constitute “parachute payments” within the meaning of Section 280G of the Code and (ii) but for this Section 5, would be subject to the excise tax imposed by Section 4999 of the Code, then, at the election of Executive,</w:t>
      </w:r>
    </w:p>
    <w:p>
      <w:pPr>
        <w:spacing w:after="0" w:line="2" w:lineRule="exact"/>
        <w:rPr>
          <w:rFonts w:ascii="Times New Roman" w:cs="Times New Roman" w:eastAsia="Times New Roman" w:hAnsi="Times New Roman"/>
          <w:sz w:val="19"/>
          <w:szCs w:val="19"/>
          <w:color w:val="auto"/>
        </w:rPr>
      </w:pPr>
    </w:p>
    <w:p>
      <w:pPr>
        <w:ind w:left="860" w:right="820"/>
        <w:spacing w:after="0" w:line="23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severance benefits under Section 3, and/or the other payments and benefits otherwise provided to Executive, will be either:</w:t>
      </w:r>
    </w:p>
    <w:p>
      <w:pPr>
        <w:spacing w:after="0" w:line="144" w:lineRule="exact"/>
        <w:rPr>
          <w:rFonts w:ascii="Times New Roman" w:cs="Times New Roman" w:eastAsia="Times New Roman" w:hAnsi="Times New Roman"/>
          <w:sz w:val="19"/>
          <w:szCs w:val="19"/>
          <w:color w:val="auto"/>
        </w:rPr>
      </w:pPr>
    </w:p>
    <w:p>
      <w:pPr>
        <w:ind w:left="2760" w:hanging="626"/>
        <w:spacing w:after="0"/>
        <w:tabs>
          <w:tab w:leader="none" w:pos="276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in full, or</w:t>
      </w:r>
    </w:p>
    <w:p>
      <w:pPr>
        <w:spacing w:after="0" w:line="205"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as to such lesser extent which would result in no portion of such severance</w:t>
      </w:r>
    </w:p>
    <w:p>
      <w:pPr>
        <w:spacing w:after="0" w:line="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benefits being subject to excise tax under Section 4999 of the Code,</w:t>
      </w:r>
    </w:p>
    <w:p>
      <w:pPr>
        <w:spacing w:after="0" w:line="184" w:lineRule="exact"/>
        <w:rPr>
          <w:sz w:val="20"/>
          <w:szCs w:val="20"/>
          <w:color w:val="auto"/>
        </w:rPr>
      </w:pPr>
    </w:p>
    <w:p>
      <w:pPr>
        <w:ind w:left="860" w:right="140"/>
        <w:spacing w:after="0" w:line="223" w:lineRule="auto"/>
        <w:rPr>
          <w:sz w:val="20"/>
          <w:szCs w:val="20"/>
          <w:color w:val="auto"/>
        </w:rPr>
      </w:pPr>
      <w:r>
        <w:rPr>
          <w:rFonts w:ascii="Times New Roman" w:cs="Times New Roman" w:eastAsia="Times New Roman" w:hAnsi="Times New Roman"/>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w:t>
      </w:r>
    </w:p>
    <w:p>
      <w:pPr>
        <w:ind w:left="860"/>
        <w:spacing w:after="0" w:line="218" w:lineRule="auto"/>
        <w:rPr>
          <w:sz w:val="20"/>
          <w:szCs w:val="20"/>
          <w:color w:val="auto"/>
        </w:rPr>
      </w:pPr>
      <w:r>
        <w:rPr>
          <w:rFonts w:ascii="Times New Roman" w:cs="Times New Roman" w:eastAsia="Times New Roman" w:hAnsi="Times New Roman"/>
          <w:sz w:val="19"/>
          <w:szCs w:val="19"/>
          <w:color w:val="auto"/>
        </w:rPr>
        <w:t>severance benefits and other payments and benefits, notwithstanding that all or some portion of such severance benefits</w:t>
      </w:r>
    </w:p>
    <w:p>
      <w:pPr>
        <w:spacing w:after="0" w:line="1" w:lineRule="exact"/>
        <w:rPr>
          <w:sz w:val="20"/>
          <w:szCs w:val="20"/>
          <w:color w:val="auto"/>
        </w:rPr>
      </w:pPr>
    </w:p>
    <w:p>
      <w:pPr>
        <w:ind w:left="860" w:right="160"/>
        <w:spacing w:after="0" w:line="211" w:lineRule="auto"/>
        <w:rPr>
          <w:sz w:val="20"/>
          <w:szCs w:val="20"/>
          <w:color w:val="auto"/>
        </w:rPr>
      </w:pPr>
      <w:r>
        <w:rPr>
          <w:rFonts w:ascii="Times New Roman" w:cs="Times New Roman" w:eastAsia="Times New Roman" w:hAnsi="Times New Roman"/>
          <w:sz w:val="19"/>
          <w:szCs w:val="19"/>
          <w:color w:val="auto"/>
        </w:rPr>
        <w:t>and other payments and benefits may be taxable under Section 4999 of the Code. Unless the Company and Executive otherwise agree in writing, any determination required under this Section 5 will be made in writing by the Company’s</w:t>
      </w:r>
    </w:p>
    <w:p>
      <w:pPr>
        <w:ind w:left="860"/>
        <w:spacing w:after="0" w:line="218" w:lineRule="auto"/>
        <w:rPr>
          <w:sz w:val="20"/>
          <w:szCs w:val="20"/>
          <w:color w:val="auto"/>
        </w:rPr>
      </w:pPr>
      <w:r>
        <w:rPr>
          <w:rFonts w:ascii="Times New Roman" w:cs="Times New Roman" w:eastAsia="Times New Roman" w:hAnsi="Times New Roman"/>
          <w:sz w:val="19"/>
          <w:szCs w:val="19"/>
          <w:color w:val="auto"/>
        </w:rPr>
        <w:t>outside legal counsel or independent public accountants or other firm selected by the Company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whose</w:t>
      </w:r>
    </w:p>
    <w:p>
      <w:pPr>
        <w:ind w:left="860" w:right="340"/>
        <w:spacing w:after="0" w:line="211" w:lineRule="auto"/>
        <w:rPr>
          <w:sz w:val="20"/>
          <w:szCs w:val="20"/>
          <w:color w:val="auto"/>
        </w:rPr>
      </w:pPr>
      <w:r>
        <w:rPr>
          <w:rFonts w:ascii="Times New Roman" w:cs="Times New Roman" w:eastAsia="Times New Roman" w:hAnsi="Times New Roman"/>
          <w:sz w:val="19"/>
          <w:szCs w:val="19"/>
          <w:color w:val="auto"/>
        </w:rPr>
        <w:t>determination will be conclusive and binding upon Executive and the Company for all purposes. For purposes of making the calculations required by this Section 5, the Firm may make reasonable assumptions and approximations</w:t>
      </w:r>
    </w:p>
    <w:p>
      <w:pPr>
        <w:ind w:left="860"/>
        <w:spacing w:after="0" w:line="218" w:lineRule="auto"/>
        <w:rPr>
          <w:sz w:val="20"/>
          <w:szCs w:val="20"/>
          <w:color w:val="auto"/>
        </w:rPr>
      </w:pPr>
      <w:r>
        <w:rPr>
          <w:rFonts w:ascii="Times New Roman" w:cs="Times New Roman" w:eastAsia="Times New Roman" w:hAnsi="Times New Roman"/>
          <w:sz w:val="19"/>
          <w:szCs w:val="19"/>
          <w:color w:val="auto"/>
        </w:rPr>
        <w:t>concerning applicable taxes and may rely on reasonable, good faith interpretations concerning the application of</w:t>
      </w:r>
    </w:p>
    <w:p>
      <w:pPr>
        <w:ind w:left="860" w:right="80"/>
        <w:spacing w:after="0" w:line="211" w:lineRule="auto"/>
        <w:rPr>
          <w:sz w:val="20"/>
          <w:szCs w:val="20"/>
          <w:color w:val="auto"/>
        </w:rPr>
      </w:pPr>
      <w:r>
        <w:rPr>
          <w:rFonts w:ascii="Times New Roman" w:cs="Times New Roman" w:eastAsia="Times New Roman" w:hAnsi="Times New Roman"/>
          <w:sz w:val="19"/>
          <w:szCs w:val="19"/>
          <w:color w:val="auto"/>
        </w:rPr>
        <w:t>Sections 280G and 4999 of the Code. The Company and Executive will furnish to the Firm such information and documents as the Firm may reasonably request in order to make a determination under this Section. The Company will</w:t>
      </w:r>
    </w:p>
    <w:p>
      <w:pPr>
        <w:ind w:left="860"/>
        <w:spacing w:after="0" w:line="218" w:lineRule="auto"/>
        <w:rPr>
          <w:sz w:val="20"/>
          <w:szCs w:val="20"/>
          <w:color w:val="auto"/>
        </w:rPr>
      </w:pPr>
      <w:r>
        <w:rPr>
          <w:rFonts w:ascii="Times New Roman" w:cs="Times New Roman" w:eastAsia="Times New Roman" w:hAnsi="Times New Roman"/>
          <w:sz w:val="19"/>
          <w:szCs w:val="19"/>
          <w:color w:val="auto"/>
        </w:rPr>
        <w:t>bear all costs the Firm may reasonably incur in connection with any calculations contemplated by this Section 5. Any</w:t>
      </w:r>
    </w:p>
    <w:p>
      <w:pPr>
        <w:ind w:left="860" w:right="320"/>
        <w:spacing w:after="0" w:line="211" w:lineRule="auto"/>
        <w:rPr>
          <w:sz w:val="20"/>
          <w:szCs w:val="20"/>
          <w:color w:val="auto"/>
        </w:rPr>
      </w:pPr>
      <w:r>
        <w:rPr>
          <w:rFonts w:ascii="Times New Roman" w:cs="Times New Roman" w:eastAsia="Times New Roman" w:hAnsi="Times New Roman"/>
          <w:sz w:val="19"/>
          <w:szCs w:val="19"/>
          <w:color w:val="auto"/>
        </w:rPr>
        <w:t>reduction made pursuant to this Section 5 shall be made in accordance with the following order of priority: (i) stock options whose</w:t>
      </w:r>
    </w:p>
    <w:p>
      <w:pPr>
        <w:ind w:left="860"/>
        <w:spacing w:after="0" w:line="218" w:lineRule="auto"/>
        <w:rPr>
          <w:sz w:val="20"/>
          <w:szCs w:val="20"/>
          <w:color w:val="auto"/>
        </w:rPr>
      </w:pPr>
      <w:r>
        <w:rPr>
          <w:rFonts w:ascii="Times New Roman" w:cs="Times New Roman" w:eastAsia="Times New Roman" w:hAnsi="Times New Roman"/>
          <w:sz w:val="19"/>
          <w:szCs w:val="19"/>
          <w:color w:val="auto"/>
        </w:rPr>
        <w:t>exercise price exceeds the fair market value of the optioned stock (“</w:t>
      </w:r>
      <w:r>
        <w:rPr>
          <w:rFonts w:ascii="Times New Roman" w:cs="Times New Roman" w:eastAsia="Times New Roman" w:hAnsi="Times New Roman"/>
          <w:sz w:val="19"/>
          <w:szCs w:val="19"/>
          <w:b w:val="1"/>
          <w:bCs w:val="1"/>
          <w:i w:val="1"/>
          <w:iCs w:val="1"/>
          <w:color w:val="auto"/>
        </w:rPr>
        <w:t>Underwater Options</w:t>
      </w:r>
      <w:r>
        <w:rPr>
          <w:rFonts w:ascii="Times New Roman" w:cs="Times New Roman" w:eastAsia="Times New Roman" w:hAnsi="Times New Roman"/>
          <w:sz w:val="19"/>
          <w:szCs w:val="19"/>
          <w:color w:val="auto"/>
        </w:rPr>
        <w:t>”) (ii) Full Credit Payments (as defined below) that are payable in cash, (iii) non-cash Full Credit Payments that are taxable,</w:t>
      </w:r>
    </w:p>
    <w:p>
      <w:pPr>
        <w:ind w:left="860"/>
        <w:spacing w:after="0" w:line="233" w:lineRule="auto"/>
        <w:rPr>
          <w:sz w:val="20"/>
          <w:szCs w:val="20"/>
          <w:color w:val="auto"/>
        </w:rPr>
      </w:pPr>
      <w:r>
        <w:rPr>
          <w:rFonts w:ascii="Times New Roman" w:cs="Times New Roman" w:eastAsia="Times New Roman" w:hAnsi="Times New Roman"/>
          <w:sz w:val="19"/>
          <w:szCs w:val="19"/>
          <w:color w:val="auto"/>
        </w:rPr>
        <w:t>(iv) non-cash Full Credit Payments that are not taxable (v) Partial Credit Payments (as defined below) and</w:t>
      </w:r>
    </w:p>
    <w:p>
      <w:pPr>
        <w:ind w:left="860" w:right="60" w:firstLine="2"/>
        <w:spacing w:after="0" w:line="217" w:lineRule="auto"/>
        <w:tabs>
          <w:tab w:leader="none" w:pos="118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Times New Roman" w:cs="Times New Roman" w:eastAsia="Times New Roman" w:hAnsi="Times New Roman"/>
          <w:sz w:val="19"/>
          <w:szCs w:val="19"/>
          <w:b w:val="1"/>
          <w:bCs w:val="1"/>
          <w:i w:val="1"/>
          <w:iCs w:val="1"/>
          <w:color w:val="auto"/>
        </w:rPr>
        <w:t>Full Credit Payment</w:t>
      </w:r>
      <w:r>
        <w:rPr>
          <w:rFonts w:ascii="Times New Roman" w:cs="Times New Roman" w:eastAsia="Times New Roman" w:hAnsi="Times New Roman"/>
          <w:sz w:val="19"/>
          <w:szCs w:val="19"/>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Times New Roman" w:cs="Times New Roman" w:eastAsia="Times New Roman" w:hAnsi="Times New Roman"/>
          <w:sz w:val="19"/>
          <w:szCs w:val="19"/>
          <w:b w:val="1"/>
          <w:bCs w:val="1"/>
          <w:i w:val="1"/>
          <w:iCs w:val="1"/>
          <w:color w:val="auto"/>
        </w:rPr>
        <w:t>Partial Credit Payment</w:t>
      </w:r>
      <w:r>
        <w:rPr>
          <w:rFonts w:ascii="Times New Roman" w:cs="Times New Roman" w:eastAsia="Times New Roman" w:hAnsi="Times New Roman"/>
          <w:sz w:val="19"/>
          <w:szCs w:val="19"/>
          <w:color w:val="auto"/>
        </w:rPr>
        <w:t>” means any payment, distribution or benefit that is not a Full Credit Payment. In no event shall Executive have any discretion with respect to the ordering of payment reductions.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80"/>
          </w:cols>
          <w:pgMar w:left="400" w:top="1440" w:right="1319" w:bottom="1440" w:gutter="0" w:footer="0" w:header="0"/>
        </w:sectPr>
      </w:pPr>
    </w:p>
    <w:bookmarkStart w:id="186" w:name="page187"/>
    <w:bookmarkEnd w:id="186"/>
    <w:p>
      <w:pPr>
        <w:spacing w:after="0" w:line="228" w:lineRule="exact"/>
        <w:rPr>
          <w:sz w:val="20"/>
          <w:szCs w:val="20"/>
          <w:color w:val="auto"/>
        </w:rPr>
      </w:pPr>
    </w:p>
    <w:p>
      <w:pPr>
        <w:ind w:left="1820" w:hanging="323"/>
        <w:spacing w:after="0"/>
        <w:tabs>
          <w:tab w:leader="none" w:pos="182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w:t>
      </w:r>
    </w:p>
    <w:p>
      <w:pPr>
        <w:spacing w:after="0" w:line="2"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meanings:</w:t>
      </w:r>
    </w:p>
    <w:p>
      <w:pPr>
        <w:spacing w:after="0" w:line="153" w:lineRule="exact"/>
        <w:rPr>
          <w:rFonts w:ascii="Times New Roman" w:cs="Times New Roman" w:eastAsia="Times New Roman" w:hAnsi="Times New Roman"/>
          <w:sz w:val="19"/>
          <w:szCs w:val="19"/>
          <w:color w:val="auto"/>
        </w:rPr>
      </w:pPr>
    </w:p>
    <w:p>
      <w:pPr>
        <w:ind w:left="2760" w:hanging="626"/>
        <w:spacing w:after="0"/>
        <w:tabs>
          <w:tab w:leader="none" w:pos="2760"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means:</w:t>
      </w:r>
    </w:p>
    <w:p>
      <w:pPr>
        <w:spacing w:after="0" w:line="196" w:lineRule="exact"/>
        <w:rPr>
          <w:rFonts w:ascii="Times New Roman" w:cs="Times New Roman" w:eastAsia="Times New Roman" w:hAnsi="Times New Roman"/>
          <w:sz w:val="19"/>
          <w:szCs w:val="19"/>
          <w:color w:val="auto"/>
        </w:rPr>
      </w:pPr>
    </w:p>
    <w:p>
      <w:pPr>
        <w:ind w:left="860" w:right="260" w:firstLine="1909"/>
        <w:spacing w:after="0" w:line="229" w:lineRule="auto"/>
        <w:tabs>
          <w:tab w:leader="none" w:pos="3096"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willful, deliberate and repeated failure to substantially perform his assigned duties (other than a failure resulting from Executive’s Disability), which failure is not cured within thirty (30) days after a written demand for substantial performance is received by Executive from the Board which identifies the manner in which the Board believes Executive has not substantially performed his duties;</w:t>
      </w:r>
    </w:p>
    <w:p>
      <w:pPr>
        <w:spacing w:after="0" w:line="146" w:lineRule="exact"/>
        <w:rPr>
          <w:rFonts w:ascii="Times New Roman" w:cs="Times New Roman" w:eastAsia="Times New Roman" w:hAnsi="Times New Roman"/>
          <w:sz w:val="19"/>
          <w:szCs w:val="19"/>
          <w:color w:val="auto"/>
        </w:rPr>
      </w:pPr>
    </w:p>
    <w:p>
      <w:pPr>
        <w:ind w:left="860" w:right="40" w:firstLine="1909"/>
        <w:spacing w:after="0" w:line="229" w:lineRule="auto"/>
        <w:tabs>
          <w:tab w:leader="none" w:pos="3097"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illegal or intentional gross misconduct in the performance of his duties hereunder that is materially injurious to the Company’s business and/or reputation, which, if capable being cured, is not cured within thirty (30) days after written notice from the Board, which written notice shall state that failure to cure may result in termination for Cause;</w:t>
      </w:r>
    </w:p>
    <w:p>
      <w:pPr>
        <w:spacing w:after="0" w:line="173" w:lineRule="exact"/>
        <w:rPr>
          <w:rFonts w:ascii="Times New Roman" w:cs="Times New Roman" w:eastAsia="Times New Roman" w:hAnsi="Times New Roman"/>
          <w:sz w:val="19"/>
          <w:szCs w:val="19"/>
          <w:color w:val="auto"/>
        </w:rPr>
      </w:pPr>
    </w:p>
    <w:p>
      <w:pPr>
        <w:ind w:left="860" w:right="240" w:firstLine="1909"/>
        <w:spacing w:after="0" w:line="285" w:lineRule="auto"/>
        <w:tabs>
          <w:tab w:leader="none" w:pos="3098"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unauthorized and willful use or disclosure of any proprietary information or trade secrets of the Company where such use or disclosure causes material harm to the Company; or</w:t>
      </w:r>
    </w:p>
    <w:p>
      <w:pPr>
        <w:spacing w:after="0" w:line="128" w:lineRule="exact"/>
        <w:rPr>
          <w:rFonts w:ascii="Times New Roman" w:cs="Times New Roman" w:eastAsia="Times New Roman" w:hAnsi="Times New Roman"/>
          <w:sz w:val="19"/>
          <w:szCs w:val="19"/>
          <w:color w:val="auto"/>
        </w:rPr>
      </w:pPr>
    </w:p>
    <w:p>
      <w:pPr>
        <w:jc w:val="both"/>
        <w:ind w:left="860" w:right="60" w:firstLine="1909"/>
        <w:spacing w:after="0" w:line="234" w:lineRule="auto"/>
        <w:tabs>
          <w:tab w:leader="none" w:pos="3100"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Executive’s conviction of, 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 felony or any crime involving fraud, embezzlement or theft which is materially injurious, or reasonably expected to be materially injurious, to the Company’s business or reputation.</w:t>
      </w:r>
    </w:p>
    <w:p>
      <w:pPr>
        <w:spacing w:after="0" w:line="167"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w:t>
      </w:r>
    </w:p>
    <w:p>
      <w:pPr>
        <w:spacing w:after="0" w:line="32"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amended:</w:t>
      </w:r>
    </w:p>
    <w:p>
      <w:pPr>
        <w:spacing w:after="0" w:line="192" w:lineRule="exact"/>
        <w:rPr>
          <w:rFonts w:ascii="Times New Roman" w:cs="Times New Roman" w:eastAsia="Times New Roman" w:hAnsi="Times New Roman"/>
          <w:sz w:val="19"/>
          <w:szCs w:val="19"/>
          <w:color w:val="auto"/>
        </w:rPr>
      </w:pPr>
    </w:p>
    <w:p>
      <w:pPr>
        <w:ind w:left="860" w:right="20" w:firstLine="1273"/>
        <w:spacing w:after="0" w:line="289" w:lineRule="auto"/>
        <w:tabs>
          <w:tab w:leader="none" w:pos="2466"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the occurrence of any of the following:</w:t>
      </w:r>
    </w:p>
    <w:p>
      <w:pPr>
        <w:spacing w:after="0" w:line="127" w:lineRule="exact"/>
        <w:rPr>
          <w:rFonts w:ascii="Times New Roman" w:cs="Times New Roman" w:eastAsia="Times New Roman" w:hAnsi="Times New Roman"/>
          <w:sz w:val="19"/>
          <w:szCs w:val="19"/>
          <w:color w:val="auto"/>
        </w:rPr>
      </w:pPr>
    </w:p>
    <w:p>
      <w:pPr>
        <w:ind w:left="860" w:right="420" w:firstLine="1909"/>
        <w:spacing w:after="0" w:line="224" w:lineRule="auto"/>
        <w:tabs>
          <w:tab w:leader="none" w:pos="3096"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59" w:lineRule="exact"/>
        <w:rPr>
          <w:rFonts w:ascii="Times New Roman" w:cs="Times New Roman" w:eastAsia="Times New Roman" w:hAnsi="Times New Roman"/>
          <w:sz w:val="19"/>
          <w:szCs w:val="19"/>
          <w:color w:val="auto"/>
        </w:rPr>
      </w:pPr>
    </w:p>
    <w:p>
      <w:pPr>
        <w:ind w:left="860" w:right="60" w:firstLine="1909"/>
        <w:spacing w:after="0" w:line="223" w:lineRule="auto"/>
        <w:tabs>
          <w:tab w:leader="none" w:pos="3097"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6(c)(i) in connection with a merger, consolidation or reorganization which does not result in a Change in Control under Section 6(c)(i));</w:t>
      </w:r>
    </w:p>
    <w:p>
      <w:pPr>
        <w:spacing w:after="0" w:line="159" w:lineRule="exact"/>
        <w:rPr>
          <w:rFonts w:ascii="Times New Roman" w:cs="Times New Roman" w:eastAsia="Times New Roman" w:hAnsi="Times New Roman"/>
          <w:sz w:val="19"/>
          <w:szCs w:val="19"/>
          <w:color w:val="auto"/>
        </w:rPr>
      </w:pPr>
    </w:p>
    <w:p>
      <w:pPr>
        <w:ind w:left="860" w:firstLine="1909"/>
        <w:spacing w:after="0"/>
        <w:tabs>
          <w:tab w:leader="none" w:pos="3098" w:val="left"/>
        </w:tabs>
        <w:numPr>
          <w:ilvl w:val="2"/>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80"/>
          </w:cols>
          <w:pgMar w:left="400" w:top="1440" w:right="1319" w:bottom="1440" w:gutter="0" w:footer="0" w:header="0"/>
        </w:sectPr>
      </w:pPr>
    </w:p>
    <w:bookmarkStart w:id="187" w:name="page188"/>
    <w:bookmarkEnd w:id="187"/>
    <w:p>
      <w:pPr>
        <w:spacing w:after="0" w:line="241" w:lineRule="exact"/>
        <w:rPr>
          <w:sz w:val="20"/>
          <w:szCs w:val="20"/>
          <w:color w:val="auto"/>
        </w:rPr>
      </w:pPr>
    </w:p>
    <w:p>
      <w:pPr>
        <w:ind w:left="3400" w:hanging="630"/>
        <w:spacing w:after="0"/>
        <w:tabs>
          <w:tab w:leader="none" w:pos="34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any transaction as a result of which any Person</w:t>
      </w:r>
    </w:p>
    <w:p>
      <w:pPr>
        <w:spacing w:after="0" w:line="16" w:lineRule="exact"/>
        <w:rPr>
          <w:sz w:val="20"/>
          <w:szCs w:val="20"/>
          <w:color w:val="auto"/>
        </w:rPr>
      </w:pPr>
    </w:p>
    <w:p>
      <w:pPr>
        <w:ind w:left="860" w:right="200"/>
        <w:spacing w:after="0" w:line="211" w:lineRule="auto"/>
        <w:rPr>
          <w:sz w:val="20"/>
          <w:szCs w:val="20"/>
          <w:color w:val="auto"/>
        </w:rPr>
      </w:pPr>
      <w:r>
        <w:rPr>
          <w:rFonts w:ascii="Times New Roman" w:cs="Times New Roman" w:eastAsia="Times New Roman" w:hAnsi="Times New Roman"/>
          <w:sz w:val="19"/>
          <w:szCs w:val="19"/>
          <w:color w:val="auto"/>
        </w:rPr>
        <w:t>becomes the “beneficial owner” (as defined in Rule 13d-3 under the Securities Exchange Act of 1934 (the “</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directly or indirectly, of securities of the Company representing at least 50% of the total voting power</w:t>
      </w:r>
    </w:p>
    <w:p>
      <w:pPr>
        <w:ind w:left="860"/>
        <w:spacing w:after="0" w:line="218" w:lineRule="auto"/>
        <w:rPr>
          <w:sz w:val="20"/>
          <w:szCs w:val="20"/>
          <w:color w:val="auto"/>
        </w:rPr>
      </w:pPr>
      <w:r>
        <w:rPr>
          <w:rFonts w:ascii="Times New Roman" w:cs="Times New Roman" w:eastAsia="Times New Roman" w:hAnsi="Times New Roman"/>
          <w:sz w:val="19"/>
          <w:szCs w:val="19"/>
          <w:color w:val="auto"/>
        </w:rPr>
        <w:t>represented by the Company’s then outstanding voting securities. For purposes of this Section 6(c)(iv), (A) if any Person</w:t>
      </w:r>
    </w:p>
    <w:p>
      <w:pPr>
        <w:ind w:left="860" w:right="320"/>
        <w:spacing w:after="0" w:line="211" w:lineRule="auto"/>
        <w:rPr>
          <w:sz w:val="20"/>
          <w:szCs w:val="20"/>
          <w:color w:val="auto"/>
        </w:rPr>
      </w:pPr>
      <w:r>
        <w:rPr>
          <w:rFonts w:ascii="Times New Roman" w:cs="Times New Roman" w:eastAsia="Times New Roman" w:hAnsi="Times New Roman"/>
          <w:sz w:val="19"/>
          <w:szCs w:val="19"/>
          <w:color w:val="auto"/>
        </w:rPr>
        <w:t>who is the beneficial owner, directly or indirectly, of securities of the Company representing at least 50% of the total voting power represented by the Company’s then outstanding voting securities acquires additional securities of the</w:t>
      </w:r>
    </w:p>
    <w:p>
      <w:pPr>
        <w:ind w:left="860" w:right="160"/>
        <w:spacing w:after="0" w:line="218" w:lineRule="auto"/>
        <w:rPr>
          <w:sz w:val="20"/>
          <w:szCs w:val="20"/>
          <w:color w:val="auto"/>
        </w:rPr>
      </w:pPr>
      <w:r>
        <w:rPr>
          <w:rFonts w:ascii="Times New Roman" w:cs="Times New Roman" w:eastAsia="Times New Roman" w:hAnsi="Times New Roman"/>
          <w:sz w:val="19"/>
          <w:szCs w:val="19"/>
          <w:color w:val="auto"/>
        </w:rPr>
        <w:t>Company, such acquisition of additional securities will not be considered to cause a Change in Control pursuant to this Section 6(c)(iv), and (B)</w:t>
      </w:r>
    </w:p>
    <w:p>
      <w:pPr>
        <w:spacing w:after="0" w:line="1" w:lineRule="exact"/>
        <w:rPr>
          <w:sz w:val="20"/>
          <w:szCs w:val="20"/>
          <w:color w:val="auto"/>
        </w:rPr>
      </w:pPr>
    </w:p>
    <w:p>
      <w:pPr>
        <w:ind w:left="860" w:right="100"/>
        <w:spacing w:after="0" w:line="275" w:lineRule="auto"/>
        <w:rPr>
          <w:sz w:val="20"/>
          <w:szCs w:val="20"/>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shall have the same meaning as when used in sections 13(d) and 14(d) of the Exchange Act but shall exclude:</w:t>
      </w:r>
    </w:p>
    <w:p>
      <w:pPr>
        <w:spacing w:after="0" w:line="127" w:lineRule="exact"/>
        <w:rPr>
          <w:sz w:val="20"/>
          <w:szCs w:val="20"/>
          <w:color w:val="auto"/>
        </w:rPr>
      </w:pPr>
    </w:p>
    <w:p>
      <w:pPr>
        <w:ind w:left="860" w:right="20" w:firstLine="2546"/>
        <w:spacing w:after="0" w:line="256" w:lineRule="auto"/>
        <w:tabs>
          <w:tab w:leader="none" w:pos="373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trustee or other fiduciary holding securities under an employee benefit plan of the Company or an affiliate of the Company;</w:t>
      </w:r>
    </w:p>
    <w:p>
      <w:pPr>
        <w:spacing w:after="0" w:line="132" w:lineRule="exact"/>
        <w:rPr>
          <w:rFonts w:ascii="Times New Roman" w:cs="Times New Roman" w:eastAsia="Times New Roman" w:hAnsi="Times New Roman"/>
          <w:sz w:val="19"/>
          <w:szCs w:val="19"/>
          <w:color w:val="auto"/>
        </w:rPr>
      </w:pPr>
    </w:p>
    <w:p>
      <w:pPr>
        <w:ind w:left="3740" w:hanging="334"/>
        <w:spacing w:after="0"/>
        <w:tabs>
          <w:tab w:leader="none" w:pos="37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corporation or other entity owned directly or indirectly by the stockholders of the</w:t>
      </w: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in substantially the same proportions as their ownership of the Company’s Common Stock;</w:t>
      </w:r>
    </w:p>
    <w:p>
      <w:pPr>
        <w:spacing w:after="0" w:line="170" w:lineRule="exact"/>
        <w:rPr>
          <w:rFonts w:ascii="Times New Roman" w:cs="Times New Roman" w:eastAsia="Times New Roman" w:hAnsi="Times New Roman"/>
          <w:sz w:val="19"/>
          <w:szCs w:val="19"/>
          <w:color w:val="auto"/>
        </w:rPr>
      </w:pPr>
    </w:p>
    <w:p>
      <w:pPr>
        <w:ind w:left="4040" w:hanging="633"/>
        <w:spacing w:after="0"/>
        <w:tabs>
          <w:tab w:leader="none" w:pos="40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w:t>
      </w:r>
    </w:p>
    <w:p>
      <w:pPr>
        <w:spacing w:after="0" w:line="192" w:lineRule="exact"/>
        <w:rPr>
          <w:rFonts w:ascii="Times New Roman" w:cs="Times New Roman" w:eastAsia="Times New Roman" w:hAnsi="Times New Roman"/>
          <w:sz w:val="19"/>
          <w:szCs w:val="19"/>
          <w:color w:val="auto"/>
        </w:rPr>
      </w:pPr>
    </w:p>
    <w:p>
      <w:pPr>
        <w:ind w:left="860" w:firstLine="2546"/>
        <w:spacing w:after="0" w:line="241" w:lineRule="auto"/>
        <w:tabs>
          <w:tab w:leader="none" w:pos="373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corporation or other entity of which at least a majority of its combined voting power is owned directly or indirectly by the Company.</w:t>
      </w:r>
    </w:p>
    <w:p>
      <w:pPr>
        <w:spacing w:after="0" w:line="171" w:lineRule="exact"/>
        <w:rPr>
          <w:sz w:val="20"/>
          <w:szCs w:val="20"/>
          <w:color w:val="auto"/>
        </w:rPr>
      </w:pPr>
    </w:p>
    <w:p>
      <w:pPr>
        <w:ind w:left="860" w:right="200" w:firstLine="1907"/>
        <w:spacing w:after="0" w:line="223" w:lineRule="auto"/>
        <w:rPr>
          <w:sz w:val="20"/>
          <w:szCs w:val="20"/>
          <w:color w:val="auto"/>
        </w:rPr>
      </w:pPr>
      <w:r>
        <w:rPr>
          <w:rFonts w:ascii="Times New Roman" w:cs="Times New Roman" w:eastAsia="Times New Roman" w:hAnsi="Times New Roman"/>
          <w:sz w:val="19"/>
          <w:szCs w:val="19"/>
          <w:color w:val="auto"/>
        </w:rPr>
        <w:t>A transaction shall not constitute a Change in Control if its sole purpose is to change the state of the Company’s incorporation or to create a holding company that will be owned in</w:t>
      </w:r>
    </w:p>
    <w:p>
      <w:pPr>
        <w:ind w:left="860" w:right="820"/>
        <w:spacing w:after="0" w:line="236" w:lineRule="auto"/>
        <w:rPr>
          <w:sz w:val="20"/>
          <w:szCs w:val="20"/>
          <w:color w:val="auto"/>
        </w:rPr>
      </w:pPr>
      <w:r>
        <w:rPr>
          <w:rFonts w:ascii="Times New Roman" w:cs="Times New Roman" w:eastAsia="Times New Roman" w:hAnsi="Times New Roman"/>
          <w:sz w:val="19"/>
          <w:szCs w:val="19"/>
          <w:color w:val="auto"/>
        </w:rPr>
        <w:t>substantially the same proportions by the persons who held the Company’s securities immediately before such transactions.</w:t>
      </w:r>
    </w:p>
    <w:p>
      <w:pPr>
        <w:spacing w:after="0" w:line="167" w:lineRule="exact"/>
        <w:rPr>
          <w:sz w:val="20"/>
          <w:szCs w:val="20"/>
          <w:color w:val="auto"/>
        </w:rPr>
      </w:pPr>
    </w:p>
    <w:p>
      <w:pPr>
        <w:ind w:left="860" w:right="340" w:firstLine="1273"/>
        <w:spacing w:after="0" w:line="304" w:lineRule="auto"/>
        <w:tabs>
          <w:tab w:leader="none" w:pos="2463"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 Period</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Change in Control Period</w:t>
      </w:r>
      <w:r>
        <w:rPr>
          <w:rFonts w:ascii="Times New Roman" w:cs="Times New Roman" w:eastAsia="Times New Roman" w:hAnsi="Times New Roman"/>
          <w:sz w:val="19"/>
          <w:szCs w:val="19"/>
          <w:color w:val="auto"/>
        </w:rPr>
        <w:t>” means the period beginning three (3) months prior to, and ending eighteen (18) months following, a Change in Control.</w:t>
      </w:r>
    </w:p>
    <w:p>
      <w:pPr>
        <w:spacing w:after="0" w:line="95"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total and permanent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disability as defined in Section 22(e) (3) of the Code.</w:t>
      </w:r>
    </w:p>
    <w:p>
      <w:pPr>
        <w:spacing w:after="0" w:line="153" w:lineRule="exact"/>
        <w:rPr>
          <w:sz w:val="20"/>
          <w:szCs w:val="20"/>
          <w:color w:val="auto"/>
        </w:rPr>
      </w:pPr>
    </w:p>
    <w:p>
      <w:pPr>
        <w:ind w:left="860" w:right="500" w:firstLine="1273"/>
        <w:spacing w:after="0" w:line="239" w:lineRule="auto"/>
        <w:tabs>
          <w:tab w:leader="none" w:pos="2457"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b w:val="1"/>
          <w:bCs w:val="1"/>
          <w:i w:val="1"/>
          <w:iCs w:val="1"/>
          <w:color w:val="auto"/>
        </w:rPr>
        <w:t>Equity Award</w:t>
      </w:r>
      <w:r>
        <w:rPr>
          <w:rFonts w:ascii="Times New Roman" w:cs="Times New Roman" w:eastAsia="Times New Roman" w:hAnsi="Times New Roman"/>
          <w:sz w:val="19"/>
          <w:szCs w:val="19"/>
          <w:color w:val="auto"/>
        </w:rPr>
        <w:t>” means each then outstanding award relating to the Company’s common stock (whether stock options, stock appreciation rights, shares of restricted stock, restricted stock units, performance shares, performance units or other similar awards).</w:t>
      </w:r>
    </w:p>
    <w:p>
      <w:pPr>
        <w:spacing w:after="0" w:line="155" w:lineRule="exact"/>
        <w:rPr>
          <w:rFonts w:ascii="Times New Roman" w:cs="Times New Roman" w:eastAsia="Times New Roman" w:hAnsi="Times New Roman"/>
          <w:sz w:val="19"/>
          <w:szCs w:val="19"/>
          <w:color w:val="auto"/>
        </w:rPr>
      </w:pPr>
    </w:p>
    <w:p>
      <w:pPr>
        <w:ind w:left="860" w:right="400" w:firstLine="1273"/>
        <w:spacing w:after="0" w:line="266" w:lineRule="auto"/>
        <w:tabs>
          <w:tab w:leader="none" w:pos="2463"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For purposes of this Agreement, resignation for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means Executive’s resignation due to the occurrence of any of the following conditions which occurs without Executive’s written consent, provided that the requirements regarding advance notice and an opportunity to cure set forth below are satisfied:</w:t>
      </w:r>
    </w:p>
    <w:p>
      <w:pPr>
        <w:spacing w:after="0" w:line="148" w:lineRule="exact"/>
        <w:rPr>
          <w:rFonts w:ascii="Times New Roman" w:cs="Times New Roman" w:eastAsia="Times New Roman" w:hAnsi="Times New Roman"/>
          <w:sz w:val="19"/>
          <w:szCs w:val="19"/>
          <w:color w:val="auto"/>
        </w:rPr>
      </w:pPr>
    </w:p>
    <w:p>
      <w:pPr>
        <w:jc w:val="both"/>
        <w:ind w:left="920" w:right="340" w:firstLine="1849"/>
        <w:spacing w:after="0" w:line="273" w:lineRule="auto"/>
        <w:tabs>
          <w:tab w:leader="none" w:pos="3092"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adverse change to Executive’s authority, duties or responsibilities that, taken as a whole, results in a material diminution in Executive’s authority, duties or responsibilities in effect prior to such change;</w:t>
      </w:r>
    </w:p>
    <w:p>
      <w:pPr>
        <w:spacing w:after="0" w:line="142" w:lineRule="exact"/>
        <w:rPr>
          <w:rFonts w:ascii="Times New Roman" w:cs="Times New Roman" w:eastAsia="Times New Roman" w:hAnsi="Times New Roman"/>
          <w:sz w:val="19"/>
          <w:szCs w:val="19"/>
          <w:color w:val="auto"/>
        </w:rPr>
      </w:pPr>
    </w:p>
    <w:p>
      <w:pPr>
        <w:ind w:left="920" w:right="700" w:firstLine="1849"/>
        <w:spacing w:after="0" w:line="300" w:lineRule="auto"/>
        <w:tabs>
          <w:tab w:leader="none" w:pos="3093"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 or more reduction in Executive’s then-current base salary or a 10% or more reduction in Executive’s base compensation (including base salary and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240"/>
          </w:cols>
          <w:pgMar w:left="400" w:top="1440" w:right="1259" w:bottom="1440" w:gutter="0" w:footer="0" w:header="0"/>
        </w:sectPr>
      </w:pPr>
    </w:p>
    <w:bookmarkStart w:id="188" w:name="page189"/>
    <w:bookmarkEnd w:id="188"/>
    <w:p>
      <w:pPr>
        <w:spacing w:after="0" w:line="228" w:lineRule="exact"/>
        <w:rPr>
          <w:sz w:val="20"/>
          <w:szCs w:val="20"/>
          <w:color w:val="auto"/>
        </w:rPr>
      </w:pPr>
    </w:p>
    <w:p>
      <w:pPr>
        <w:ind w:left="920" w:right="420" w:firstLine="1849"/>
        <w:spacing w:after="0" w:line="229" w:lineRule="auto"/>
        <w:tabs>
          <w:tab w:leader="none" w:pos="309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conditions Executive’s continued service with the Company on the relocation of Executive’s principal work location to a location that is more than thirty- five (35) miles from Executive’s then current principal work location and such relocation results in an increase in Executive’s one-way commuting distance from his home by thirty-five (35) miles or more;</w:t>
      </w:r>
    </w:p>
    <w:p>
      <w:pPr>
        <w:spacing w:after="0" w:line="148" w:lineRule="exact"/>
        <w:rPr>
          <w:rFonts w:ascii="Times New Roman" w:cs="Times New Roman" w:eastAsia="Times New Roman" w:hAnsi="Times New Roman"/>
          <w:sz w:val="19"/>
          <w:szCs w:val="19"/>
          <w:color w:val="auto"/>
        </w:rPr>
      </w:pPr>
    </w:p>
    <w:p>
      <w:pPr>
        <w:ind w:left="3100" w:hanging="331"/>
        <w:spacing w:after="0"/>
        <w:tabs>
          <w:tab w:leader="none" w:pos="310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the Company to obtain the assumption of this Agreement by any successor</w:t>
      </w:r>
    </w:p>
    <w:p>
      <w:pPr>
        <w:ind w:left="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Company; or</w:t>
      </w:r>
    </w:p>
    <w:p>
      <w:pPr>
        <w:spacing w:after="0" w:line="183" w:lineRule="exact"/>
        <w:rPr>
          <w:rFonts w:ascii="Times New Roman" w:cs="Times New Roman" w:eastAsia="Times New Roman" w:hAnsi="Times New Roman"/>
          <w:sz w:val="19"/>
          <w:szCs w:val="19"/>
          <w:color w:val="auto"/>
        </w:rPr>
      </w:pPr>
    </w:p>
    <w:p>
      <w:pPr>
        <w:ind w:left="920" w:right="380" w:firstLine="1849"/>
        <w:spacing w:after="0" w:line="285" w:lineRule="auto"/>
        <w:tabs>
          <w:tab w:leader="none" w:pos="309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breach or material violation of a material provision of this Agreement by the Company (or any successor to the Company).</w:t>
      </w:r>
    </w:p>
    <w:p>
      <w:pPr>
        <w:spacing w:after="0" w:line="130" w:lineRule="exact"/>
        <w:rPr>
          <w:sz w:val="20"/>
          <w:szCs w:val="20"/>
          <w:color w:val="auto"/>
        </w:rPr>
      </w:pPr>
    </w:p>
    <w:p>
      <w:pPr>
        <w:ind w:left="920"/>
        <w:spacing w:after="0" w:line="223" w:lineRule="auto"/>
        <w:rPr>
          <w:sz w:val="20"/>
          <w:szCs w:val="20"/>
          <w:color w:val="auto"/>
        </w:rPr>
      </w:pPr>
      <w:r>
        <w:rPr>
          <w:rFonts w:ascii="Times New Roman" w:cs="Times New Roman" w:eastAsia="Times New Roman" w:hAnsi="Times New Roman"/>
          <w:sz w:val="19"/>
          <w:szCs w:val="19"/>
          <w:color w:val="auto"/>
        </w:rPr>
        <w:t>In order for Executive to resign for Good Reason, Executive must provide written notice to the Company of the existence of the Good Reason condition within ninety (90) days of the initial existence of such Good Reason condition.</w:t>
      </w:r>
    </w:p>
    <w:p>
      <w:pPr>
        <w:ind w:left="920"/>
        <w:spacing w:after="0" w:line="218" w:lineRule="auto"/>
        <w:rPr>
          <w:sz w:val="20"/>
          <w:szCs w:val="20"/>
          <w:color w:val="auto"/>
        </w:rPr>
      </w:pPr>
      <w:r>
        <w:rPr>
          <w:rFonts w:ascii="Times New Roman" w:cs="Times New Roman" w:eastAsia="Times New Roman" w:hAnsi="Times New Roman"/>
          <w:sz w:val="19"/>
          <w:szCs w:val="19"/>
          <w:color w:val="auto"/>
        </w:rPr>
        <w:t>Upon receipt of such notice, the Company will have thirty (30) days during which it may remedy the Good Reason</w:t>
      </w:r>
    </w:p>
    <w:p>
      <w:pPr>
        <w:spacing w:after="0" w:line="1" w:lineRule="exact"/>
        <w:rPr>
          <w:sz w:val="20"/>
          <w:szCs w:val="20"/>
          <w:color w:val="auto"/>
        </w:rPr>
      </w:pPr>
    </w:p>
    <w:p>
      <w:pPr>
        <w:ind w:left="920" w:right="80"/>
        <w:spacing w:after="0" w:line="211" w:lineRule="auto"/>
        <w:rPr>
          <w:sz w:val="20"/>
          <w:szCs w:val="20"/>
          <w:color w:val="auto"/>
        </w:rPr>
      </w:pPr>
      <w:r>
        <w:rPr>
          <w:rFonts w:ascii="Times New Roman" w:cs="Times New Roman" w:eastAsia="Times New Roman" w:hAnsi="Times New Roman"/>
          <w:sz w:val="19"/>
          <w:szCs w:val="19"/>
          <w:color w:val="auto"/>
        </w:rPr>
        <w:t>condition and not be required to provide the severance payments and benefits described herein as a result of such proposed resignation. If the Good Reason condition is not remedied within such thirty (30) day cure period, Executive</w:t>
      </w:r>
    </w:p>
    <w:p>
      <w:pPr>
        <w:ind w:left="920" w:right="700"/>
        <w:spacing w:after="0" w:line="236" w:lineRule="auto"/>
        <w:rPr>
          <w:sz w:val="20"/>
          <w:szCs w:val="20"/>
          <w:color w:val="auto"/>
        </w:rPr>
      </w:pPr>
      <w:r>
        <w:rPr>
          <w:rFonts w:ascii="Times New Roman" w:cs="Times New Roman" w:eastAsia="Times New Roman" w:hAnsi="Times New Roman"/>
          <w:sz w:val="19"/>
          <w:szCs w:val="19"/>
          <w:color w:val="auto"/>
        </w:rPr>
        <w:t>may resign based on the Good Reason condition specified in the notice effective no later than ninety (90) days following the expiration of the thirty (30) day cure period.</w:t>
      </w:r>
    </w:p>
    <w:p>
      <w:pPr>
        <w:spacing w:after="0" w:line="158" w:lineRule="exact"/>
        <w:rPr>
          <w:sz w:val="20"/>
          <w:szCs w:val="20"/>
          <w:color w:val="auto"/>
        </w:rPr>
      </w:pPr>
    </w:p>
    <w:p>
      <w:pPr>
        <w:ind w:left="2140" w:hanging="642"/>
        <w:spacing w:after="0"/>
        <w:tabs>
          <w:tab w:leader="none" w:pos="21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left="860" w:right="180" w:firstLine="1273"/>
        <w:spacing w:after="0" w:line="223" w:lineRule="auto"/>
        <w:tabs>
          <w:tab w:leader="none" w:pos="2466"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Successors</w:t>
      </w:r>
      <w:r>
        <w:rPr>
          <w:rFonts w:ascii="Times New Roman" w:cs="Times New Roman" w:eastAsia="Times New Roman" w:hAnsi="Times New Roman"/>
          <w:sz w:val="19"/>
          <w:szCs w:val="19"/>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such successor to the Company’s business and/or assets.</w:t>
      </w:r>
    </w:p>
    <w:p>
      <w:pPr>
        <w:spacing w:after="0" w:line="173" w:lineRule="exact"/>
        <w:rPr>
          <w:rFonts w:ascii="Times New Roman" w:cs="Times New Roman" w:eastAsia="Times New Roman" w:hAnsi="Times New Roman"/>
          <w:sz w:val="19"/>
          <w:szCs w:val="19"/>
          <w:color w:val="auto"/>
        </w:rPr>
      </w:pPr>
    </w:p>
    <w:p>
      <w:pPr>
        <w:ind w:left="920" w:right="140" w:firstLine="1213"/>
        <w:spacing w:after="0" w:line="266" w:lineRule="auto"/>
        <w:tabs>
          <w:tab w:leader="none" w:pos="246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48" w:lineRule="exact"/>
        <w:rPr>
          <w:rFonts w:ascii="Times New Roman" w:cs="Times New Roman" w:eastAsia="Times New Roman" w:hAnsi="Times New Roman"/>
          <w:sz w:val="19"/>
          <w:szCs w:val="19"/>
          <w:color w:val="auto"/>
        </w:rPr>
      </w:pPr>
    </w:p>
    <w:p>
      <w:pPr>
        <w:ind w:left="2140" w:hanging="642"/>
        <w:spacing w:after="0"/>
        <w:tabs>
          <w:tab w:leader="none" w:pos="21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ind w:left="920" w:right="80" w:firstLine="1213"/>
        <w:spacing w:after="0" w:line="223" w:lineRule="auto"/>
        <w:tabs>
          <w:tab w:leader="none" w:pos="2462"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at the home address which he most recently communicated to the Company in writing. In the case of the Company, mailed notices will be addressed to its corporate headquarters, and all notices will be directed to the attention of the Company’s Secretary (or, if Executive is the Company’s Secretary, any other executive officer of the Company).</w:t>
      </w:r>
    </w:p>
    <w:p>
      <w:pPr>
        <w:spacing w:after="0" w:line="159" w:lineRule="exact"/>
        <w:rPr>
          <w:rFonts w:ascii="Times New Roman" w:cs="Times New Roman" w:eastAsia="Times New Roman" w:hAnsi="Times New Roman"/>
          <w:sz w:val="19"/>
          <w:szCs w:val="19"/>
          <w:color w:val="auto"/>
        </w:rPr>
      </w:pPr>
    </w:p>
    <w:p>
      <w:pPr>
        <w:jc w:val="both"/>
        <w:ind w:left="920" w:right="400" w:firstLine="1213"/>
        <w:spacing w:after="0" w:line="224" w:lineRule="auto"/>
        <w:tabs>
          <w:tab w:leader="none" w:pos="246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Any termination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200"/>
          </w:cols>
          <w:pgMar w:left="400" w:top="1440" w:right="1299" w:bottom="1440" w:gutter="0" w:footer="0" w:header="0"/>
        </w:sectPr>
      </w:pPr>
    </w:p>
    <w:bookmarkStart w:id="189" w:name="page190"/>
    <w:bookmarkEnd w:id="189"/>
    <w:p>
      <w:pPr>
        <w:spacing w:after="0" w:line="227" w:lineRule="exact"/>
        <w:rPr>
          <w:sz w:val="20"/>
          <w:szCs w:val="20"/>
          <w:color w:val="auto"/>
        </w:rPr>
      </w:pPr>
    </w:p>
    <w:p>
      <w:pPr>
        <w:ind w:left="2140" w:hanging="642"/>
        <w:spacing w:after="0"/>
        <w:tabs>
          <w:tab w:leader="none" w:pos="21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ind w:left="860" w:right="220" w:firstLine="1273"/>
        <w:spacing w:after="0" w:line="233" w:lineRule="auto"/>
        <w:tabs>
          <w:tab w:leader="none" w:pos="2466"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earnings that Executive may receive from any other source reduce any such payment.</w:t>
      </w:r>
    </w:p>
    <w:p>
      <w:pPr>
        <w:spacing w:after="0" w:line="158" w:lineRule="exact"/>
        <w:rPr>
          <w:rFonts w:ascii="Times New Roman" w:cs="Times New Roman" w:eastAsia="Times New Roman" w:hAnsi="Times New Roman"/>
          <w:sz w:val="19"/>
          <w:szCs w:val="19"/>
          <w:color w:val="auto"/>
        </w:rPr>
      </w:pPr>
    </w:p>
    <w:p>
      <w:pPr>
        <w:ind w:left="860" w:right="40" w:firstLine="1273"/>
        <w:spacing w:after="0" w:line="224" w:lineRule="auto"/>
        <w:tabs>
          <w:tab w:leader="none" w:pos="2463"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9"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reference only and do not form a part of this Agreement.</w:t>
      </w:r>
    </w:p>
    <w:p>
      <w:pPr>
        <w:spacing w:after="0" w:line="157" w:lineRule="exact"/>
        <w:rPr>
          <w:sz w:val="20"/>
          <w:szCs w:val="20"/>
          <w:color w:val="auto"/>
        </w:rPr>
      </w:pPr>
    </w:p>
    <w:p>
      <w:pPr>
        <w:ind w:left="860" w:right="160" w:firstLine="1273"/>
        <w:spacing w:after="0" w:line="256" w:lineRule="auto"/>
        <w:tabs>
          <w:tab w:leader="none" w:pos="246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w:t>
      </w:r>
    </w:p>
    <w:p>
      <w:pPr>
        <w:spacing w:after="0" w:line="143" w:lineRule="exact"/>
        <w:rPr>
          <w:rFonts w:ascii="Times New Roman" w:cs="Times New Roman" w:eastAsia="Times New Roman" w:hAnsi="Times New Roman"/>
          <w:sz w:val="19"/>
          <w:szCs w:val="19"/>
          <w:color w:val="auto"/>
        </w:rPr>
      </w:pPr>
    </w:p>
    <w:p>
      <w:pPr>
        <w:ind w:left="860" w:firstLine="1273"/>
        <w:spacing w:after="0" w:line="220" w:lineRule="auto"/>
        <w:tabs>
          <w:tab w:leader="none" w:pos="246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parties hereto and supersedes all prior or contemporaneous agreements with respect to the subject matter of this Agreement. Further, this Agreement supersedes in their entirety any and all prior offer letters or employment agreements entered into by and between Executive and the Company, which offer letters and employment agreements shall be null and void. No waiver, alteration, or modification of any of the provisions of this Agreement will be binding unless in writing and signed by duly authorized representatives of the parties hereto and which specifically mention this Agreement. In entering into this Agreement, no party has relied on or made any representation, warranty, inducement, promise, or understanding that is not in this Agreement. To the extent that any provisions of this Agreement conflict with those of any other agreement between Executive and the Company, the terms in this Agreement will prevail.</w:t>
      </w:r>
    </w:p>
    <w:p>
      <w:pPr>
        <w:spacing w:after="0" w:line="145" w:lineRule="exact"/>
        <w:rPr>
          <w:rFonts w:ascii="Times New Roman" w:cs="Times New Roman" w:eastAsia="Times New Roman" w:hAnsi="Times New Roman"/>
          <w:sz w:val="19"/>
          <w:szCs w:val="19"/>
          <w:color w:val="auto"/>
        </w:rPr>
      </w:pPr>
    </w:p>
    <w:p>
      <w:pPr>
        <w:jc w:val="both"/>
        <w:ind w:left="860" w:right="120" w:firstLine="1273"/>
        <w:spacing w:after="0" w:line="229" w:lineRule="auto"/>
        <w:tabs>
          <w:tab w:leader="none" w:pos="245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becomes or is declared by a court of competent jurisdiction to be illegal, unenforceable, or void, this Agreement will continue in full force and effect without said provision or portion of provision. The remainder of this Agreement shall be interpreted so as best to effect the intent of the Company and Executive.</w:t>
      </w:r>
    </w:p>
    <w:p>
      <w:pPr>
        <w:spacing w:after="0" w:line="159" w:lineRule="exact"/>
        <w:rPr>
          <w:rFonts w:ascii="Times New Roman" w:cs="Times New Roman" w:eastAsia="Times New Roman" w:hAnsi="Times New Roman"/>
          <w:sz w:val="19"/>
          <w:szCs w:val="19"/>
          <w:color w:val="auto"/>
        </w:rPr>
      </w:pPr>
    </w:p>
    <w:p>
      <w:pPr>
        <w:ind w:left="860" w:right="440" w:firstLine="1273"/>
        <w:spacing w:after="0" w:line="233" w:lineRule="auto"/>
        <w:tabs>
          <w:tab w:leader="none" w:pos="246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Withholding and Required Deductions</w:t>
      </w:r>
      <w:r>
        <w:rPr>
          <w:rFonts w:ascii="Times New Roman" w:cs="Times New Roman" w:eastAsia="Times New Roman" w:hAnsi="Times New Roman"/>
          <w:sz w:val="19"/>
          <w:szCs w:val="19"/>
          <w:color w:val="auto"/>
        </w:rPr>
        <w:t>. All payments and, if applicable, benefits made pursuant to this Agreement will be subject to all applicable taxes, withholding of taxes, and any other required deductions.</w:t>
      </w:r>
    </w:p>
    <w:p>
      <w:pPr>
        <w:spacing w:after="0" w:line="171" w:lineRule="exact"/>
        <w:rPr>
          <w:rFonts w:ascii="Times New Roman" w:cs="Times New Roman" w:eastAsia="Times New Roman" w:hAnsi="Times New Roman"/>
          <w:sz w:val="19"/>
          <w:szCs w:val="19"/>
          <w:color w:val="auto"/>
        </w:rPr>
      </w:pPr>
    </w:p>
    <w:p>
      <w:pPr>
        <w:ind w:left="2460" w:hanging="327"/>
        <w:spacing w:after="0"/>
        <w:tabs>
          <w:tab w:leader="none" w:pos="246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w:t>
      </w:r>
    </w:p>
    <w:p>
      <w:pPr>
        <w:spacing w:after="0" w:line="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an original, but all of which together will constitute one and the same instrument.</w:t>
      </w:r>
    </w:p>
    <w:p>
      <w:pPr>
        <w:spacing w:after="0" w:line="200" w:lineRule="exact"/>
        <w:rPr>
          <w:sz w:val="20"/>
          <w:szCs w:val="20"/>
          <w:color w:val="auto"/>
        </w:rPr>
      </w:pPr>
    </w:p>
    <w:p>
      <w:pPr>
        <w:spacing w:after="0" w:line="3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60"/>
          </w:cols>
          <w:pgMar w:left="400" w:top="1440" w:right="1339" w:bottom="1440" w:gutter="0" w:footer="0" w:header="0"/>
        </w:sectPr>
      </w:pPr>
    </w:p>
    <w:bookmarkStart w:id="190" w:name="page191"/>
    <w:bookmarkEnd w:id="190"/>
    <w:p>
      <w:pPr>
        <w:ind w:right="239"/>
        <w:spacing w:after="0" w:line="256"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pacing w:after="0" w:line="1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COMPANY</w:t>
        <w:tab/>
        <w:t>BEYOND MEAT, INC.</w:t>
      </w:r>
    </w:p>
    <w:p>
      <w:pPr>
        <w:spacing w:after="0" w:line="219"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9"/>
          <w:szCs w:val="19"/>
          <w:color w:val="auto"/>
        </w:rPr>
        <w:t>By:</w:t>
        <w:tab/>
        <w:t>/s/ Jackie Trask</w:t>
      </w:r>
    </w:p>
    <w:p>
      <w:pPr>
        <w:ind w:left="1620"/>
        <w:spacing w:after="0" w:line="206" w:lineRule="auto"/>
        <w:tabs>
          <w:tab w:leader="none" w:pos="2200" w:val="left"/>
        </w:tabs>
        <w:rPr>
          <w:sz w:val="20"/>
          <w:szCs w:val="20"/>
          <w:color w:val="auto"/>
        </w:rPr>
      </w:pPr>
      <w:r>
        <w:rPr>
          <w:rFonts w:ascii="Times New Roman" w:cs="Times New Roman" w:eastAsia="Times New Roman" w:hAnsi="Times New Roman"/>
          <w:sz w:val="19"/>
          <w:szCs w:val="19"/>
          <w:color w:val="auto"/>
        </w:rPr>
        <w:t>Title:</w:t>
        <w:tab/>
        <w:t>Chief People Officer</w:t>
      </w:r>
    </w:p>
    <w:p>
      <w:pPr>
        <w:ind w:left="1620"/>
        <w:spacing w:after="0"/>
        <w:rPr>
          <w:sz w:val="20"/>
          <w:szCs w:val="20"/>
          <w:color w:val="auto"/>
        </w:rPr>
      </w:pPr>
      <w:r>
        <w:rPr>
          <w:rFonts w:ascii="Times New Roman" w:cs="Times New Roman" w:eastAsia="Times New Roman" w:hAnsi="Times New Roman"/>
          <w:sz w:val="19"/>
          <w:szCs w:val="19"/>
          <w:color w:val="auto"/>
        </w:rPr>
        <w:t>Date: 5/5/2021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w:t>
      </w: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By: /s/ Jonathan Nelson</w:t>
      </w:r>
    </w:p>
    <w:p>
      <w:pPr>
        <w:ind w:left="1620"/>
        <w:spacing w:after="0"/>
        <w:rPr>
          <w:sz w:val="20"/>
          <w:szCs w:val="20"/>
          <w:color w:val="auto"/>
        </w:rPr>
      </w:pPr>
      <w:r>
        <w:rPr>
          <w:rFonts w:ascii="Times New Roman" w:cs="Times New Roman" w:eastAsia="Times New Roman" w:hAnsi="Times New Roman"/>
          <w:sz w:val="19"/>
          <w:szCs w:val="19"/>
          <w:color w:val="auto"/>
        </w:rPr>
        <w:t>Date: 5/5/2021</w:t>
      </w:r>
    </w:p>
    <w:p>
      <w:pPr>
        <w:sectPr>
          <w:pgSz w:w="11900" w:h="16838" w:orient="portrait"/>
          <w:cols w:equalWidth="0" w:num="1">
            <w:col w:w="9199"/>
          </w:cols>
          <w:pgMar w:left="1260" w:top="1203" w:right="1440"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r>
        <w:rPr>
          <w:rFonts w:ascii="Times New Roman" w:cs="Times New Roman" w:eastAsia="Times New Roman" w:hAnsi="Times New Roman"/>
          <w:sz w:val="19"/>
          <w:szCs w:val="19"/>
          <w:color w:val="auto"/>
        </w:rPr>
        <w:t>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[logo]</w:t>
      </w: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119 Standard St.</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 xml:space="preserve">El Segundo, CA 90245 </w:t>
      </w:r>
      <w:r>
        <w:rPr>
          <w:rFonts w:ascii="Times New Roman" w:cs="Times New Roman" w:eastAsia="Times New Roman" w:hAnsi="Times New Roman"/>
          <w:sz w:val="19"/>
          <w:szCs w:val="19"/>
          <w:b w:val="1"/>
          <w:bCs w:val="1"/>
          <w:color w:val="auto"/>
        </w:rPr>
        <w:t>October 13, 2022</w:t>
      </w:r>
      <w:r>
        <w:rPr>
          <w:rFonts w:ascii="Times New Roman" w:cs="Times New Roman" w:eastAsia="Times New Roman" w:hAnsi="Times New Roman"/>
          <w:sz w:val="19"/>
          <w:szCs w:val="19"/>
          <w:color w:val="auto"/>
        </w:rPr>
        <w:t xml:space="preserve"> Jonathan Nelson</w:t>
      </w: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[Address]</w:t>
      </w:r>
    </w:p>
    <w:p>
      <w:pPr>
        <w:spacing w:after="0" w:line="96" w:lineRule="exact"/>
        <w:rPr>
          <w:sz w:val="20"/>
          <w:szCs w:val="20"/>
          <w:color w:val="auto"/>
        </w:rPr>
      </w:pPr>
    </w:p>
    <w:p>
      <w:pPr>
        <w:ind w:left="10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9"/>
          <w:szCs w:val="19"/>
          <w:b w:val="1"/>
          <w:bCs w:val="1"/>
          <w:u w:val="single" w:color="auto"/>
          <w:color w:val="auto"/>
        </w:rPr>
        <w:t>Amendment of Employment Terms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Dear Jon,</w:t>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We are pleased to provide you with this letter agreement which sets forth certain amended terms of your employment with Beyond</w:t>
      </w:r>
    </w:p>
    <w:p>
      <w:pPr>
        <w:spacing w:after="0" w:line="2" w:lineRule="exact"/>
        <w:rPr>
          <w:sz w:val="20"/>
          <w:szCs w:val="20"/>
          <w:color w:val="auto"/>
        </w:rPr>
      </w:pPr>
    </w:p>
    <w:p>
      <w:pPr>
        <w:ind w:left="100" w:right="160"/>
        <w:spacing w:after="0" w:line="211" w:lineRule="auto"/>
        <w:rPr>
          <w:sz w:val="20"/>
          <w:szCs w:val="20"/>
          <w:color w:val="auto"/>
        </w:rPr>
      </w:pPr>
      <w:r>
        <w:rPr>
          <w:rFonts w:ascii="Times New Roman" w:cs="Times New Roman" w:eastAsia="Times New Roman" w:hAnsi="Times New Roman"/>
          <w:sz w:val="19"/>
          <w:szCs w:val="19"/>
          <w:color w:val="auto"/>
        </w:rPr>
        <w:t>Meat,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effective as of October 13, 2022. To the extent the terms set forth herein differ from the terms set forth in the offer letter entered into by and between you and the Company dated May 5, 2021 (the “</w:t>
      </w:r>
      <w:r>
        <w:rPr>
          <w:rFonts w:ascii="Times New Roman" w:cs="Times New Roman" w:eastAsia="Times New Roman" w:hAnsi="Times New Roman"/>
          <w:sz w:val="19"/>
          <w:szCs w:val="19"/>
          <w:u w:val="single" w:color="auto"/>
          <w:color w:val="auto"/>
        </w:rPr>
        <w:t>Offer Letter</w:t>
      </w:r>
      <w:r>
        <w:rPr>
          <w:rFonts w:ascii="Times New Roman" w:cs="Times New Roman" w:eastAsia="Times New Roman" w:hAnsi="Times New Roman"/>
          <w:sz w:val="19"/>
          <w:szCs w:val="19"/>
          <w:color w:val="auto"/>
        </w:rPr>
        <w:t>”), the terms of the</w:t>
      </w:r>
    </w:p>
    <w:p>
      <w:pPr>
        <w:ind w:left="100"/>
        <w:spacing w:after="0"/>
        <w:rPr>
          <w:sz w:val="20"/>
          <w:szCs w:val="20"/>
          <w:color w:val="auto"/>
        </w:rPr>
      </w:pPr>
      <w:r>
        <w:rPr>
          <w:rFonts w:ascii="Times New Roman" w:cs="Times New Roman" w:eastAsia="Times New Roman" w:hAnsi="Times New Roman"/>
          <w:sz w:val="19"/>
          <w:szCs w:val="19"/>
          <w:color w:val="auto"/>
        </w:rPr>
        <w:t>Offer Letter are hereby superseded. Otherwise, the Offer Letter remains in full force and effect.</w:t>
      </w:r>
    </w:p>
    <w:p>
      <w:pPr>
        <w:spacing w:after="0" w:line="193" w:lineRule="exact"/>
        <w:rPr>
          <w:sz w:val="20"/>
          <w:szCs w:val="20"/>
          <w:color w:val="auto"/>
        </w:rPr>
      </w:pPr>
    </w:p>
    <w:p>
      <w:pPr>
        <w:jc w:val="both"/>
        <w:ind w:left="100" w:right="100" w:hanging="6"/>
        <w:spacing w:after="0" w:line="268" w:lineRule="auto"/>
        <w:tabs>
          <w:tab w:leader="none" w:pos="64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Position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have the position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Senior Vice President, Operations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will continue to be based from your home in</w:t>
      </w:r>
      <w:r>
        <w:rPr>
          <w:rFonts w:ascii="Times New Roman" w:cs="Times New Roman" w:eastAsia="Times New Roman" w:hAnsi="Times New Roman"/>
          <w:sz w:val="19"/>
          <w:szCs w:val="19"/>
          <w:b w:val="1"/>
          <w:bCs w:val="1"/>
          <w:color w:val="auto"/>
        </w:rPr>
        <w:t xml:space="preserve"> Andover, MN</w:t>
      </w:r>
      <w:r>
        <w:rPr>
          <w:rFonts w:ascii="Times New Roman" w:cs="Times New Roman" w:eastAsia="Times New Roman" w:hAnsi="Times New Roman"/>
          <w:sz w:val="19"/>
          <w:szCs w:val="19"/>
          <w:color w:val="auto"/>
        </w:rPr>
        <w:t>, making regular trips to the Company’s plants in Columbia, MS and Devault, PA and headquarters in El Segundo, CA. Your manager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Ethan Brown</w:t>
      </w:r>
      <w:r>
        <w:rPr>
          <w:rFonts w:ascii="Times New Roman" w:cs="Times New Roman" w:eastAsia="Times New Roman" w:hAnsi="Times New Roman"/>
          <w:sz w:val="19"/>
          <w:szCs w:val="19"/>
          <w:color w:val="auto"/>
        </w:rPr>
        <w:t>.</w:t>
      </w:r>
    </w:p>
    <w:p>
      <w:pPr>
        <w:spacing w:after="0" w:line="142" w:lineRule="exact"/>
        <w:rPr>
          <w:rFonts w:ascii="Times New Roman" w:cs="Times New Roman" w:eastAsia="Times New Roman" w:hAnsi="Times New Roman"/>
          <w:sz w:val="19"/>
          <w:szCs w:val="19"/>
          <w:color w:val="auto"/>
        </w:rPr>
      </w:pPr>
    </w:p>
    <w:p>
      <w:pPr>
        <w:ind w:left="100" w:right="100" w:hanging="6"/>
        <w:spacing w:after="0" w:line="304" w:lineRule="auto"/>
        <w:tabs>
          <w:tab w:leader="none" w:pos="64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Base Salary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Your base salary will be increased to the gross amount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$355,000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per year</w:t>
      </w:r>
      <w:r>
        <w:rPr>
          <w:rFonts w:ascii="Times New Roman" w:cs="Times New Roman" w:eastAsia="Times New Roman" w:hAnsi="Times New Roman"/>
          <w:sz w:val="19"/>
          <w:szCs w:val="19"/>
          <w:color w:val="auto"/>
        </w:rPr>
        <w:t>, payable on the Company’s regular payroll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dates. This is an </w:t>
      </w:r>
      <w:r>
        <w:rPr>
          <w:rFonts w:ascii="Times New Roman" w:cs="Times New Roman" w:eastAsia="Times New Roman" w:hAnsi="Times New Roman"/>
          <w:sz w:val="19"/>
          <w:szCs w:val="19"/>
          <w:b w:val="1"/>
          <w:bCs w:val="1"/>
          <w:i w:val="1"/>
          <w:iCs w:val="1"/>
          <w:color w:val="auto"/>
        </w:rPr>
        <w:t>Exempt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position</w:t>
      </w:r>
      <w:r>
        <w:rPr>
          <w:rFonts w:ascii="Times New Roman" w:cs="Times New Roman" w:eastAsia="Times New Roman" w:hAnsi="Times New Roman"/>
          <w:sz w:val="19"/>
          <w:szCs w:val="19"/>
          <w:color w:val="auto"/>
        </w:rPr>
        <w:t xml:space="preserve"> and you are ineligible for overtime.</w:t>
      </w:r>
    </w:p>
    <w:p>
      <w:pPr>
        <w:spacing w:after="0" w:line="95" w:lineRule="exact"/>
        <w:rPr>
          <w:rFonts w:ascii="Times New Roman" w:cs="Times New Roman" w:eastAsia="Times New Roman" w:hAnsi="Times New Roman"/>
          <w:sz w:val="19"/>
          <w:szCs w:val="19"/>
          <w:color w:val="auto"/>
        </w:rPr>
      </w:pPr>
    </w:p>
    <w:p>
      <w:pPr>
        <w:jc w:val="both"/>
        <w:ind w:left="100" w:right="100" w:hanging="6"/>
        <w:spacing w:after="0" w:line="230" w:lineRule="auto"/>
        <w:tabs>
          <w:tab w:leader="none" w:pos="64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Annual Discretionary Bonus.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continue to be eligible to earn an annual discretionary bonus in effect for the applicable fiscal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year, on the terms and subject to the conditions set forth in the Offer Letter, including the annual discretionary bonus target for the fiscal year of 40% of your base salary. For purposes of clarity, the base salary used to determine any applicable bonus will be the base salary in effect on the date such bonus is determined.</w:t>
      </w:r>
    </w:p>
    <w:p>
      <w:pPr>
        <w:spacing w:after="0" w:line="156" w:lineRule="exact"/>
        <w:rPr>
          <w:rFonts w:ascii="Times New Roman" w:cs="Times New Roman" w:eastAsia="Times New Roman" w:hAnsi="Times New Roman"/>
          <w:sz w:val="19"/>
          <w:szCs w:val="19"/>
          <w:color w:val="auto"/>
        </w:rPr>
      </w:pPr>
    </w:p>
    <w:p>
      <w:pPr>
        <w:jc w:val="both"/>
        <w:ind w:left="100" w:right="100" w:hanging="6"/>
        <w:spacing w:after="0" w:line="213" w:lineRule="auto"/>
        <w:tabs>
          <w:tab w:leader="none" w:pos="64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Retention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approval of the Human Capital Management and Compensation Committee (the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xml:space="preserve">”), you will be granted an award of restricted stock units valued at </w:t>
      </w:r>
      <w:r>
        <w:rPr>
          <w:rFonts w:ascii="Times New Roman" w:cs="Times New Roman" w:eastAsia="Times New Roman" w:hAnsi="Times New Roman"/>
          <w:sz w:val="19"/>
          <w:szCs w:val="19"/>
          <w:b w:val="1"/>
          <w:bCs w:val="1"/>
          <w:i w:val="1"/>
          <w:iCs w:val="1"/>
          <w:color w:val="auto"/>
        </w:rPr>
        <w:t>$250,000</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RSU Award</w:t>
      </w:r>
      <w:r>
        <w:rPr>
          <w:rFonts w:ascii="Times New Roman" w:cs="Times New Roman" w:eastAsia="Times New Roman" w:hAnsi="Times New Roman"/>
          <w:sz w:val="19"/>
          <w:szCs w:val="19"/>
          <w:color w:val="auto"/>
        </w:rPr>
        <w:t>”) under the Company’s 2018 Equity Incentive Plan (as such plan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The number of shares subject to the RSU Award will be determined by dividing the dollar value of the RSU Award by the Closing Price and rounding up to the nearest whole number of shares. The Closing Price shall equal the closing price of the Company’s Common Stock as reported on the NASDAQ Global Select Market for the date of grant. We expect the RSU Award to be granted to you the next time the Compensation Committee approves equity awards pursuant to the Plan. The RSU Award will generally be subject to the terms and conditions of the Plan and the applicable RSU agreement and will vest and become non-forfeitable with respect to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total shares subject to the RSU Award on each quarterly anniversary of the date of grant, such that the RSU Award will be fully vested 1 year after the date of grant, subject to your continuous service through each vesting date, as described in the applicable RSU agreement.</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hanging="6"/>
        <w:spacing w:after="0" w:line="289" w:lineRule="auto"/>
        <w:tabs>
          <w:tab w:leader="none" w:pos="643"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Taxes, Withholding, and Required Deductions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forms of compensation referred to in this letter agreement are subject to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taxes, withholding, and any other deductions required by applicable law.</w:t>
      </w:r>
    </w:p>
    <w:p>
      <w:pPr>
        <w:spacing w:after="0" w:line="109" w:lineRule="exact"/>
        <w:rPr>
          <w:rFonts w:ascii="Times New Roman" w:cs="Times New Roman" w:eastAsia="Times New Roman" w:hAnsi="Times New Roman"/>
          <w:sz w:val="19"/>
          <w:szCs w:val="19"/>
          <w:color w:val="auto"/>
        </w:rPr>
      </w:pPr>
    </w:p>
    <w:p>
      <w:pPr>
        <w:ind w:left="720" w:hanging="626"/>
        <w:spacing w:after="0"/>
        <w:tabs>
          <w:tab w:leader="none" w:pos="72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p>
    <w:p>
      <w:pPr>
        <w:spacing w:after="0" w:line="196" w:lineRule="exact"/>
        <w:rPr>
          <w:rFonts w:ascii="Times New Roman" w:cs="Times New Roman" w:eastAsia="Times New Roman" w:hAnsi="Times New Roman"/>
          <w:sz w:val="19"/>
          <w:szCs w:val="19"/>
          <w:color w:val="auto"/>
        </w:rPr>
      </w:pPr>
    </w:p>
    <w:p>
      <w:pPr>
        <w:jc w:val="both"/>
        <w:ind w:left="100" w:firstLine="629"/>
        <w:spacing w:after="0" w:line="233" w:lineRule="auto"/>
        <w:tabs>
          <w:tab w:leader="none" w:pos="1282"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validity, interpretation, construction and performance of this letter agreement, and all acts and transactions pursuant hereto and the rights and obligations of the parties hereto shall be governed, construed and interpreted in accordance with the laws of the state in which you primarily perform work, without giving effect to principles of conflicts of law.</w:t>
      </w:r>
    </w:p>
    <w:p>
      <w:pPr>
        <w:spacing w:after="0" w:line="185" w:lineRule="exact"/>
        <w:rPr>
          <w:rFonts w:ascii="Times New Roman" w:cs="Times New Roman" w:eastAsia="Times New Roman" w:hAnsi="Times New Roman"/>
          <w:sz w:val="19"/>
          <w:szCs w:val="19"/>
          <w:color w:val="auto"/>
        </w:rPr>
      </w:pPr>
    </w:p>
    <w:p>
      <w:pPr>
        <w:jc w:val="both"/>
        <w:ind w:left="100" w:firstLine="629"/>
        <w:spacing w:after="0" w:line="233" w:lineRule="auto"/>
        <w:tabs>
          <w:tab w:leader="none" w:pos="1279"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letter agreement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spacing w:after="0" w:line="171" w:lineRule="exact"/>
        <w:rPr>
          <w:rFonts w:ascii="Times New Roman" w:cs="Times New Roman" w:eastAsia="Times New Roman" w:hAnsi="Times New Roman"/>
          <w:sz w:val="19"/>
          <w:szCs w:val="19"/>
          <w:color w:val="auto"/>
        </w:rPr>
      </w:pPr>
    </w:p>
    <w:p>
      <w:pPr>
        <w:jc w:val="both"/>
        <w:ind w:left="100" w:firstLine="629"/>
        <w:spacing w:after="0" w:line="224" w:lineRule="auto"/>
        <w:tabs>
          <w:tab w:leader="none" w:pos="1282"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letter agreement may be executed in any number of counterparts, each of which when so executed and delivered shall be deemed an original, and all of which together shall constitute one and the same agreement of the terms of the letter agreement. Execution of a facsimile, electronic signature, scanned image will have the same force and effect as execution of an original, and a facsimile, electronic signature, or scanned image signature is deemed an original and valid signature and the contents of this letter agreement may not be challenged on that basis.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Thank you for your hard work and dedication to Beyond Meat. Please keep a copy of this letter agreement for your records.</w:t>
      </w:r>
    </w:p>
    <w:p>
      <w:pPr>
        <w:spacing w:after="0" w:line="2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b w:val="1"/>
          <w:bCs w:val="1"/>
          <w:color w:val="auto"/>
        </w:rPr>
        <w:t>BEYOND MEAT, INC.</w:t>
      </w:r>
    </w:p>
    <w:p>
      <w:pPr>
        <w:spacing w:after="0" w:line="196" w:lineRule="exact"/>
        <w:rPr>
          <w:sz w:val="20"/>
          <w:szCs w:val="20"/>
          <w:color w:val="auto"/>
        </w:rPr>
      </w:pPr>
    </w:p>
    <w:p>
      <w:pPr>
        <w:ind w:left="4540"/>
        <w:spacing w:after="0"/>
        <w:tabs>
          <w:tab w:leader="none" w:pos="5000" w:val="left"/>
          <w:tab w:leader="none" w:pos="6440" w:val="left"/>
        </w:tabs>
        <w:rPr>
          <w:sz w:val="20"/>
          <w:szCs w:val="20"/>
          <w:color w:val="auto"/>
        </w:rPr>
      </w:pPr>
      <w:r>
        <w:rPr>
          <w:rFonts w:ascii="Times New Roman" w:cs="Times New Roman" w:eastAsia="Times New Roman" w:hAnsi="Times New Roman"/>
          <w:sz w:val="19"/>
          <w:szCs w:val="19"/>
          <w:color w:val="auto"/>
        </w:rPr>
        <w:t>By:</w:t>
        <w:tab/>
        <w:t>/s/ Jackie Trask</w:t>
        <w:tab/>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-5715</wp:posOffset>
            </wp:positionV>
            <wp:extent cx="1009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 Jackie Trask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-5715</wp:posOffset>
            </wp:positionV>
            <wp:extent cx="7696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59" w:lineRule="exact"/>
        <w:rPr>
          <w:sz w:val="20"/>
          <w:szCs w:val="20"/>
          <w:color w:val="auto"/>
        </w:rPr>
      </w:pPr>
    </w:p>
    <w:p>
      <w:pPr>
        <w:jc w:val="center"/>
        <w:ind w:right="-159"/>
        <w:spacing w:after="0"/>
        <w:tabs>
          <w:tab w:leader="none" w:pos="180" w:val="left"/>
        </w:tabs>
        <w:rPr>
          <w:sz w:val="20"/>
          <w:szCs w:val="20"/>
          <w:color w:val="auto"/>
        </w:rPr>
      </w:pPr>
      <w:r>
        <w:rPr>
          <w:rFonts w:ascii="Times New Roman" w:cs="Times New Roman" w:eastAsia="Times New Roman" w:hAnsi="Times New Roman"/>
          <w:sz w:val="19"/>
          <w:szCs w:val="19"/>
          <w:color w:val="auto"/>
        </w:rPr>
        <w:t>Title:</w:t>
        <w:tab/>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-5715</wp:posOffset>
            </wp:positionV>
            <wp:extent cx="12712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ACCEPTED AND AGREED:</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Jonathan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1696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Jonathan Nelson</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123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1"/>
          <w:szCs w:val="21"/>
          <w:b w:val="1"/>
          <w:bCs w:val="1"/>
          <w:color w:val="auto"/>
        </w:rPr>
        <w:t>Exhibit 19.1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firstLine="636"/>
        <w:spacing w:after="0" w:line="212" w:lineRule="auto"/>
        <w:rPr>
          <w:sz w:val="20"/>
          <w:szCs w:val="20"/>
          <w:color w:val="auto"/>
        </w:rPr>
      </w:pPr>
      <w:r>
        <w:rPr>
          <w:rFonts w:ascii="Calibri" w:cs="Calibri" w:eastAsia="Calibri" w:hAnsi="Calibri"/>
          <w:sz w:val="19"/>
          <w:szCs w:val="19"/>
          <w:color w:val="auto"/>
        </w:rPr>
        <w:t>The Board of Directors of Beyond Meat, Inc. (the “Company”) has adopted this policy to provide guidelines to all directors, ofcers, and employees of the Company and its subsidiaries and certain other designated persons with respect to trading in the Company securites, as well as the securites of publicly traded companies with whom the Company has a business relatonship.</w:t>
      </w:r>
    </w:p>
    <w:p>
      <w:pPr>
        <w:spacing w:after="0" w:line="207" w:lineRule="exact"/>
        <w:rPr>
          <w:sz w:val="20"/>
          <w:szCs w:val="20"/>
          <w:color w:val="auto"/>
        </w:rPr>
      </w:pPr>
    </w:p>
    <w:p>
      <w:pPr>
        <w:jc w:val="both"/>
        <w:ind w:firstLine="636"/>
        <w:spacing w:after="0" w:line="210" w:lineRule="auto"/>
        <w:rPr>
          <w:sz w:val="20"/>
          <w:szCs w:val="20"/>
          <w:color w:val="auto"/>
        </w:rPr>
      </w:pPr>
      <w:r>
        <w:rPr>
          <w:rFonts w:ascii="Calibri" w:cs="Calibri" w:eastAsia="Calibri" w:hAnsi="Calibri"/>
          <w:sz w:val="19"/>
          <w:szCs w:val="19"/>
          <w:color w:val="auto"/>
        </w:rPr>
        <w:t>This policy has been designed to prevent insider trading or even allegatons of insider trading. Your strict adherence to this policy will help safeguard the Company’s reputaton and will further ensure that the Company conducts its business with the highest level of integrity and in accordance with the highest ethical standards. Each individual is responsible for the consequences of his or her actons. You are responsible for understanding and complying with this policy and for ensuring that members of your household comply with this policy.</w:t>
      </w:r>
    </w:p>
    <w:p>
      <w:pPr>
        <w:spacing w:after="0" w:line="142" w:lineRule="exact"/>
        <w:rPr>
          <w:sz w:val="20"/>
          <w:szCs w:val="20"/>
          <w:color w:val="auto"/>
        </w:rPr>
      </w:pPr>
    </w:p>
    <w:p>
      <w:pPr>
        <w:jc w:val="both"/>
        <w:ind w:firstLine="636"/>
        <w:spacing w:after="0" w:line="210" w:lineRule="auto"/>
        <w:rPr>
          <w:sz w:val="20"/>
          <w:szCs w:val="20"/>
          <w:color w:val="auto"/>
        </w:rPr>
      </w:pPr>
      <w:r>
        <w:rPr>
          <w:rFonts w:ascii="Calibri" w:cs="Calibri" w:eastAsia="Calibri" w:hAnsi="Calibri"/>
          <w:sz w:val="19"/>
          <w:szCs w:val="19"/>
          <w:color w:val="auto"/>
        </w:rPr>
        <w:t>Federal and state securites laws prohibit the purchase or sale of a company’s securites by anyone who is aware of material informaton about that company that is not generally known or available to the public. These laws also prohibit anyone who is aware of material non-public informaton from disclosing this informaton to others who may trade. Companies and their controlling persons may also be subject to liability if they fail to take reasonable steps to prevent insider trading by company personnel.</w:t>
      </w:r>
    </w:p>
    <w:p>
      <w:pPr>
        <w:spacing w:after="0" w:line="142" w:lineRule="exact"/>
        <w:rPr>
          <w:sz w:val="20"/>
          <w:szCs w:val="20"/>
          <w:color w:val="auto"/>
        </w:rPr>
      </w:pPr>
    </w:p>
    <w:p>
      <w:pPr>
        <w:jc w:val="both"/>
        <w:ind w:firstLine="636"/>
        <w:spacing w:after="0" w:line="221" w:lineRule="auto"/>
        <w:rPr>
          <w:sz w:val="20"/>
          <w:szCs w:val="20"/>
          <w:color w:val="auto"/>
        </w:rPr>
      </w:pPr>
      <w:r>
        <w:rPr>
          <w:rFonts w:ascii="Calibri" w:cs="Calibri" w:eastAsia="Calibri" w:hAnsi="Calibri"/>
          <w:sz w:val="19"/>
          <w:szCs w:val="19"/>
          <w:color w:val="auto"/>
        </w:rPr>
        <w:t>Insider trading is a crime. The penaltes for insider trading include civil fnes of up to three tmes the proft gained or loss avoided, and criminal fnes of up to $5,000,000 for individuals and $25 million for corporatons and up to twenty years in jail for each violaton. The Securites and Exchange Commission (“</w:t>
      </w:r>
      <w:r>
        <w:rPr>
          <w:rFonts w:ascii="Calibri" w:cs="Calibri" w:eastAsia="Calibri" w:hAnsi="Calibri"/>
          <w:sz w:val="19"/>
          <w:szCs w:val="19"/>
          <w:u w:val="single" w:color="auto"/>
          <w:color w:val="auto"/>
        </w:rPr>
        <w:t>SEC</w:t>
      </w:r>
      <w:r>
        <w:rPr>
          <w:rFonts w:ascii="Calibri" w:cs="Calibri" w:eastAsia="Calibri" w:hAnsi="Calibri"/>
          <w:sz w:val="19"/>
          <w:szCs w:val="19"/>
          <w:color w:val="auto"/>
        </w:rPr>
        <w:t>”) has imposed large penaltes even when the disclosing person did not proft from the trading. The SEC, the stock exchanges and the Financial Industry Regulatory Authority (“</w:t>
      </w:r>
      <w:r>
        <w:rPr>
          <w:rFonts w:ascii="Calibri" w:cs="Calibri" w:eastAsia="Calibri" w:hAnsi="Calibri"/>
          <w:sz w:val="19"/>
          <w:szCs w:val="19"/>
          <w:u w:val="single" w:color="auto"/>
          <w:color w:val="auto"/>
        </w:rPr>
        <w:t>FINRA</w:t>
      </w:r>
      <w:r>
        <w:rPr>
          <w:rFonts w:ascii="Calibri" w:cs="Calibri" w:eastAsia="Calibri" w:hAnsi="Calibri"/>
          <w:sz w:val="19"/>
          <w:szCs w:val="19"/>
          <w:color w:val="auto"/>
        </w:rPr>
        <w:t>”) use sophistcated electronic surveillance techniques to uncover insider trading, and there is a very high likelihood that federal or other regulatory authorites will detect and prosecute insider trading violatons involving even small dollar amounts. Employees of the Company who violate this policy shall also be subject to disciplinary acton by the Company, which may include ineligibility for future partcipaton in the Company’s equity incentve plans or terminaton of employment for cause. In additon, if the Company becomes aware of a violaton of this policy, the Company may inform the appropriate governmental authorites. In determining consequences resultng from a violaton of this policy, the Compliance Ofcer (as defned below) will consider a number of factors including, but not limited to, the individual’s culpability, cooperaton with the investgaton, the individual’s past violatons, if any, consistency with consequences for other violatons, if any, the availability of resttuton, penaltes assessed by regulators, the need for deterrence and the extent of the harm to the Company, including the impact on Company culture.</w:t>
      </w:r>
    </w:p>
    <w:p>
      <w:pPr>
        <w:spacing w:after="0" w:line="14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Persons Covered</w:t>
      </w:r>
    </w:p>
    <w:p>
      <w:pPr>
        <w:spacing w:after="0" w:line="139" w:lineRule="exact"/>
        <w:rPr>
          <w:sz w:val="20"/>
          <w:szCs w:val="20"/>
          <w:color w:val="auto"/>
        </w:rPr>
      </w:pPr>
    </w:p>
    <w:p>
      <w:pPr>
        <w:jc w:val="both"/>
        <w:ind w:firstLine="636"/>
        <w:spacing w:after="0" w:line="212" w:lineRule="auto"/>
        <w:rPr>
          <w:sz w:val="20"/>
          <w:szCs w:val="20"/>
          <w:color w:val="auto"/>
        </w:rPr>
      </w:pPr>
      <w:r>
        <w:rPr>
          <w:rFonts w:ascii="Calibri" w:cs="Calibri" w:eastAsia="Calibri" w:hAnsi="Calibri"/>
          <w:sz w:val="19"/>
          <w:szCs w:val="19"/>
          <w:color w:val="auto"/>
        </w:rPr>
        <w:t>As a director, ofcer, or employee of the Company or its subsidiaries, this policy applies to you. This policy also applies to you if you have been designated by the Compliance Ofcer (as defned below) as being subject to this policy. The same restrictons that apply to you apply to your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290" w:right="339" w:bottom="1440" w:gutter="0" w:footer="0" w:header="0"/>
        </w:sectPr>
      </w:pPr>
    </w:p>
    <w:bookmarkStart w:id="194" w:name="page195"/>
    <w:bookmarkEnd w:id="194"/>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09" w:lineRule="auto"/>
        <w:rPr>
          <w:sz w:val="20"/>
          <w:szCs w:val="20"/>
          <w:color w:val="auto"/>
        </w:rPr>
      </w:pPr>
      <w:r>
        <w:rPr>
          <w:rFonts w:ascii="Calibri" w:cs="Calibri" w:eastAsia="Calibri" w:hAnsi="Calibri"/>
          <w:sz w:val="19"/>
          <w:szCs w:val="19"/>
          <w:color w:val="auto"/>
        </w:rPr>
        <w:t>who reside with you, anyone else who lives in your household, and any family members who do not live in your household but whose transactons in the Company securites are directed by you or are subject to your infuence or control (such as parents or children who consult with you before they trade in the Company securites); it also covers venture capital frms and other enttes (such as partnerships, trusts and corporatons) that are afliated or associated with you or such persons. You are responsible for making sure that any transacton in securites covered by this policy by you or any of these people or enttes complies with this policy. All such persons subject to this policy are herein referred to as “Covered Persons.”</w:t>
      </w:r>
    </w:p>
    <w:p>
      <w:pPr>
        <w:spacing w:after="0" w:line="140"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An afliate of a person subject to this policy is someone who directly or indirectly controls or is controlled by, or is under common control with such person. An associate of a person subject to this policy is (x) a corporaton or organizaton (other than the Company or a majority owned subsidiary of the Company) of which such person is an ofcer or partner or is directly or indirectly the benefcial owner of 10% or more of any class of equity securites or (y) any trust in which such person has a substantal benefcial interest or as to which such person serves as trustee or in a similar capacity.</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Defniton of Material Non-Public Informaton</w:t>
      </w:r>
    </w:p>
    <w:p>
      <w:pPr>
        <w:spacing w:after="0" w:line="139" w:lineRule="exact"/>
        <w:rPr>
          <w:sz w:val="20"/>
          <w:szCs w:val="20"/>
          <w:color w:val="auto"/>
        </w:rPr>
      </w:pPr>
    </w:p>
    <w:p>
      <w:pPr>
        <w:ind w:left="640"/>
        <w:spacing w:after="0"/>
        <w:rPr>
          <w:sz w:val="20"/>
          <w:szCs w:val="20"/>
          <w:color w:val="auto"/>
        </w:rPr>
      </w:pPr>
      <w:r>
        <w:rPr>
          <w:rFonts w:ascii="Calibri" w:cs="Calibri" w:eastAsia="Calibri" w:hAnsi="Calibri"/>
          <w:sz w:val="19"/>
          <w:szCs w:val="19"/>
          <w:color w:val="auto"/>
        </w:rPr>
        <w:t>“Material non-public informaton” is any material informaton about a company that is non-public.</w:t>
      </w:r>
    </w:p>
    <w:p>
      <w:pPr>
        <w:spacing w:after="0" w:line="139" w:lineRule="exact"/>
        <w:rPr>
          <w:sz w:val="20"/>
          <w:szCs w:val="20"/>
          <w:color w:val="auto"/>
        </w:rPr>
      </w:pPr>
    </w:p>
    <w:p>
      <w:pPr>
        <w:jc w:val="both"/>
        <w:ind w:firstLine="636"/>
        <w:spacing w:after="0" w:line="209" w:lineRule="auto"/>
        <w:rPr>
          <w:sz w:val="20"/>
          <w:szCs w:val="20"/>
          <w:color w:val="auto"/>
        </w:rPr>
      </w:pPr>
      <w:r>
        <w:rPr>
          <w:rFonts w:ascii="Calibri" w:cs="Calibri" w:eastAsia="Calibri" w:hAnsi="Calibri"/>
          <w:sz w:val="19"/>
          <w:szCs w:val="19"/>
          <w:color w:val="auto"/>
        </w:rPr>
        <w:t>Informaton is “material” if a reasonable investor would likely consider it important in making a decision to buy, hold or sell securites. Any informaton that could reasonably be expected to afect the price of the security is material. The informaton may be positve or negatve. Financial informaton is frequently material, even if it covers only part of a fscal period or less than all of the Company’s operatons, since either of these might convey enough informaton about the Company’s consolidated results to be considered material informaton. Other common examples of informaton that may be material include:</w:t>
      </w:r>
    </w:p>
    <w:p>
      <w:pPr>
        <w:spacing w:after="0" w:line="169" w:lineRule="exact"/>
        <w:rPr>
          <w:sz w:val="20"/>
          <w:szCs w:val="20"/>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informaton regarding sales, revenues or earnings (including projectons);</w:t>
      </w:r>
    </w:p>
    <w:p>
      <w:pPr>
        <w:spacing w:after="0" w:line="165" w:lineRule="exact"/>
        <w:rPr>
          <w:rFonts w:ascii="Times New Roman" w:cs="Times New Roman" w:eastAsia="Times New Roman" w:hAnsi="Times New Roman"/>
          <w:sz w:val="19"/>
          <w:szCs w:val="19"/>
          <w:color w:val="auto"/>
        </w:rPr>
      </w:pPr>
    </w:p>
    <w:p>
      <w:pPr>
        <w:ind w:left="1280" w:right="20" w:hanging="638"/>
        <w:spacing w:after="0" w:line="222" w:lineRule="auto"/>
        <w:tabs>
          <w:tab w:leader="none" w:pos="1268"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informaton regarding fnancial results, fnancial conditon and fnancial forecasts of any kind, including earnings estmates, changes in previously announced earnings estmates or estmates of expenses;</w:t>
      </w:r>
    </w:p>
    <w:p>
      <w:pPr>
        <w:spacing w:after="0" w:line="166"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changes in manufacturing and producton capacity;</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business trends and metrics;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proposed mergers, acquisitons, investments or divesttures;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developments in products or services;</w:t>
      </w:r>
    </w:p>
    <w:p>
      <w:pPr>
        <w:spacing w:after="0" w:line="152"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3"/>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availability of sufcient high quality, raw materials to manufacture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quality or health issues with our products or other issues that adversely afect the Company’s brand and reputaton</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gain or loss of substantal customers or suppliers;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executon, renewal, changes to or terminaton of signifcant contracts;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layofs or restructurings;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cybersecurity incidents and data breaches;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capital requirements, fnancings or restructurings;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unusual gains or losses;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changes in business strategies;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developments in signifcant litgaton or government investgatons;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disrupton in, or breach in security of informaton technology systems and resultant interruptons in service;</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public or private debt or equity oferings;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signifcant changes in senior management or board of directors;</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Company share repurchases; or</w:t>
      </w:r>
    </w:p>
    <w:p>
      <w:pPr>
        <w:spacing w:after="0" w:line="165"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Calibri" w:cs="Calibri" w:eastAsia="Calibri" w:hAnsi="Calibri"/>
          <w:sz w:val="19"/>
          <w:szCs w:val="19"/>
          <w:color w:val="auto"/>
        </w:rPr>
        <w:t>stock splits or dividend informaton.</w:t>
      </w:r>
    </w:p>
    <w:p>
      <w:pPr>
        <w:spacing w:after="0" w:line="139"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It is not possible to defne all categories of material informaton, and you should recognize that the public, the media and the courts may use hindsight in judging what is material. Further, the materiality of partcular informaton is subject to reassessment on a regular basis. Therefore, it is important to err on the safe side and assume informaton is material if there is any doubt. You may also consult with the Compliance Ofcer. The “Compliance Ofcer” means the Company’s Chief Legal Ofcer; provided that in the event there is no Chief Legal Ofcer or the Chief Legal Ofcer is unavailable, the Company’s Chief Financial Ofcer shall be authorized to serve as the Compliance Ofcer in the interim or to designate another person as the Compliance Ofcer. While you are encouraged to consult with the Compliance Ofcer, you should be aware that the Compliance Ofcer cannot provide you with personal legal advice.</w:t>
      </w:r>
    </w:p>
    <w:p>
      <w:pPr>
        <w:spacing w:after="0" w:line="143" w:lineRule="exact"/>
        <w:rPr>
          <w:sz w:val="20"/>
          <w:szCs w:val="20"/>
          <w:color w:val="auto"/>
        </w:rPr>
      </w:pPr>
    </w:p>
    <w:p>
      <w:pPr>
        <w:jc w:val="both"/>
        <w:ind w:firstLine="636"/>
        <w:spacing w:after="0" w:line="222" w:lineRule="auto"/>
        <w:rPr>
          <w:sz w:val="20"/>
          <w:szCs w:val="20"/>
          <w:color w:val="auto"/>
        </w:rPr>
      </w:pPr>
      <w:r>
        <w:rPr>
          <w:rFonts w:ascii="Calibri" w:cs="Calibri" w:eastAsia="Calibri" w:hAnsi="Calibri"/>
          <w:sz w:val="19"/>
          <w:szCs w:val="19"/>
          <w:color w:val="auto"/>
        </w:rPr>
        <w:t>Informaton is “non-public” if it is not generally known or available to the public. Informaton may stll be non-public even though it is widely known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36"/>
        <w:spacing w:after="0" w:line="235" w:lineRule="auto"/>
        <w:rPr>
          <w:sz w:val="20"/>
          <w:szCs w:val="20"/>
          <w:color w:val="auto"/>
        </w:rPr>
      </w:pPr>
      <w:r>
        <w:rPr>
          <w:rFonts w:ascii="Calibri" w:cs="Calibri" w:eastAsia="Calibri" w:hAnsi="Calibri"/>
          <w:sz w:val="19"/>
          <w:szCs w:val="19"/>
          <w:color w:val="auto"/>
        </w:rPr>
        <w:t>Release of informaton to the media does not immediately mean the informaton has become publicly available. Informaton is considered to be available to the public only when it has been released broadly to the marketplace (such as by a press release or an SEC fling) and the investng public has had tme to absorb and evaluate it. Ordinarily, informaton about the Company should not be considered public untl at least one full trading day has passed following its formal release to the market. For example, if the Company announces earnings before trading begins on a Tuesday, the frst tme you can buy or sell the Company securites is the opening of the market on Wednesday (assuming you are not aware of other material non-public informaton at that tme). If, however, the Company announces earnings afer trading begins that Tuesday, the frst tme you can buy or sell the Company securites is the opening of the market on Thursday.</w:t>
      </w:r>
    </w:p>
    <w:p>
      <w:pPr>
        <w:spacing w:after="0" w:line="14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Requirements Applicable to Everyone</w:t>
      </w:r>
    </w:p>
    <w:p>
      <w:pPr>
        <w:spacing w:after="0" w:line="1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 transactng in the Company securites while aware of material non-public informaton</w:t>
      </w:r>
    </w:p>
    <w:p>
      <w:pPr>
        <w:spacing w:after="0" w:line="139" w:lineRule="exact"/>
        <w:rPr>
          <w:sz w:val="20"/>
          <w:szCs w:val="20"/>
          <w:color w:val="auto"/>
        </w:rPr>
      </w:pPr>
    </w:p>
    <w:p>
      <w:pPr>
        <w:jc w:val="both"/>
        <w:ind w:firstLine="636"/>
        <w:spacing w:after="0"/>
        <w:rPr>
          <w:sz w:val="20"/>
          <w:szCs w:val="20"/>
          <w:color w:val="auto"/>
        </w:rPr>
      </w:pPr>
      <w:r>
        <w:rPr>
          <w:rFonts w:ascii="Calibri" w:cs="Calibri" w:eastAsia="Calibri" w:hAnsi="Calibri"/>
          <w:sz w:val="19"/>
          <w:szCs w:val="19"/>
          <w:color w:val="auto"/>
        </w:rPr>
        <w:t>You are prohibited from engaging in any transacton in the Company securites while aware of material non-public informaton about the Company. It makes no diference whether or not you relied upon or used material non- public informaton in deciding to transact in Company securites – if you are aware of material non-public informaton about the Company, the prohibiton applies. You should avoid even the appearance of an improper transacton to preserve the Company’s reputaton for adhering to the highest ethical standards of conduct.</w:t>
      </w:r>
    </w:p>
    <w:p>
      <w:pPr>
        <w:spacing w:after="0" w:line="225"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This prohibiton covers virtually all transactons in the Company securites. “Securites” includes common stock, optons to purchase common stock, debt securites, preferred stock and derivatve securites such as put and call optons, warrants, swaps, caps and collars. Transactons in the Company securites include purchases, sales, pledges, hedges, loans and gifs (including, without limitaton, donatons) of the Company securites, as well as other direct or indirect transfers of the Company securites. Certain of these transactons are addressed in more detail below and may not be permited under this policy. This prohibiton extends to transactons in the Company securites in which you have any “benefcial” or other interest, or over which you exercise investment control, including:</w:t>
      </w:r>
    </w:p>
    <w:p>
      <w:pPr>
        <w:spacing w:after="0" w:line="170" w:lineRule="exact"/>
        <w:rPr>
          <w:sz w:val="20"/>
          <w:szCs w:val="20"/>
          <w:color w:val="auto"/>
        </w:rPr>
      </w:pPr>
    </w:p>
    <w:p>
      <w:pPr>
        <w:ind w:left="640" w:hanging="316"/>
        <w:spacing w:after="0"/>
        <w:tabs>
          <w:tab w:leader="none" w:pos="628" w:val="left"/>
        </w:tabs>
        <w:numPr>
          <w:ilvl w:val="0"/>
          <w:numId w:val="125"/>
        </w:numPr>
        <w:rPr>
          <w:rFonts w:ascii="Times New Roman" w:cs="Times New Roman" w:eastAsia="Times New Roman" w:hAnsi="Times New Roman"/>
          <w:sz w:val="19"/>
          <w:szCs w:val="19"/>
          <w:color w:val="auto"/>
        </w:rPr>
      </w:pPr>
      <w:r>
        <w:rPr>
          <w:rFonts w:ascii="Calibri" w:cs="Calibri" w:eastAsia="Calibri" w:hAnsi="Calibri"/>
          <w:sz w:val="19"/>
          <w:szCs w:val="19"/>
          <w:color w:val="auto"/>
        </w:rPr>
        <w:t>transactons in the Company securites held in joint accounts or accounts of persons or enttes controlled directly or indirectly by you;</w:t>
      </w:r>
    </w:p>
    <w:p>
      <w:pPr>
        <w:spacing w:after="0" w:line="364"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125"/>
        </w:numPr>
        <w:rPr>
          <w:rFonts w:ascii="Times New Roman" w:cs="Times New Roman" w:eastAsia="Times New Roman" w:hAnsi="Times New Roman"/>
          <w:sz w:val="19"/>
          <w:szCs w:val="19"/>
          <w:color w:val="auto"/>
        </w:rPr>
      </w:pPr>
      <w:r>
        <w:rPr>
          <w:rFonts w:ascii="Calibri" w:cs="Calibri" w:eastAsia="Calibri" w:hAnsi="Calibri"/>
          <w:sz w:val="19"/>
          <w:szCs w:val="19"/>
          <w:color w:val="auto"/>
        </w:rPr>
        <w:t>transactons in the Company securites for which you act as trustee, executor or custodian; and</w:t>
      </w:r>
    </w:p>
    <w:p>
      <w:pPr>
        <w:spacing w:after="0" w:line="165" w:lineRule="exact"/>
        <w:rPr>
          <w:rFonts w:ascii="Times New Roman" w:cs="Times New Roman" w:eastAsia="Times New Roman" w:hAnsi="Times New Roman"/>
          <w:sz w:val="19"/>
          <w:szCs w:val="19"/>
          <w:color w:val="auto"/>
        </w:rPr>
      </w:pPr>
    </w:p>
    <w:p>
      <w:pPr>
        <w:ind w:left="640" w:hanging="316"/>
        <w:spacing w:after="0" w:line="215" w:lineRule="auto"/>
        <w:tabs>
          <w:tab w:leader="none" w:pos="628" w:val="left"/>
        </w:tabs>
        <w:numPr>
          <w:ilvl w:val="0"/>
          <w:numId w:val="125"/>
        </w:numPr>
        <w:rPr>
          <w:rFonts w:ascii="Times New Roman" w:cs="Times New Roman" w:eastAsia="Times New Roman" w:hAnsi="Times New Roman"/>
          <w:sz w:val="19"/>
          <w:szCs w:val="19"/>
          <w:color w:val="auto"/>
        </w:rPr>
      </w:pPr>
      <w:r>
        <w:rPr>
          <w:rFonts w:ascii="Calibri" w:cs="Calibri" w:eastAsia="Calibri" w:hAnsi="Calibri"/>
          <w:sz w:val="19"/>
          <w:szCs w:val="19"/>
          <w:color w:val="auto"/>
        </w:rPr>
        <w:t>transactons in any other account or investment involving in any way any Company securites over which you exercise any direct or indirect control.</w:t>
      </w:r>
    </w:p>
    <w:p>
      <w:pPr>
        <w:spacing w:after="0" w:line="141" w:lineRule="exact"/>
        <w:rPr>
          <w:sz w:val="20"/>
          <w:szCs w:val="20"/>
          <w:color w:val="auto"/>
        </w:rPr>
      </w:pPr>
    </w:p>
    <w:p>
      <w:pPr>
        <w:jc w:val="both"/>
        <w:spacing w:after="0" w:line="212" w:lineRule="auto"/>
        <w:rPr>
          <w:sz w:val="20"/>
          <w:szCs w:val="20"/>
          <w:color w:val="auto"/>
        </w:rPr>
      </w:pPr>
      <w:r>
        <w:rPr>
          <w:rFonts w:ascii="Calibri" w:cs="Calibri" w:eastAsia="Calibri" w:hAnsi="Calibri"/>
          <w:sz w:val="19"/>
          <w:szCs w:val="19"/>
          <w:i w:val="1"/>
          <w:iCs w:val="1"/>
          <w:color w:val="auto"/>
        </w:rPr>
        <w:t>Stock Opton Exercises</w:t>
      </w:r>
      <w:r>
        <w:rPr>
          <w:rFonts w:ascii="Calibri" w:cs="Calibri" w:eastAsia="Calibri" w:hAnsi="Calibri"/>
          <w:sz w:val="19"/>
          <w:szCs w:val="19"/>
          <w:color w:val="auto"/>
        </w:rPr>
        <w:t>. This prohibiton does not apply to the exercise of stock optons issued under the Company plans if the exercise price</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is paid in cash or through the Company withholding a porton of the shares underlying the optons. Similarly, the Company may withhold underlying shares to satsfy tax withholding requirements. This prohibiton does apply, however, to sales of the underlying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22" w:lineRule="auto"/>
        <w:rPr>
          <w:sz w:val="20"/>
          <w:szCs w:val="20"/>
          <w:color w:val="auto"/>
        </w:rPr>
      </w:pPr>
      <w:r>
        <w:rPr>
          <w:rFonts w:ascii="Calibri" w:cs="Calibri" w:eastAsia="Calibri" w:hAnsi="Calibri"/>
          <w:sz w:val="19"/>
          <w:szCs w:val="19"/>
          <w:color w:val="auto"/>
        </w:rPr>
        <w:t>broker-assisted cashless exercises of optons, as well as to any other market sales for the purpose of generatng the cash needed to cover the costs of exercise.</w:t>
      </w:r>
    </w:p>
    <w:p>
      <w:pPr>
        <w:spacing w:after="0" w:line="141" w:lineRule="exact"/>
        <w:rPr>
          <w:sz w:val="20"/>
          <w:szCs w:val="20"/>
          <w:color w:val="auto"/>
        </w:rPr>
      </w:pPr>
    </w:p>
    <w:p>
      <w:pPr>
        <w:jc w:val="both"/>
        <w:spacing w:after="0" w:line="210" w:lineRule="auto"/>
        <w:rPr>
          <w:sz w:val="20"/>
          <w:szCs w:val="20"/>
          <w:color w:val="auto"/>
        </w:rPr>
      </w:pPr>
      <w:r>
        <w:rPr>
          <w:rFonts w:ascii="Calibri" w:cs="Calibri" w:eastAsia="Calibri" w:hAnsi="Calibri"/>
          <w:sz w:val="19"/>
          <w:szCs w:val="19"/>
          <w:i w:val="1"/>
          <w:iCs w:val="1"/>
          <w:color w:val="auto"/>
        </w:rPr>
        <w:t>Setlement of Restricted Stock Units</w:t>
      </w:r>
      <w:r>
        <w:rPr>
          <w:rFonts w:ascii="Calibri" w:cs="Calibri" w:eastAsia="Calibri" w:hAnsi="Calibri"/>
          <w:sz w:val="19"/>
          <w:szCs w:val="19"/>
          <w:color w:val="auto"/>
        </w:rPr>
        <w:t>. This prohibiton does not apply to the automatc deducton of shares by the Company from your</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restricted stock unit account to satsfy the minimum statutory tax withholding liability upon setlement of restricted stock units. This prohibiton does not apply to any mandatory open market sale of vested shares arranged by the Company on your behalf to satsfy tax withholding liabilites upon setlement of vested restricted stock units.</w:t>
      </w:r>
    </w:p>
    <w:p>
      <w:pPr>
        <w:spacing w:after="0" w:line="142" w:lineRule="exact"/>
        <w:rPr>
          <w:sz w:val="20"/>
          <w:szCs w:val="20"/>
          <w:color w:val="auto"/>
        </w:rPr>
      </w:pPr>
    </w:p>
    <w:p>
      <w:pPr>
        <w:jc w:val="both"/>
        <w:spacing w:after="0" w:line="212" w:lineRule="auto"/>
        <w:rPr>
          <w:sz w:val="20"/>
          <w:szCs w:val="20"/>
          <w:color w:val="auto"/>
        </w:rPr>
      </w:pPr>
      <w:r>
        <w:rPr>
          <w:rFonts w:ascii="Calibri" w:cs="Calibri" w:eastAsia="Calibri" w:hAnsi="Calibri"/>
          <w:sz w:val="19"/>
          <w:szCs w:val="19"/>
          <w:i w:val="1"/>
          <w:iCs w:val="1"/>
          <w:color w:val="auto"/>
        </w:rPr>
        <w:t>Employee Stock Purchase Plan</w:t>
      </w:r>
      <w:r>
        <w:rPr>
          <w:rFonts w:ascii="Calibri" w:cs="Calibri" w:eastAsia="Calibri" w:hAnsi="Calibri"/>
          <w:sz w:val="19"/>
          <w:szCs w:val="19"/>
          <w:color w:val="auto"/>
        </w:rPr>
        <w:t>. This prohibiton does not restrict your purchase of shares under the Company’s Employee Stock Purchase</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Plan (the “</w:t>
      </w:r>
      <w:r>
        <w:rPr>
          <w:rFonts w:ascii="Calibri" w:cs="Calibri" w:eastAsia="Calibri" w:hAnsi="Calibri"/>
          <w:sz w:val="19"/>
          <w:szCs w:val="19"/>
          <w:u w:val="single" w:color="auto"/>
          <w:color w:val="auto"/>
        </w:rPr>
        <w:t>ESPP</w:t>
      </w:r>
      <w:r>
        <w:rPr>
          <w:rFonts w:ascii="Calibri" w:cs="Calibri" w:eastAsia="Calibri" w:hAnsi="Calibri"/>
          <w:sz w:val="19"/>
          <w:szCs w:val="19"/>
          <w:color w:val="auto"/>
        </w:rPr>
        <w:t>”). It does, however apply to the sales of shares you have purchased pursuant to the ESPP. Additonally, you should not base your decision to partcipate in the ESPP or your decision to change your electon under the ESPP on material, non-public informaton.</w:t>
      </w:r>
    </w:p>
    <w:p>
      <w:pPr>
        <w:spacing w:after="0" w:line="141" w:lineRule="exact"/>
        <w:rPr>
          <w:sz w:val="20"/>
          <w:szCs w:val="20"/>
          <w:color w:val="auto"/>
        </w:rPr>
      </w:pPr>
    </w:p>
    <w:p>
      <w:pPr>
        <w:jc w:val="both"/>
        <w:spacing w:after="0"/>
        <w:rPr>
          <w:sz w:val="20"/>
          <w:szCs w:val="20"/>
          <w:color w:val="auto"/>
        </w:rPr>
      </w:pPr>
      <w:r>
        <w:rPr>
          <w:rFonts w:ascii="Calibri" w:cs="Calibri" w:eastAsia="Calibri" w:hAnsi="Calibri"/>
          <w:sz w:val="19"/>
          <w:szCs w:val="19"/>
          <w:i w:val="1"/>
          <w:iCs w:val="1"/>
          <w:color w:val="auto"/>
        </w:rPr>
        <w:t>10b5-1 Plans</w:t>
      </w:r>
      <w:r>
        <w:rPr>
          <w:rFonts w:ascii="Calibri" w:cs="Calibri" w:eastAsia="Calibri" w:hAnsi="Calibri"/>
          <w:sz w:val="19"/>
          <w:szCs w:val="19"/>
          <w:color w:val="auto"/>
        </w:rPr>
        <w:t>. This prohibiton does not apply to trades made pursuant to a valid “10b5-1 plan” approved by the Company as described</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below.</w:t>
      </w:r>
    </w:p>
    <w:p>
      <w:pPr>
        <w:spacing w:after="0" w:line="338" w:lineRule="exact"/>
        <w:rPr>
          <w:sz w:val="20"/>
          <w:szCs w:val="20"/>
          <w:color w:val="auto"/>
        </w:rPr>
      </w:pPr>
    </w:p>
    <w:p>
      <w:pPr>
        <w:jc w:val="both"/>
        <w:spacing w:after="0" w:line="209" w:lineRule="auto"/>
        <w:rPr>
          <w:sz w:val="20"/>
          <w:szCs w:val="20"/>
          <w:color w:val="auto"/>
        </w:rPr>
      </w:pPr>
      <w:r>
        <w:rPr>
          <w:rFonts w:ascii="Calibri" w:cs="Calibri" w:eastAsia="Calibri" w:hAnsi="Calibri"/>
          <w:sz w:val="19"/>
          <w:szCs w:val="19"/>
          <w:i w:val="1"/>
          <w:iCs w:val="1"/>
          <w:color w:val="auto"/>
        </w:rPr>
        <w:t>Dividend Reinvestment Plan</w:t>
      </w:r>
      <w:r>
        <w:rPr>
          <w:rFonts w:ascii="Calibri" w:cs="Calibri" w:eastAsia="Calibri" w:hAnsi="Calibri"/>
          <w:sz w:val="19"/>
          <w:szCs w:val="19"/>
          <w:color w:val="auto"/>
        </w:rPr>
        <w:t>. This prohibiton does not apply to purchases of the Company stock under any Company dividend reinvestment</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plan that result from your reinvestment of dividends paid on the Company stock held in such plan. This prohibiton does apply, however, to other purchases of the Company stock under the plan that result from additonal contributons you choose to make to the dividend reinvestment plan, or to increases or decreases in your level of partcipaton in the plan. This prohibiton also applies to your sale of any Company securites purchased pursuant to the plan.</w:t>
      </w:r>
    </w:p>
    <w:p>
      <w:pPr>
        <w:spacing w:after="0" w:line="143" w:lineRule="exact"/>
        <w:rPr>
          <w:sz w:val="20"/>
          <w:szCs w:val="20"/>
          <w:color w:val="auto"/>
        </w:rPr>
      </w:pPr>
    </w:p>
    <w:p>
      <w:pPr>
        <w:jc w:val="both"/>
        <w:spacing w:after="0" w:line="210" w:lineRule="auto"/>
        <w:rPr>
          <w:sz w:val="20"/>
          <w:szCs w:val="20"/>
          <w:color w:val="auto"/>
        </w:rPr>
      </w:pPr>
      <w:r>
        <w:rPr>
          <w:rFonts w:ascii="Calibri" w:cs="Calibri" w:eastAsia="Calibri" w:hAnsi="Calibri"/>
          <w:sz w:val="19"/>
          <w:szCs w:val="19"/>
          <w:i w:val="1"/>
          <w:iCs w:val="1"/>
          <w:color w:val="auto"/>
        </w:rPr>
        <w:t>No short sales of the Company securites</w:t>
      </w:r>
      <w:r>
        <w:rPr>
          <w:rFonts w:ascii="Calibri" w:cs="Calibri" w:eastAsia="Calibri" w:hAnsi="Calibri"/>
          <w:sz w:val="19"/>
          <w:szCs w:val="19"/>
          <w:color w:val="auto"/>
        </w:rPr>
        <w:t>. You may not engage in short sales of the Company securites (sales of securites that are not then</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owned), including “sales against the box” (short sales not exceeding the number of shares already owned). Generally, short sales are transactons whereby a person will beneft from a decline in the price of the securites, and the Company believes it is inappropriate for associates to engage in these transactons with respect to the Company securites.</w:t>
      </w:r>
    </w:p>
    <w:p>
      <w:pPr>
        <w:spacing w:after="0" w:line="142" w:lineRule="exact"/>
        <w:rPr>
          <w:sz w:val="20"/>
          <w:szCs w:val="20"/>
          <w:color w:val="auto"/>
        </w:rPr>
      </w:pPr>
    </w:p>
    <w:p>
      <w:pPr>
        <w:jc w:val="both"/>
        <w:spacing w:after="0" w:line="215" w:lineRule="auto"/>
        <w:rPr>
          <w:sz w:val="20"/>
          <w:szCs w:val="20"/>
          <w:color w:val="auto"/>
        </w:rPr>
      </w:pPr>
      <w:r>
        <w:rPr>
          <w:rFonts w:ascii="Calibri" w:cs="Calibri" w:eastAsia="Calibri" w:hAnsi="Calibri"/>
          <w:sz w:val="19"/>
          <w:szCs w:val="19"/>
          <w:i w:val="1"/>
          <w:iCs w:val="1"/>
          <w:color w:val="auto"/>
        </w:rPr>
        <w:t>No trading in derivatves of the Company</w:t>
      </w:r>
      <w:r>
        <w:rPr>
          <w:rFonts w:ascii="Calibri" w:cs="Calibri" w:eastAsia="Calibri" w:hAnsi="Calibri"/>
          <w:sz w:val="19"/>
          <w:szCs w:val="19"/>
          <w:color w:val="auto"/>
        </w:rPr>
        <w:t>. You may not trade in derivatves of the Company’s securites, such as exchange-traded put or call</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optons and forward transactons.</w:t>
      </w:r>
    </w:p>
    <w:p>
      <w:pPr>
        <w:spacing w:after="0" w:line="141" w:lineRule="exact"/>
        <w:rPr>
          <w:sz w:val="20"/>
          <w:szCs w:val="20"/>
          <w:color w:val="auto"/>
        </w:rPr>
      </w:pPr>
    </w:p>
    <w:p>
      <w:pPr>
        <w:jc w:val="both"/>
        <w:spacing w:after="0" w:line="206" w:lineRule="auto"/>
        <w:rPr>
          <w:sz w:val="20"/>
          <w:szCs w:val="20"/>
          <w:color w:val="auto"/>
        </w:rPr>
      </w:pPr>
      <w:r>
        <w:rPr>
          <w:rFonts w:ascii="Calibri" w:cs="Calibri" w:eastAsia="Calibri" w:hAnsi="Calibri"/>
          <w:sz w:val="19"/>
          <w:szCs w:val="19"/>
          <w:i w:val="1"/>
          <w:iCs w:val="1"/>
          <w:color w:val="auto"/>
        </w:rPr>
        <w:t>No hedging transactons</w:t>
      </w:r>
      <w:r>
        <w:rPr>
          <w:rFonts w:ascii="Calibri" w:cs="Calibri" w:eastAsia="Calibri" w:hAnsi="Calibri"/>
          <w:sz w:val="19"/>
          <w:szCs w:val="19"/>
          <w:color w:val="auto"/>
        </w:rPr>
        <w:t>. Certain forms of hedging or monetzaton transactons may ofset a decrease, or limit your ability to proft from an</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increase, in the value of the Company securites you hold, enabling you to contnue to own the Company securites without the full risks and rewards of ownership. The Company believes that such transactons separate the holder's interests from those of other stockholders. Therefore, you and any person actng on your behalf are prohibited from purchasing any fnancial instruments (such as prepaid variable forward contracts, equity swaps, collars or exchange funds) or otherwise engaging in any transactons that hedge or ofset any decrease in the market value of the Company securites or limit your ability to proft from an increase in the market value of the Company securites.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09" w:lineRule="auto"/>
        <w:rPr>
          <w:sz w:val="20"/>
          <w:szCs w:val="20"/>
          <w:color w:val="auto"/>
        </w:rPr>
      </w:pPr>
      <w:r>
        <w:rPr>
          <w:rFonts w:ascii="Calibri" w:cs="Calibri" w:eastAsia="Calibri" w:hAnsi="Calibri"/>
          <w:sz w:val="19"/>
          <w:szCs w:val="19"/>
          <w:i w:val="1"/>
          <w:iCs w:val="1"/>
          <w:color w:val="auto"/>
        </w:rPr>
        <w:t>No margin accounts or pledges</w:t>
      </w:r>
      <w:r>
        <w:rPr>
          <w:rFonts w:ascii="Calibri" w:cs="Calibri" w:eastAsia="Calibri" w:hAnsi="Calibri"/>
          <w:sz w:val="19"/>
          <w:szCs w:val="19"/>
          <w:color w:val="auto"/>
        </w:rPr>
        <w:t>. Securites held in a margin account or pledged as collateral for a loan may be sold without your consent by</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the broker if you fail to meet a margin call or by the lender in foreclosure if you default on the loan. Because a margin or foreclosure sale may occur at a tme when you are aware of material non-public informaton or otherwise are not permited to transact in the Company securites, you are prohibited from holding the Company securites in a margin account or pledging the Company securites as collateral for a loan unless the pledge has been approved by the Compliance Ofcer.</w:t>
      </w:r>
    </w:p>
    <w:p>
      <w:pPr>
        <w:spacing w:after="0" w:line="143" w:lineRule="exact"/>
        <w:rPr>
          <w:sz w:val="20"/>
          <w:szCs w:val="20"/>
          <w:color w:val="auto"/>
        </w:rPr>
      </w:pPr>
    </w:p>
    <w:p>
      <w:pPr>
        <w:jc w:val="both"/>
        <w:spacing w:after="0" w:line="210" w:lineRule="auto"/>
        <w:rPr>
          <w:sz w:val="20"/>
          <w:szCs w:val="20"/>
          <w:color w:val="auto"/>
        </w:rPr>
      </w:pPr>
      <w:r>
        <w:rPr>
          <w:rFonts w:ascii="Calibri" w:cs="Calibri" w:eastAsia="Calibri" w:hAnsi="Calibri"/>
          <w:sz w:val="19"/>
          <w:szCs w:val="19"/>
          <w:i w:val="1"/>
          <w:iCs w:val="1"/>
          <w:color w:val="auto"/>
        </w:rPr>
        <w:t>Limited use of standing orders</w:t>
      </w:r>
      <w:r>
        <w:rPr>
          <w:rFonts w:ascii="Calibri" w:cs="Calibri" w:eastAsia="Calibri" w:hAnsi="Calibri"/>
          <w:sz w:val="19"/>
          <w:szCs w:val="19"/>
          <w:color w:val="auto"/>
        </w:rPr>
        <w:t>. Standing orders should be used only for three business days. A standing order placed with a broker to sell or</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purchase stock at a specifed price leaves you with no control over the tming of the transacton. A standing order transacton executed by the broker when you are aware of material non-public informaton may result in unlawful insider trading. A standing order incorporated into a 10b5-1 plan approved by the Company is permited.</w:t>
      </w:r>
    </w:p>
    <w:p>
      <w:pPr>
        <w:spacing w:after="0" w:line="1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Event-specifc blackout periods may apply</w:t>
      </w:r>
    </w:p>
    <w:p>
      <w:pPr>
        <w:spacing w:after="0" w:line="139" w:lineRule="exact"/>
        <w:rPr>
          <w:sz w:val="20"/>
          <w:szCs w:val="20"/>
          <w:color w:val="auto"/>
        </w:rPr>
      </w:pPr>
    </w:p>
    <w:p>
      <w:pPr>
        <w:jc w:val="both"/>
        <w:ind w:firstLine="636"/>
        <w:spacing w:after="0" w:line="203" w:lineRule="exact"/>
        <w:rPr>
          <w:sz w:val="20"/>
          <w:szCs w:val="20"/>
          <w:color w:val="auto"/>
        </w:rPr>
      </w:pPr>
      <w:r>
        <w:rPr>
          <w:rFonts w:ascii="Calibri" w:cs="Calibri" w:eastAsia="Calibri" w:hAnsi="Calibri"/>
          <w:sz w:val="19"/>
          <w:szCs w:val="19"/>
          <w:color w:val="auto"/>
        </w:rPr>
        <w:t>Although you are always responsible for monitoring for yourself whether you possess material non-public informaton, in additon to quarterly blackout periods applicable to certain Restricted Persons (defned below), from tme to tme the Company may decide to impose a special trading blackout on those who are aware of partcular informaton that the Company determines may be considered material non-public informaton. This kind of trading blackout may be imposed in connecton with a potental acquisiton, antcipated positve or negatve announcements of fnancial results, cybersecurity incidents or other potentally material developments. If you are subject to the blackout, you may not transact in any Company securites, except pursuant to a 10b5</w:t>
      </w:r>
      <w:r>
        <w:rPr>
          <w:rFonts w:ascii="MS PGothic" w:cs="MS PGothic" w:eastAsia="MS PGothic" w:hAnsi="MS PGothic"/>
          <w:sz w:val="19"/>
          <w:szCs w:val="19"/>
          <w:color w:val="auto"/>
        </w:rPr>
        <w:t>‑</w:t>
      </w:r>
      <w:r>
        <w:rPr>
          <w:rFonts w:ascii="Calibri" w:cs="Calibri" w:eastAsia="Calibri" w:hAnsi="Calibri"/>
          <w:sz w:val="19"/>
          <w:szCs w:val="19"/>
          <w:color w:val="auto"/>
        </w:rPr>
        <w:t>1 plan previously approved by the Company in accordance with this policy, untl notfed that the blackout has ended.</w:t>
      </w:r>
    </w:p>
    <w:p>
      <w:pPr>
        <w:spacing w:after="0" w:line="143" w:lineRule="exact"/>
        <w:rPr>
          <w:sz w:val="20"/>
          <w:szCs w:val="20"/>
          <w:color w:val="auto"/>
        </w:rPr>
      </w:pPr>
    </w:p>
    <w:p>
      <w:pPr>
        <w:jc w:val="both"/>
        <w:ind w:firstLine="636"/>
        <w:spacing w:after="0" w:line="209" w:lineRule="auto"/>
        <w:rPr>
          <w:sz w:val="20"/>
          <w:szCs w:val="20"/>
          <w:color w:val="auto"/>
        </w:rPr>
      </w:pPr>
      <w:r>
        <w:rPr>
          <w:rFonts w:ascii="Calibri" w:cs="Calibri" w:eastAsia="Calibri" w:hAnsi="Calibri"/>
          <w:sz w:val="19"/>
          <w:szCs w:val="19"/>
          <w:color w:val="auto"/>
        </w:rPr>
        <w:t>The Compliance Ofcer will determine whether an event-specifc blackout should be imposed. The existence of an event-specifc blackout will not be generally announced. If you are covered by the event-specifc blackout, you will be notfed by the Compliance Ofcer (or his or her designee). Even if you have not been notfed, if you reasonably believe you are or should be subject to an event-specifc blackout, you must adhere to the prohibiton above. Any person made aware of an event-specifc blackout should not disclose the existence of the blackout to anyone else.</w:t>
      </w:r>
    </w:p>
    <w:p>
      <w:pPr>
        <w:spacing w:after="0" w:line="14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 transactng in securites of other companies while aware of material non-public informaton</w:t>
      </w:r>
    </w:p>
    <w:p>
      <w:pPr>
        <w:spacing w:after="0" w:line="139"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The Company may engage in business transactons with companies whose securites are publicly traded. These transactons may include, among other things, mergers, acquisitons, divesttures or renewal or terminaton of signifcant contracts or other arrangements. Informaton learned in connecton with these transactons or relatonships may consttute material non-public informaton about the other company. You are prohibited from engaging in transactons in the securites of these companies while aware of material non-public informaton about the companies and from communicatng that informaton to any other person for such use.</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 “tpping” of material non-public informaton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36"/>
        <w:spacing w:after="0"/>
        <w:rPr>
          <w:sz w:val="20"/>
          <w:szCs w:val="20"/>
          <w:color w:val="auto"/>
        </w:rPr>
      </w:pPr>
      <w:r>
        <w:rPr>
          <w:rFonts w:ascii="Calibri" w:cs="Calibri" w:eastAsia="Calibri" w:hAnsi="Calibri"/>
          <w:sz w:val="19"/>
          <w:szCs w:val="19"/>
          <w:color w:val="auto"/>
        </w:rPr>
        <w:t>You may not disclose material non-public informaton about the Company or any other publicly-traded company with which the Company has a business relatonship, learned in connecton with your role as a Covered Person, to others, make recommendatons or express opinions to others about investments in or the prospects of the Company or those companies while in possession of this informaton, or otherwise make unauthorized disclosure or use of this informaton, regardless of whether you proft or intend to proft by the tpping, disclosure, or use. This practce, known as “tpping”, also violates the securites laws and can result in the same civil and criminal penaltes that apply to insider trading, even though you did not trade and did not gain or intend to gain any beneft from another's trading or the disclosure or use of such informaton.</w:t>
      </w:r>
    </w:p>
    <w:p>
      <w:pPr>
        <w:spacing w:after="0" w:line="145" w:lineRule="exact"/>
        <w:rPr>
          <w:sz w:val="20"/>
          <w:szCs w:val="20"/>
          <w:color w:val="auto"/>
        </w:rPr>
      </w:pPr>
    </w:p>
    <w:p>
      <w:pPr>
        <w:ind w:left="640"/>
        <w:spacing w:after="0"/>
        <w:rPr>
          <w:sz w:val="20"/>
          <w:szCs w:val="20"/>
          <w:color w:val="auto"/>
        </w:rPr>
      </w:pPr>
      <w:r>
        <w:rPr>
          <w:rFonts w:ascii="Calibri" w:cs="Calibri" w:eastAsia="Calibri" w:hAnsi="Calibri"/>
          <w:sz w:val="19"/>
          <w:szCs w:val="19"/>
          <w:color w:val="auto"/>
        </w:rPr>
        <w:t>You should not communicate material non-public informaton to anyone within the Company other than on a need-to-know basis.</w:t>
      </w:r>
    </w:p>
    <w:p>
      <w:pPr>
        <w:spacing w:after="0" w:line="1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Partcipaton in electronic bulletn boards, chat rooms, blogs or websites must be consistent with this policy</w:t>
      </w:r>
    </w:p>
    <w:p>
      <w:pPr>
        <w:spacing w:after="0" w:line="139" w:lineRule="exact"/>
        <w:rPr>
          <w:sz w:val="20"/>
          <w:szCs w:val="20"/>
          <w:color w:val="auto"/>
        </w:rPr>
      </w:pPr>
    </w:p>
    <w:p>
      <w:pPr>
        <w:jc w:val="both"/>
        <w:ind w:firstLine="636"/>
        <w:spacing w:after="0" w:line="210" w:lineRule="auto"/>
        <w:rPr>
          <w:sz w:val="20"/>
          <w:szCs w:val="20"/>
          <w:color w:val="auto"/>
        </w:rPr>
      </w:pPr>
      <w:r>
        <w:rPr>
          <w:rFonts w:ascii="Calibri" w:cs="Calibri" w:eastAsia="Calibri" w:hAnsi="Calibri"/>
          <w:sz w:val="19"/>
          <w:szCs w:val="19"/>
          <w:color w:val="auto"/>
        </w:rPr>
        <w:t>Any writen or verbal statement that would be prohibited under the law or under this policy is equally prohibited if made on the internet or through social media platorms, regardless of whether you use your own name or a pseudonym, including the disclosure of material non-public informaton about the Company or material non- public informaton with respect to other publicly-traded companies with which Company has a business relatonship learned in connecton with your role as a Covered Person.</w:t>
      </w:r>
    </w:p>
    <w:p>
      <w:pPr>
        <w:spacing w:after="0" w:line="1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Post-employment transactons may be prohibited</w:t>
      </w:r>
    </w:p>
    <w:p>
      <w:pPr>
        <w:spacing w:after="0" w:line="139" w:lineRule="exact"/>
        <w:rPr>
          <w:sz w:val="20"/>
          <w:szCs w:val="20"/>
          <w:color w:val="auto"/>
        </w:rPr>
      </w:pPr>
    </w:p>
    <w:p>
      <w:pPr>
        <w:jc w:val="both"/>
        <w:ind w:firstLine="636"/>
        <w:spacing w:after="0" w:line="209" w:lineRule="auto"/>
        <w:rPr>
          <w:sz w:val="20"/>
          <w:szCs w:val="20"/>
          <w:color w:val="auto"/>
        </w:rPr>
      </w:pPr>
      <w:r>
        <w:rPr>
          <w:rFonts w:ascii="Calibri" w:cs="Calibri" w:eastAsia="Calibri" w:hAnsi="Calibri"/>
          <w:sz w:val="19"/>
          <w:szCs w:val="19"/>
          <w:color w:val="auto"/>
        </w:rPr>
        <w:t>The portons of this policy relatng to trading while in possession of material non-public informaton and the disclosure of that informaton to others, contnue to apply to transactons in the Company securites even afer terminaton of employment or associaton with the Company. If you are aware of material non-public informaton about the Company when your employment or other business relatonship with the Company ends, you may not transact in the Company securites or disclose the material non-public informaton to anyone else untl that informaton is made public or becomes no longer material.</w:t>
      </w:r>
    </w:p>
    <w:p>
      <w:pPr>
        <w:spacing w:after="0" w:line="14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Exceptons</w:t>
      </w:r>
    </w:p>
    <w:p>
      <w:pPr>
        <w:spacing w:after="0" w:line="139" w:lineRule="exact"/>
        <w:rPr>
          <w:sz w:val="20"/>
          <w:szCs w:val="20"/>
          <w:color w:val="auto"/>
        </w:rPr>
      </w:pPr>
    </w:p>
    <w:p>
      <w:pPr>
        <w:jc w:val="both"/>
        <w:ind w:firstLine="636"/>
        <w:spacing w:after="0" w:line="209" w:lineRule="auto"/>
        <w:rPr>
          <w:sz w:val="20"/>
          <w:szCs w:val="20"/>
          <w:color w:val="auto"/>
        </w:rPr>
      </w:pPr>
      <w:r>
        <w:rPr>
          <w:rFonts w:ascii="Calibri" w:cs="Calibri" w:eastAsia="Calibri" w:hAnsi="Calibri"/>
          <w:sz w:val="19"/>
          <w:szCs w:val="19"/>
          <w:color w:val="auto"/>
        </w:rPr>
        <w:t>In certain limited circumstances, a transacton otherwise prohibited by this policy may be permited if, prior to the transacton, the Compliance Ofcer determines that the transacton is not inconsistent with the purposes of this policy. The existence of a personal fnancial emergency does not excuse you from compliance with this policy and will not be the basis for an excepton to the policy for a transacton that is inconsistent with the purposes of the policy. You should be aware that the Compliance Ofcer cannot provide you with personal legal advice, and the Compliance Ofcer’s approval is not a legal opinion that a transacton is 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Additonal Requirements Applicable to Restricted Persons</w:t>
      </w:r>
    </w:p>
    <w:p>
      <w:pPr>
        <w:spacing w:after="0" w:line="139"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u w:val="single" w:color="auto"/>
          <w:color w:val="auto"/>
        </w:rPr>
        <w:t>Restricted Persons</w:t>
      </w:r>
      <w:r>
        <w:rPr>
          <w:rFonts w:ascii="Calibri" w:cs="Calibri" w:eastAsia="Calibri" w:hAnsi="Calibri"/>
          <w:sz w:val="19"/>
          <w:szCs w:val="19"/>
          <w:color w:val="auto"/>
        </w:rPr>
        <w:t>” are those who are at an enhanced risk of possessing material non-public informaton during periods of tme proximate to quarterly announcements of fnancial results and who therefore must exercise greater diligence to comply with insider trading prohibitons. This group includes Secton 16 Persons and certain senior fnance, legal, HR, business development, investor relatons, corporate communicaton and management associates at corporate headquarters and in the Company’s business units, as well as any other employees in a role that makes it likely they will have awareness of material non-public informaton in proximity to quarterly announcements of fnancial results. “Secton 16 Person” means the Company’s executve ofcers and directors, including the Company’s principal accountng ofcer (if separate from the Company’s principal fnancial ofcer). If you are not a Secton 16 Person, you will be notfed by the Compliance Ofcer (or his or her designee) if you are considered a Restricted Person under this policy. Even if you have not been notfed, if you believe you should be a Restricted Person, you must adhere to the prohibitons in this secton.</w:t>
      </w:r>
    </w:p>
    <w:p>
      <w:pPr>
        <w:spacing w:after="0" w:line="143" w:lineRule="exact"/>
        <w:rPr>
          <w:sz w:val="20"/>
          <w:szCs w:val="20"/>
          <w:color w:val="auto"/>
        </w:rPr>
      </w:pPr>
    </w:p>
    <w:p>
      <w:pPr>
        <w:jc w:val="both"/>
        <w:ind w:firstLine="636"/>
        <w:spacing w:after="0" w:line="212" w:lineRule="auto"/>
        <w:rPr>
          <w:sz w:val="20"/>
          <w:szCs w:val="20"/>
          <w:color w:val="auto"/>
        </w:rPr>
      </w:pPr>
      <w:r>
        <w:rPr>
          <w:rFonts w:ascii="Calibri" w:cs="Calibri" w:eastAsia="Calibri" w:hAnsi="Calibri"/>
          <w:sz w:val="19"/>
          <w:szCs w:val="19"/>
          <w:color w:val="auto"/>
        </w:rPr>
        <w:t>If you are a Restricted Person, the procedures set forth in this secton of the policy will cease to apply to your transactons in the Company securites upon the expiraton of any blackout period that is applicable to your transactons at the tme your employment or other relatonship with the Company ends.</w:t>
      </w:r>
    </w:p>
    <w:p>
      <w:pPr>
        <w:spacing w:after="0" w:line="141" w:lineRule="exact"/>
        <w:rPr>
          <w:sz w:val="20"/>
          <w:szCs w:val="20"/>
          <w:color w:val="auto"/>
        </w:rPr>
      </w:pPr>
    </w:p>
    <w:p>
      <w:pPr>
        <w:jc w:val="both"/>
        <w:spacing w:after="0" w:line="222" w:lineRule="auto"/>
        <w:rPr>
          <w:sz w:val="20"/>
          <w:szCs w:val="20"/>
          <w:color w:val="auto"/>
        </w:rPr>
      </w:pPr>
      <w:r>
        <w:rPr>
          <w:rFonts w:ascii="Calibri" w:cs="Calibri" w:eastAsia="Calibri" w:hAnsi="Calibri"/>
          <w:sz w:val="19"/>
          <w:szCs w:val="19"/>
          <w:i w:val="1"/>
          <w:iCs w:val="1"/>
          <w:color w:val="auto"/>
        </w:rPr>
        <w:t xml:space="preserve">Quarterly blackout periods. </w:t>
      </w:r>
      <w:r>
        <w:rPr>
          <w:rFonts w:ascii="Calibri" w:cs="Calibri" w:eastAsia="Calibri" w:hAnsi="Calibri"/>
          <w:sz w:val="19"/>
          <w:szCs w:val="19"/>
          <w:color w:val="auto"/>
        </w:rPr>
        <w:t>No Restricted Person may transact in the Company securites during a quarterly blackout period, regardless of</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whether they are then actually aware of material non-public informaton.</w:t>
      </w:r>
    </w:p>
    <w:p>
      <w:pPr>
        <w:spacing w:after="0" w:line="141"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 xml:space="preserve">A quarterly blackout period is in efect with respect to each quarterly announcement of fnancial results, </w:t>
      </w:r>
      <w:r>
        <w:rPr>
          <w:rFonts w:ascii="Calibri" w:cs="Calibri" w:eastAsia="Calibri" w:hAnsi="Calibri"/>
          <w:sz w:val="19"/>
          <w:szCs w:val="19"/>
          <w:u w:val="single" w:color="auto"/>
          <w:color w:val="auto"/>
        </w:rPr>
        <w:t>startng</w:t>
      </w:r>
      <w:r>
        <w:rPr>
          <w:rFonts w:ascii="Calibri" w:cs="Calibri" w:eastAsia="Calibri" w:hAnsi="Calibri"/>
          <w:sz w:val="19"/>
          <w:szCs w:val="19"/>
          <w:color w:val="auto"/>
        </w:rPr>
        <w:t xml:space="preserve"> on the ffeenth day of the third month of each fscal quarter (provided, if the ffeenth day of the month is not a business day, then the next business day) and </w:t>
      </w:r>
      <w:r>
        <w:rPr>
          <w:rFonts w:ascii="Calibri" w:cs="Calibri" w:eastAsia="Calibri" w:hAnsi="Calibri"/>
          <w:sz w:val="19"/>
          <w:szCs w:val="19"/>
          <w:u w:val="single" w:color="auto"/>
          <w:color w:val="auto"/>
        </w:rPr>
        <w:t>ending</w:t>
      </w:r>
      <w:r>
        <w:rPr>
          <w:rFonts w:ascii="Calibri" w:cs="Calibri" w:eastAsia="Calibri" w:hAnsi="Calibri"/>
          <w:sz w:val="19"/>
          <w:szCs w:val="19"/>
          <w:color w:val="auto"/>
        </w:rPr>
        <w:t xml:space="preserve"> when one full trading day has passed following the public announcement of the Company’s quarterly or year-end fnancial results. The Company has selected this period because it is the tme when there is likely to be material non-public informaton about the Company that may be available to Restricted Persons.</w:t>
      </w:r>
    </w:p>
    <w:p>
      <w:pPr>
        <w:spacing w:after="0" w:line="144" w:lineRule="exact"/>
        <w:rPr>
          <w:sz w:val="20"/>
          <w:szCs w:val="20"/>
          <w:color w:val="auto"/>
        </w:rPr>
      </w:pPr>
    </w:p>
    <w:p>
      <w:pPr>
        <w:jc w:val="both"/>
        <w:ind w:firstLine="636"/>
        <w:spacing w:after="0"/>
        <w:rPr>
          <w:sz w:val="20"/>
          <w:szCs w:val="20"/>
          <w:color w:val="auto"/>
        </w:rPr>
      </w:pPr>
      <w:r>
        <w:rPr>
          <w:rFonts w:ascii="Calibri" w:cs="Calibri" w:eastAsia="Calibri" w:hAnsi="Calibri"/>
          <w:sz w:val="19"/>
          <w:szCs w:val="19"/>
          <w:color w:val="auto"/>
        </w:rPr>
        <w:t>Notwithstanding the above, a quarterly blackout period does not prohibit (a) trading in the Company securites pursuant to a valid pre-existng 10b5-1 plan approved by the Company as described below, (b) the exercise of stock optons issued under the Company plans if the exercise price is paid in cash or through the Company withholding a porton of the shares underlying the optons, or withholding by the Company of underlying shares to satsfy tax withholding requirements, (c) the automatc deducton of shares by the Company from your restricted stock unit account to satsfy the minimum statutory tax withholding liability upon setlement of restricted stock units, and (d) any mandatory open market sale of vested shares arranged by the Company on your behalf to satsfy tax withholding liabilites upon setlement of vested restricted stock units.</w:t>
      </w:r>
    </w:p>
    <w:p>
      <w:pPr>
        <w:spacing w:after="0" w:line="145" w:lineRule="exact"/>
        <w:rPr>
          <w:sz w:val="20"/>
          <w:szCs w:val="20"/>
          <w:color w:val="auto"/>
        </w:rPr>
      </w:pPr>
    </w:p>
    <w:p>
      <w:pPr>
        <w:spacing w:after="0"/>
        <w:rPr>
          <w:sz w:val="20"/>
          <w:szCs w:val="20"/>
          <w:color w:val="auto"/>
        </w:rPr>
      </w:pPr>
      <w:r>
        <w:rPr>
          <w:rFonts w:ascii="Calibri" w:cs="Calibri" w:eastAsia="Calibri" w:hAnsi="Calibri"/>
          <w:sz w:val="19"/>
          <w:szCs w:val="19"/>
          <w:i w:val="1"/>
          <w:iCs w:val="1"/>
          <w:color w:val="auto"/>
        </w:rPr>
        <w:t>Trading pre-clearance requirement for certain Restricted Persons</w:t>
      </w:r>
      <w:r>
        <w:rPr>
          <w:rFonts w:ascii="Calibri" w:cs="Calibri" w:eastAsia="Calibri" w:hAnsi="Calibri"/>
          <w:sz w:val="19"/>
          <w:szCs w:val="19"/>
          <w:b w:val="1"/>
          <w:bCs w:val="1"/>
          <w:color w:val="auto"/>
        </w:rPr>
        <w:t>.</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Certain Restricted Persons designated by the Compliance Ofcer, in</w:t>
      </w:r>
    </w:p>
    <w:p>
      <w:pPr>
        <w:jc w:val="both"/>
        <w:spacing w:after="0" w:line="198" w:lineRule="auto"/>
        <w:rPr>
          <w:sz w:val="20"/>
          <w:szCs w:val="20"/>
          <w:color w:val="auto"/>
        </w:rPr>
      </w:pPr>
      <w:r>
        <w:rPr>
          <w:rFonts w:ascii="Calibri" w:cs="Calibri" w:eastAsia="Calibri" w:hAnsi="Calibri"/>
          <w:sz w:val="19"/>
          <w:szCs w:val="19"/>
          <w:color w:val="auto"/>
        </w:rPr>
        <w:t>consultaton with the Chief Executve Ofcer and/or the Chief Financial Ofcer from tme to tme, must obtain pre-clearance by the Compliance Ofcer before entering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09" w:lineRule="auto"/>
        <w:rPr>
          <w:sz w:val="20"/>
          <w:szCs w:val="20"/>
          <w:color w:val="auto"/>
        </w:rPr>
      </w:pPr>
      <w:r>
        <w:rPr>
          <w:rFonts w:ascii="Calibri" w:cs="Calibri" w:eastAsia="Calibri" w:hAnsi="Calibri"/>
          <w:sz w:val="19"/>
          <w:szCs w:val="19"/>
          <w:color w:val="auto"/>
        </w:rPr>
        <w:t>modifying a 10b5-1 plan, or directly or indirectly engaging in any transacton involving the Company securites, including, but not limited to, purchases, sales, and gifs (including, without limitaton, donatons). Those Restricted Persons who are required to obtain pre-clearance will be notfed from tme to tme by the Compliance Ofcer (or his or her designee) of the applicable pre-clearance or other procedures applicable to them. The Compliance Ofcer may not engage in a transacton in the Company securites unless the Company’s Chief Financial Ofcer or Chief Executve Ofcer has pre-cleared the transacton.</w:t>
      </w:r>
    </w:p>
    <w:p>
      <w:pPr>
        <w:spacing w:after="0" w:line="143"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The Compliance Ofcer is under no obligaton to approve a transacton submited for pre-clearance and may determine not to permit a transacton for any reason, even if it would not violate the federal securites laws or a specifc provision of this policy. In certain circumstances, other individuals may be asked to clear with the Compliance Ofcer all proposed transactons before initatng them. The fact that a partcular intended transacton has been denied pre-clearance should be treated as confdental informaton and should not be disclosed to any person unless authorized by the Compliance Ofcer. You should be aware that the Compliance Ofcer cannot provide you with personal legal advice, and the Compliance Ofcer’s approval is not a legal opinion that a transacton is lawful.</w:t>
      </w:r>
    </w:p>
    <w:p>
      <w:pPr>
        <w:spacing w:after="0" w:line="144" w:lineRule="exact"/>
        <w:rPr>
          <w:sz w:val="20"/>
          <w:szCs w:val="20"/>
          <w:color w:val="auto"/>
        </w:rPr>
      </w:pPr>
    </w:p>
    <w:p>
      <w:pPr>
        <w:jc w:val="both"/>
        <w:ind w:firstLine="636"/>
        <w:spacing w:after="0" w:line="210" w:lineRule="auto"/>
        <w:rPr>
          <w:sz w:val="20"/>
          <w:szCs w:val="20"/>
          <w:color w:val="auto"/>
        </w:rPr>
      </w:pPr>
      <w:r>
        <w:rPr>
          <w:rFonts w:ascii="Calibri" w:cs="Calibri" w:eastAsia="Calibri" w:hAnsi="Calibri"/>
          <w:sz w:val="19"/>
          <w:szCs w:val="19"/>
          <w:color w:val="auto"/>
        </w:rPr>
        <w:t>If a request for pre-clearance is approved, you have three business days to efect the transacton (or, if sooner, before commencement of a quarterly or event-specifc blackout period). Under no circumstance may a person transact in Company securites while aware of material non-public informaton about the Company, even if pre-cleared. Thus, if you become aware of material non-public informaton afer receiving pre-clearance, but before the transacton has been executed, you must not efect the pre-cleared transacton.</w:t>
      </w:r>
    </w:p>
    <w:p>
      <w:pPr>
        <w:spacing w:after="0" w:line="142" w:lineRule="exact"/>
        <w:rPr>
          <w:sz w:val="20"/>
          <w:szCs w:val="20"/>
          <w:color w:val="auto"/>
        </w:rPr>
      </w:pPr>
    </w:p>
    <w:p>
      <w:pPr>
        <w:jc w:val="both"/>
        <w:ind w:firstLine="636"/>
        <w:spacing w:after="0" w:line="210" w:lineRule="auto"/>
        <w:rPr>
          <w:sz w:val="20"/>
          <w:szCs w:val="20"/>
          <w:color w:val="auto"/>
        </w:rPr>
      </w:pPr>
      <w:r>
        <w:rPr>
          <w:rFonts w:ascii="Calibri" w:cs="Calibri" w:eastAsia="Calibri" w:hAnsi="Calibri"/>
          <w:sz w:val="19"/>
          <w:szCs w:val="19"/>
          <w:color w:val="auto"/>
        </w:rPr>
        <w:t>The Company’s approval of any partcular transacton under this pre-clearance procedure does not insulate any Restricted Person from liability under the securites laws. The ultmate responsibility for determining whether an individual is in compliance with the securites laws rests with that individual in all cases. Neither the Company, nor the Compliance Ofcer, nor the Company’s other employees will have any liability for any delay in reviewing, or refusal of, a request for pre-clearance, or for any approved transactons.</w:t>
      </w:r>
    </w:p>
    <w:p>
      <w:pPr>
        <w:spacing w:after="0" w:line="1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Other Procedures</w:t>
      </w:r>
    </w:p>
    <w:p>
      <w:pPr>
        <w:spacing w:after="0" w:line="139" w:lineRule="exact"/>
        <w:rPr>
          <w:sz w:val="20"/>
          <w:szCs w:val="20"/>
          <w:color w:val="auto"/>
        </w:rPr>
      </w:pPr>
    </w:p>
    <w:p>
      <w:pPr>
        <w:ind w:right="140" w:firstLine="636"/>
        <w:spacing w:after="0" w:line="209" w:lineRule="auto"/>
        <w:rPr>
          <w:sz w:val="20"/>
          <w:szCs w:val="20"/>
          <w:color w:val="auto"/>
        </w:rPr>
      </w:pPr>
      <w:r>
        <w:rPr>
          <w:rFonts w:ascii="Calibri" w:cs="Calibri" w:eastAsia="Calibri" w:hAnsi="Calibri"/>
          <w:sz w:val="19"/>
          <w:szCs w:val="19"/>
          <w:color w:val="auto"/>
        </w:rPr>
        <w:t>In communicatng material non-public informaton to Covered Persons, all Covered Persons must take care to emphasize the need for confdental treatment of such informaton and adherence to the Company’s policies with regard to confdental informaton. This includes taking precautons to prevent unauthorized disclosure of material non-public informaton about the Company in accordance with such other policies. Prohibitons and procedures relatng to the internal and external disseminaton of material non-public informaton are addressed in the Company’s Corporate Communicatons and Social Media Policy.</w:t>
      </w:r>
    </w:p>
    <w:p>
      <w:pPr>
        <w:spacing w:after="0" w:line="143" w:lineRule="exact"/>
        <w:rPr>
          <w:sz w:val="20"/>
          <w:szCs w:val="20"/>
          <w:color w:val="auto"/>
        </w:rPr>
      </w:pPr>
    </w:p>
    <w:p>
      <w:pPr>
        <w:ind w:right="260" w:firstLine="636"/>
        <w:spacing w:after="0" w:line="212" w:lineRule="auto"/>
        <w:rPr>
          <w:sz w:val="20"/>
          <w:szCs w:val="20"/>
          <w:color w:val="auto"/>
        </w:rPr>
      </w:pPr>
      <w:r>
        <w:rPr>
          <w:rFonts w:ascii="Calibri" w:cs="Calibri" w:eastAsia="Calibri" w:hAnsi="Calibri"/>
          <w:sz w:val="19"/>
          <w:szCs w:val="19"/>
          <w:color w:val="auto"/>
        </w:rPr>
        <w:t>The Company shall provide training programs designed to promote compliance with insider trading laws and this policy. Partcipaton by Covered Persons (excluding family members and enttes considered Covered Persons for purposes of this policy) in such programs is mandatory.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760" w:firstLine="636"/>
        <w:spacing w:after="0" w:line="217" w:lineRule="auto"/>
        <w:rPr>
          <w:sz w:val="20"/>
          <w:szCs w:val="20"/>
          <w:color w:val="auto"/>
        </w:rPr>
      </w:pPr>
      <w:r>
        <w:rPr>
          <w:rFonts w:ascii="Calibri" w:cs="Calibri" w:eastAsia="Calibri" w:hAnsi="Calibri"/>
          <w:sz w:val="19"/>
          <w:szCs w:val="19"/>
          <w:color w:val="auto"/>
        </w:rPr>
        <w:t>As appropriate and directed by the Compliance Ofcer, Covered Persons will be required to complete and sign or confrm electronically an Insider Trading Policy Acknowledgment. Each such acknowledgment shall form a part of the certfying individual’s permanent personnel fle.</w:t>
      </w:r>
    </w:p>
    <w:p>
      <w:pPr>
        <w:spacing w:after="0" w:line="1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10b5-1 Plans</w:t>
      </w:r>
    </w:p>
    <w:p>
      <w:pPr>
        <w:spacing w:after="0" w:line="139" w:lineRule="exact"/>
        <w:rPr>
          <w:sz w:val="20"/>
          <w:szCs w:val="20"/>
          <w:color w:val="auto"/>
        </w:rPr>
      </w:pPr>
    </w:p>
    <w:p>
      <w:pPr>
        <w:jc w:val="both"/>
        <w:ind w:firstLine="636"/>
        <w:spacing w:after="0" w:line="222" w:lineRule="auto"/>
        <w:rPr>
          <w:sz w:val="20"/>
          <w:szCs w:val="20"/>
          <w:color w:val="auto"/>
        </w:rPr>
      </w:pPr>
      <w:r>
        <w:rPr>
          <w:rFonts w:ascii="Calibri" w:cs="Calibri" w:eastAsia="Calibri" w:hAnsi="Calibri"/>
          <w:sz w:val="19"/>
          <w:szCs w:val="19"/>
          <w:color w:val="auto"/>
        </w:rPr>
        <w:t>It is not a violaton of this policy to transact in the Company’s securites while you are aware of any material non-public informaton or during a blackout period if: (i) the transactons are made pursuant to a writen trading plan (a “10b5-1 plan”) that complies with the requirements of this policy, the Company’s Guidelines for Rule 10b5-1 Plans and Rule 10b5-1(c) (as such rules and regulatons may be amended from tme to tme by the SEC, including any SEC Staf interpretatons relatng thereto) (“Rule 10b5-1”) under the Exchange Act; (ii) the 10b5-1 plan was not entered into while you were subject to a blackout period; (iii) the 10b5-1 plan contains a representaton certfying that, on the date of adopton of the 10b5-1 plan, you (a) are not aware of material non-public informaton about the Company or its securites and (b) adopted the 10b5-1 plan in good faith and not as part of a plan or scheme to evade the prohibitons of Rule 10b5 -1 under the Exchange Act; and (iv) the 10b5-1 plan was pre-cleared in writng in advance by the Compliance Ofcer; provided, however, that any and all transactons in the Company’s securites under a 10b5-1 plan that satsfes the conditons in clauses (i) through (iv) shall not qualify for the foregoing excepton if afer you have entered into the 10b5-1 plan you fail to act in good faith with respect to it, including with respect to modifcatons and terminatons. Trades executed as specifed by the plan are not subject to the pre-clearance requirements contained in this policy.</w:t>
      </w:r>
    </w:p>
    <w:p>
      <w:pPr>
        <w:spacing w:after="0" w:line="144" w:lineRule="exact"/>
        <w:rPr>
          <w:sz w:val="20"/>
          <w:szCs w:val="20"/>
          <w:color w:val="auto"/>
        </w:rPr>
      </w:pPr>
    </w:p>
    <w:p>
      <w:pPr>
        <w:jc w:val="both"/>
        <w:ind w:firstLine="636"/>
        <w:spacing w:after="0" w:line="206" w:lineRule="auto"/>
        <w:rPr>
          <w:sz w:val="20"/>
          <w:szCs w:val="20"/>
          <w:color w:val="auto"/>
        </w:rPr>
      </w:pPr>
      <w:r>
        <w:rPr>
          <w:rFonts w:ascii="Calibri" w:cs="Calibri" w:eastAsia="Calibri" w:hAnsi="Calibri"/>
          <w:sz w:val="19"/>
          <w:szCs w:val="19"/>
          <w:color w:val="auto"/>
        </w:rPr>
        <w:t>These pre-planned trading programs are available directors, ofcers and such other individuals as may be designated from tme to tme by the Compliance Ofcer. Such persons must submit a proposed 10b5-1 plan and any modifcaton of a 10b5-1 plan, including terminaton of a 10b5-1 plan other than pursuant to the existng terms of a 10b5-1 plan, for pre-clearance in accordance with the provisions herein at least fve (5) business days before the desired date of entry into or modifcaton of such a plan. For more informaton about how to establish a 10b5-1 plan, please contact the Compliance Ofcer. The Company reserves the right to disapprove any submited plan, even if it complies with SEC Rule 10b5-1(c) and otherwise complies with this policy.</w:t>
      </w:r>
    </w:p>
    <w:p>
      <w:pPr>
        <w:spacing w:after="0" w:line="144" w:lineRule="exact"/>
        <w:rPr>
          <w:sz w:val="20"/>
          <w:szCs w:val="20"/>
          <w:color w:val="auto"/>
        </w:rPr>
      </w:pPr>
    </w:p>
    <w:p>
      <w:pPr>
        <w:jc w:val="both"/>
        <w:ind w:firstLine="636"/>
        <w:spacing w:after="0" w:line="217" w:lineRule="auto"/>
        <w:rPr>
          <w:sz w:val="20"/>
          <w:szCs w:val="20"/>
          <w:color w:val="auto"/>
        </w:rPr>
      </w:pPr>
      <w:r>
        <w:rPr>
          <w:rFonts w:ascii="Calibri" w:cs="Calibri" w:eastAsia="Calibri" w:hAnsi="Calibri"/>
          <w:sz w:val="19"/>
          <w:szCs w:val="19"/>
          <w:color w:val="auto"/>
        </w:rPr>
        <w:t>The Company reserves the right to publicly disclose, announce, or respond to inquiries from the media regarding the adopton, modifcaton, or terminaton of a 10b5-1 plan and non-Rule 10b5-1 trading arrangements, or the executon of transactons made under a 10b5-1 plan.</w:t>
      </w:r>
    </w:p>
    <w:p>
      <w:pPr>
        <w:spacing w:after="0" w:line="1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Transactons by the Company</w:t>
      </w:r>
    </w:p>
    <w:p>
      <w:pPr>
        <w:spacing w:after="0" w:line="139" w:lineRule="exact"/>
        <w:rPr>
          <w:sz w:val="20"/>
          <w:szCs w:val="20"/>
          <w:color w:val="auto"/>
        </w:rPr>
      </w:pPr>
    </w:p>
    <w:p>
      <w:pPr>
        <w:ind w:right="2180" w:firstLine="636"/>
        <w:spacing w:after="0" w:line="369" w:lineRule="auto"/>
        <w:rPr>
          <w:sz w:val="20"/>
          <w:szCs w:val="20"/>
          <w:color w:val="auto"/>
        </w:rPr>
      </w:pPr>
      <w:r>
        <w:rPr>
          <w:rFonts w:ascii="Calibri" w:cs="Calibri" w:eastAsia="Calibri" w:hAnsi="Calibri"/>
          <w:sz w:val="19"/>
          <w:szCs w:val="19"/>
          <w:color w:val="auto"/>
        </w:rPr>
        <w:t xml:space="preserve">The Company will not transact in its own securites, except in compliance with applicable securites laws. </w:t>
      </w:r>
      <w:r>
        <w:rPr>
          <w:rFonts w:ascii="Calibri" w:cs="Calibri" w:eastAsia="Calibri" w:hAnsi="Calibri"/>
          <w:sz w:val="19"/>
          <w:szCs w:val="19"/>
          <w:b w:val="1"/>
          <w:bCs w:val="1"/>
          <w:color w:val="auto"/>
        </w:rPr>
        <w:t>Regulatory and Law Enforcement Inquiries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highlight w:val="black"/>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36"/>
        <w:spacing w:after="0" w:line="217" w:lineRule="auto"/>
        <w:rPr>
          <w:sz w:val="20"/>
          <w:szCs w:val="20"/>
          <w:color w:val="auto"/>
        </w:rPr>
      </w:pPr>
      <w:r>
        <w:rPr>
          <w:rFonts w:ascii="Calibri" w:cs="Calibri" w:eastAsia="Calibri" w:hAnsi="Calibri"/>
          <w:sz w:val="19"/>
          <w:szCs w:val="19"/>
          <w:color w:val="auto"/>
        </w:rPr>
        <w:t>You should be aware that regulatory agencies such as the SEC, the Department of Justce and FINRA regularly inquire about market trading in securites. If the Company receives such an inquiry, the Company intends to cooperate and will provide informaton requested, such as informaton regarding individuals’ trading and awareness of material non-public informaton.</w:t>
      </w:r>
    </w:p>
    <w:p>
      <w:pPr>
        <w:spacing w:after="0" w:line="13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Inquiries</w:t>
      </w:r>
    </w:p>
    <w:p>
      <w:pPr>
        <w:spacing w:after="0" w:line="139" w:lineRule="exact"/>
        <w:rPr>
          <w:sz w:val="20"/>
          <w:szCs w:val="20"/>
          <w:color w:val="auto"/>
        </w:rPr>
      </w:pPr>
    </w:p>
    <w:p>
      <w:pPr>
        <w:jc w:val="both"/>
        <w:ind w:firstLine="636"/>
        <w:spacing w:after="0" w:line="215" w:lineRule="auto"/>
        <w:rPr>
          <w:sz w:val="20"/>
          <w:szCs w:val="20"/>
          <w:color w:val="auto"/>
        </w:rPr>
      </w:pPr>
      <w:r>
        <w:rPr>
          <w:rFonts w:ascii="Calibri" w:cs="Calibri" w:eastAsia="Calibri" w:hAnsi="Calibri"/>
          <w:sz w:val="19"/>
          <w:szCs w:val="19"/>
          <w:color w:val="auto"/>
        </w:rPr>
        <w:t>Any questons about this policy, its applicaton to a proposed transacton, or the requirements of applicable laws should be directed to the Compliance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Commercial and Confdental Property of Beyond Meat®</w:t>
      </w:r>
    </w:p>
    <w:p>
      <w:pPr>
        <w:sectPr>
          <w:pgSz w:w="11900" w:h="16838" w:orient="portrait"/>
          <w:cols w:equalWidth="0" w:num="1">
            <w:col w:w="11240"/>
          </w:cols>
          <w:pgMar w:left="320" w:top="144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Subsidiaries of Beyond Meat, Inc.</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29"/>
        </w:trPr>
        <w:tc>
          <w:tcPr>
            <w:tcW w:w="7380" w:type="dxa"/>
            <w:vAlign w:val="bottom"/>
            <w:gridSpan w:val="6"/>
          </w:tcPr>
          <w:p>
            <w:pPr>
              <w:spacing w:after="0"/>
              <w:rPr>
                <w:sz w:val="20"/>
                <w:szCs w:val="20"/>
                <w:color w:val="auto"/>
              </w:rPr>
            </w:pPr>
            <w:r>
              <w:rPr>
                <w:rFonts w:ascii="Arial" w:cs="Arial" w:eastAsia="Arial" w:hAnsi="Arial"/>
                <w:sz w:val="18"/>
                <w:szCs w:val="18"/>
                <w:b w:val="1"/>
                <w:bCs w:val="1"/>
                <w:color w:val="auto"/>
              </w:rPr>
              <w:t>Subsidiaries  Jurisdiction</w:t>
            </w:r>
          </w:p>
        </w:tc>
        <w:tc>
          <w:tcPr>
            <w:tcW w:w="820" w:type="dxa"/>
            <w:vAlign w:val="bottom"/>
          </w:tcPr>
          <w:p>
            <w:pPr>
              <w:spacing w:after="0"/>
              <w:rPr>
                <w:sz w:val="24"/>
                <w:szCs w:val="24"/>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8"/>
        </w:trPr>
        <w:tc>
          <w:tcPr>
            <w:tcW w:w="7380" w:type="dxa"/>
            <w:vAlign w:val="bottom"/>
            <w:gridSpan w:val="6"/>
          </w:tcPr>
          <w:p>
            <w:pPr>
              <w:spacing w:after="0"/>
              <w:rPr>
                <w:sz w:val="20"/>
                <w:szCs w:val="20"/>
                <w:color w:val="auto"/>
              </w:rPr>
            </w:pPr>
            <w:r>
              <w:rPr>
                <w:rFonts w:ascii="Arial" w:cs="Arial" w:eastAsia="Arial" w:hAnsi="Arial"/>
                <w:sz w:val="18"/>
                <w:szCs w:val="18"/>
                <w:color w:val="auto"/>
              </w:rPr>
              <w:t>Beyond Meat EU B.V.  Netherlands</w:t>
            </w:r>
          </w:p>
        </w:tc>
        <w:tc>
          <w:tcPr>
            <w:tcW w:w="820" w:type="dxa"/>
            <w:vAlign w:val="bottom"/>
          </w:tcPr>
          <w:p>
            <w:pPr>
              <w:spacing w:after="0"/>
              <w:rPr>
                <w:sz w:val="21"/>
                <w:szCs w:val="21"/>
                <w:color w:val="auto"/>
              </w:rPr>
            </w:pPr>
          </w:p>
        </w:tc>
      </w:tr>
      <w:tr>
        <w:trPr>
          <w:trHeight w:val="265"/>
        </w:trPr>
        <w:tc>
          <w:tcPr>
            <w:tcW w:w="7380" w:type="dxa"/>
            <w:vAlign w:val="bottom"/>
            <w:gridSpan w:val="6"/>
          </w:tcPr>
          <w:p>
            <w:pPr>
              <w:spacing w:after="0"/>
              <w:rPr>
                <w:sz w:val="20"/>
                <w:szCs w:val="20"/>
                <w:color w:val="auto"/>
              </w:rPr>
            </w:pPr>
            <w:r>
              <w:rPr>
                <w:rFonts w:ascii="Arial" w:cs="Arial" w:eastAsia="Arial" w:hAnsi="Arial"/>
                <w:sz w:val="18"/>
                <w:szCs w:val="18"/>
                <w:color w:val="auto"/>
              </w:rPr>
              <w:t>Beyond Meat (Jiaxing) Food Co., Ltd.  Zhejiang Province, China Beyond Meat Canada Inc.</w:t>
            </w:r>
          </w:p>
        </w:tc>
        <w:tc>
          <w:tcPr>
            <w:tcW w:w="820" w:type="dxa"/>
            <w:vAlign w:val="bottom"/>
          </w:tcPr>
          <w:p>
            <w:pPr>
              <w:ind w:left="200"/>
              <w:spacing w:after="0"/>
              <w:rPr>
                <w:sz w:val="20"/>
                <w:szCs w:val="20"/>
                <w:color w:val="auto"/>
              </w:rPr>
            </w:pPr>
            <w:r>
              <w:rPr>
                <w:rFonts w:ascii="Arial" w:cs="Arial" w:eastAsia="Arial" w:hAnsi="Arial"/>
                <w:sz w:val="18"/>
                <w:szCs w:val="18"/>
                <w:color w:val="auto"/>
                <w:w w:val="95"/>
              </w:rPr>
              <w:t>Canada</w:t>
            </w:r>
          </w:p>
        </w:tc>
      </w:tr>
    </w:tbl>
    <w:p>
      <w:pPr>
        <w:sectPr>
          <w:pgSz w:w="11900" w:h="16838" w:orient="portrait"/>
          <w:cols w:equalWidth="0" w:num="1">
            <w:col w:w="11040"/>
          </w:cols>
          <w:pgMar w:left="420" w:top="1353" w:right="439" w:bottom="1440" w:gutter="0" w:footer="0" w:header="0"/>
        </w:sectPr>
      </w:pPr>
    </w:p>
    <w:bookmarkStart w:id="205" w:name="page206"/>
    <w:bookmarkEnd w:id="205"/>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63" w:lineRule="exact"/>
        <w:rPr>
          <w:sz w:val="20"/>
          <w:szCs w:val="20"/>
          <w:color w:val="auto"/>
        </w:rPr>
      </w:pPr>
    </w:p>
    <w:p>
      <w:pPr>
        <w:ind w:right="20"/>
        <w:spacing w:after="0" w:line="390"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Nos. 333-271824, 333-263263, 333-238304 and 333-231186 on Form S-8 of our reports dated March 1, 2024, relating to the financial statements of Beyond Meat, Inc. and the effectiveness of Beyond Meat, Inc.’s internal control over financial reporting appearing in this Annual Report on Form 10-K for the year ended December 31,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Los Angeles, California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2024</w:t>
      </w:r>
    </w:p>
    <w:p>
      <w:pPr>
        <w:sectPr>
          <w:pgSz w:w="11900" w:h="16838" w:orient="portrait"/>
          <w:cols w:equalWidth="0" w:num="1">
            <w:col w:w="11240"/>
          </w:cols>
          <w:pgMar w:left="320" w:top="144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30" w:lineRule="exact"/>
        <w:rPr>
          <w:sz w:val="20"/>
          <w:szCs w:val="20"/>
          <w:color w:val="auto"/>
        </w:rPr>
      </w:pPr>
    </w:p>
    <w:p>
      <w:pPr>
        <w:ind w:left="640" w:hanging="475"/>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270" w:lineRule="exact"/>
        <w:rPr>
          <w:rFonts w:ascii="Arial" w:cs="Arial" w:eastAsia="Arial" w:hAnsi="Arial"/>
          <w:sz w:val="18"/>
          <w:szCs w:val="18"/>
          <w:color w:val="auto"/>
        </w:rPr>
      </w:pPr>
    </w:p>
    <w:p>
      <w:pPr>
        <w:ind w:left="640" w:hanging="475"/>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w:t>
      </w:r>
    </w:p>
    <w:p>
      <w:pPr>
        <w:spacing w:after="0" w:line="56" w:lineRule="exact"/>
        <w:rPr>
          <w:rFonts w:ascii="Arial" w:cs="Arial" w:eastAsia="Arial" w:hAnsi="Arial"/>
          <w:sz w:val="17"/>
          <w:szCs w:val="17"/>
          <w:color w:val="auto"/>
        </w:rPr>
      </w:pPr>
    </w:p>
    <w:p>
      <w:pPr>
        <w:ind w:left="640" w:right="20"/>
        <w:spacing w:after="0" w:line="305" w:lineRule="auto"/>
        <w:rPr>
          <w:rFonts w:ascii="Arial" w:cs="Arial" w:eastAsia="Arial" w:hAnsi="Arial"/>
          <w:sz w:val="17"/>
          <w:szCs w:val="17"/>
          <w:color w:val="auto"/>
        </w:rPr>
      </w:pPr>
      <w:r>
        <w:rPr>
          <w:rFonts w:ascii="Arial" w:cs="Arial" w:eastAsia="Arial" w:hAnsi="Arial"/>
          <w:sz w:val="18"/>
          <w:szCs w:val="18"/>
          <w:color w:val="auto"/>
        </w:rPr>
        <w:t>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40" w:right="60" w:hanging="475"/>
        <w:spacing w:after="0" w:line="353" w:lineRule="auto"/>
        <w:tabs>
          <w:tab w:leader="none" w:pos="6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7"/>
          <w:szCs w:val="17"/>
          <w:color w:val="auto"/>
        </w:rPr>
      </w:pPr>
    </w:p>
    <w:p>
      <w:pPr>
        <w:ind w:left="640" w:hanging="475"/>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w:t>
      </w:r>
    </w:p>
    <w:p>
      <w:pPr>
        <w:spacing w:after="0" w:line="56" w:lineRule="exact"/>
        <w:rPr>
          <w:rFonts w:ascii="Arial" w:cs="Arial" w:eastAsia="Arial" w:hAnsi="Arial"/>
          <w:sz w:val="17"/>
          <w:szCs w:val="17"/>
          <w:color w:val="auto"/>
        </w:rPr>
      </w:pPr>
    </w:p>
    <w:p>
      <w:pPr>
        <w:ind w:left="640" w:right="20"/>
        <w:spacing w:after="0" w:line="305" w:lineRule="auto"/>
        <w:rPr>
          <w:rFonts w:ascii="Arial" w:cs="Arial" w:eastAsia="Arial" w:hAnsi="Arial"/>
          <w:sz w:val="17"/>
          <w:szCs w:val="17"/>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280" w:right="220" w:hanging="638"/>
        <w:spacing w:after="0" w:line="29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1260" w:hanging="618"/>
        <w:spacing w:after="0"/>
        <w:tabs>
          <w:tab w:leader="none" w:pos="12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44" w:lineRule="exact"/>
        <w:rPr>
          <w:rFonts w:ascii="Arial" w:cs="Arial" w:eastAsia="Arial" w:hAnsi="Arial"/>
          <w:sz w:val="18"/>
          <w:szCs w:val="18"/>
          <w:color w:val="auto"/>
        </w:rPr>
      </w:pPr>
    </w:p>
    <w:p>
      <w:pPr>
        <w:ind w:left="1280" w:right="360"/>
        <w:spacing w:after="0" w:line="305"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280" w:right="160" w:hanging="638"/>
        <w:spacing w:after="0" w:line="298" w:lineRule="auto"/>
        <w:tabs>
          <w:tab w:leader="none" w:pos="127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left="1280" w:right="280" w:hanging="638"/>
        <w:spacing w:after="0" w:line="306"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475"/>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44" w:lineRule="exact"/>
        <w:rPr>
          <w:rFonts w:ascii="Arial" w:cs="Arial" w:eastAsia="Arial" w:hAnsi="Arial"/>
          <w:sz w:val="18"/>
          <w:szCs w:val="18"/>
          <w:color w:val="auto"/>
        </w:rPr>
      </w:pPr>
    </w:p>
    <w:p>
      <w:pPr>
        <w:ind w:left="640" w:right="40"/>
        <w:spacing w:after="0" w:line="305" w:lineRule="auto"/>
        <w:rPr>
          <w:rFonts w:ascii="Arial" w:cs="Arial" w:eastAsia="Arial" w:hAnsi="Arial"/>
          <w:sz w:val="18"/>
          <w:szCs w:val="18"/>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280" w:right="140" w:hanging="638"/>
        <w:spacing w:after="0" w:line="298" w:lineRule="auto"/>
        <w:tabs>
          <w:tab w:leader="none" w:pos="12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889" w:right="339" w:bottom="1440" w:gutter="0" w:footer="0" w:header="0"/>
        </w:sectPr>
      </w:pPr>
    </w:p>
    <w:bookmarkStart w:id="207" w:name="page208"/>
    <w:bookmarkEnd w:id="207"/>
    <w:p>
      <w:pPr>
        <w:ind w:left="1260" w:hanging="638"/>
        <w:spacing w:after="0" w:line="305" w:lineRule="auto"/>
        <w:tabs>
          <w:tab w:leader="none" w:pos="12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gridSpan w:val="2"/>
          </w:tcPr>
          <w:p>
            <w:pPr>
              <w:spacing w:after="0"/>
              <w:rPr>
                <w:sz w:val="20"/>
                <w:szCs w:val="20"/>
                <w:color w:val="auto"/>
              </w:rPr>
            </w:pPr>
            <w:r>
              <w:rPr>
                <w:rFonts w:ascii="Arial" w:cs="Arial" w:eastAsia="Arial" w:hAnsi="Arial"/>
                <w:sz w:val="18"/>
                <w:szCs w:val="18"/>
                <w:color w:val="auto"/>
              </w:rPr>
              <w:t>Date:  March 1, 2024</w:t>
            </w:r>
          </w:p>
        </w:tc>
        <w:tc>
          <w:tcPr>
            <w:tcW w:w="4160" w:type="dxa"/>
            <w:vAlign w:val="bottom"/>
          </w:tcPr>
          <w:p>
            <w:pPr>
              <w:ind w:left="3680"/>
              <w:spacing w:after="0"/>
              <w:rPr>
                <w:sz w:val="20"/>
                <w:szCs w:val="20"/>
                <w:color w:val="auto"/>
              </w:rPr>
            </w:pPr>
            <w:r>
              <w:rPr>
                <w:rFonts w:ascii="Arial" w:cs="Arial" w:eastAsia="Arial" w:hAnsi="Arial"/>
                <w:sz w:val="18"/>
                <w:szCs w:val="18"/>
                <w:color w:val="auto"/>
              </w:rPr>
              <w:t>By:</w:t>
            </w:r>
          </w:p>
        </w:tc>
        <w:tc>
          <w:tcPr>
            <w:tcW w:w="396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5"/>
        </w:trPr>
        <w:tc>
          <w:tcPr>
            <w:tcW w:w="6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160" w:type="dxa"/>
            <w:vAlign w:val="bottom"/>
          </w:tcPr>
          <w:p>
            <w:pPr>
              <w:spacing w:after="0"/>
              <w:rPr>
                <w:sz w:val="18"/>
                <w:szCs w:val="18"/>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Ethan Brown</w:t>
            </w:r>
          </w:p>
        </w:tc>
      </w:tr>
      <w:tr>
        <w:trPr>
          <w:trHeight w:val="225"/>
        </w:trPr>
        <w:tc>
          <w:tcPr>
            <w:tcW w:w="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7"/>
              </w:rPr>
              <w:t>President and Chief Executive Officer</w:t>
            </w:r>
          </w:p>
        </w:tc>
      </w:tr>
      <w:tr>
        <w:trPr>
          <w:trHeight w:val="232"/>
        </w:trPr>
        <w:tc>
          <w:tcPr>
            <w:tcW w:w="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ectPr>
          <w:pgSz w:w="11900" w:h="16838" w:orient="portrait"/>
          <w:cols w:equalWidth="0" w:num="1">
            <w:col w:w="11140"/>
          </w:cols>
          <w:pgMar w:left="340" w:top="891" w:right="4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Lubi Kutua, certify that:</w:t>
      </w:r>
    </w:p>
    <w:p>
      <w:pPr>
        <w:spacing w:after="0" w:line="230" w:lineRule="exact"/>
        <w:rPr>
          <w:sz w:val="20"/>
          <w:szCs w:val="20"/>
          <w:color w:val="auto"/>
        </w:rPr>
      </w:pPr>
    </w:p>
    <w:p>
      <w:pPr>
        <w:ind w:left="640" w:hanging="475"/>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270" w:lineRule="exact"/>
        <w:rPr>
          <w:rFonts w:ascii="Arial" w:cs="Arial" w:eastAsia="Arial" w:hAnsi="Arial"/>
          <w:sz w:val="18"/>
          <w:szCs w:val="18"/>
          <w:color w:val="auto"/>
        </w:rPr>
      </w:pPr>
    </w:p>
    <w:p>
      <w:pPr>
        <w:ind w:left="640" w:hanging="475"/>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w:t>
      </w:r>
    </w:p>
    <w:p>
      <w:pPr>
        <w:spacing w:after="0" w:line="56" w:lineRule="exact"/>
        <w:rPr>
          <w:rFonts w:ascii="Arial" w:cs="Arial" w:eastAsia="Arial" w:hAnsi="Arial"/>
          <w:sz w:val="17"/>
          <w:szCs w:val="17"/>
          <w:color w:val="auto"/>
        </w:rPr>
      </w:pPr>
    </w:p>
    <w:p>
      <w:pPr>
        <w:ind w:left="640" w:right="20"/>
        <w:spacing w:after="0" w:line="305" w:lineRule="auto"/>
        <w:rPr>
          <w:rFonts w:ascii="Arial" w:cs="Arial" w:eastAsia="Arial" w:hAnsi="Arial"/>
          <w:sz w:val="17"/>
          <w:szCs w:val="17"/>
          <w:color w:val="auto"/>
        </w:rPr>
      </w:pPr>
      <w:r>
        <w:rPr>
          <w:rFonts w:ascii="Arial" w:cs="Arial" w:eastAsia="Arial" w:hAnsi="Arial"/>
          <w:sz w:val="18"/>
          <w:szCs w:val="18"/>
          <w:color w:val="auto"/>
        </w:rPr>
        <w:t>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40" w:right="60" w:hanging="475"/>
        <w:spacing w:after="0" w:line="353" w:lineRule="auto"/>
        <w:tabs>
          <w:tab w:leader="none" w:pos="6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7"/>
          <w:szCs w:val="17"/>
          <w:color w:val="auto"/>
        </w:rPr>
      </w:pPr>
    </w:p>
    <w:p>
      <w:pPr>
        <w:ind w:left="640" w:hanging="475"/>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w:t>
      </w:r>
    </w:p>
    <w:p>
      <w:pPr>
        <w:spacing w:after="0" w:line="56" w:lineRule="exact"/>
        <w:rPr>
          <w:rFonts w:ascii="Arial" w:cs="Arial" w:eastAsia="Arial" w:hAnsi="Arial"/>
          <w:sz w:val="17"/>
          <w:szCs w:val="17"/>
          <w:color w:val="auto"/>
        </w:rPr>
      </w:pPr>
    </w:p>
    <w:p>
      <w:pPr>
        <w:ind w:left="640" w:right="20"/>
        <w:spacing w:after="0" w:line="305" w:lineRule="auto"/>
        <w:rPr>
          <w:rFonts w:ascii="Arial" w:cs="Arial" w:eastAsia="Arial" w:hAnsi="Arial"/>
          <w:sz w:val="17"/>
          <w:szCs w:val="17"/>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280" w:right="220" w:hanging="638"/>
        <w:spacing w:after="0" w:line="298" w:lineRule="auto"/>
        <w:tabs>
          <w:tab w:leader="none" w:pos="12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1260" w:hanging="618"/>
        <w:spacing w:after="0"/>
        <w:tabs>
          <w:tab w:leader="none" w:pos="1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44" w:lineRule="exact"/>
        <w:rPr>
          <w:rFonts w:ascii="Arial" w:cs="Arial" w:eastAsia="Arial" w:hAnsi="Arial"/>
          <w:sz w:val="18"/>
          <w:szCs w:val="18"/>
          <w:color w:val="auto"/>
        </w:rPr>
      </w:pPr>
    </w:p>
    <w:p>
      <w:pPr>
        <w:ind w:left="1280" w:right="360"/>
        <w:spacing w:after="0" w:line="305"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280" w:right="160" w:hanging="638"/>
        <w:spacing w:after="0" w:line="298" w:lineRule="auto"/>
        <w:tabs>
          <w:tab w:leader="none" w:pos="127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left="1280" w:right="280" w:hanging="638"/>
        <w:spacing w:after="0" w:line="306" w:lineRule="auto"/>
        <w:tabs>
          <w:tab w:leader="none" w:pos="12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475"/>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44" w:lineRule="exact"/>
        <w:rPr>
          <w:rFonts w:ascii="Arial" w:cs="Arial" w:eastAsia="Arial" w:hAnsi="Arial"/>
          <w:sz w:val="18"/>
          <w:szCs w:val="18"/>
          <w:color w:val="auto"/>
        </w:rPr>
      </w:pPr>
    </w:p>
    <w:p>
      <w:pPr>
        <w:ind w:left="640" w:right="40"/>
        <w:spacing w:after="0" w:line="305" w:lineRule="auto"/>
        <w:rPr>
          <w:rFonts w:ascii="Arial" w:cs="Arial" w:eastAsia="Arial" w:hAnsi="Arial"/>
          <w:sz w:val="18"/>
          <w:szCs w:val="18"/>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280" w:right="140" w:hanging="638"/>
        <w:spacing w:after="0" w:line="298" w:lineRule="auto"/>
        <w:tabs>
          <w:tab w:leader="none" w:pos="12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889" w:right="339" w:bottom="1440" w:gutter="0" w:footer="0" w:header="0"/>
        </w:sectPr>
      </w:pPr>
    </w:p>
    <w:bookmarkStart w:id="209" w:name="page210"/>
    <w:bookmarkEnd w:id="209"/>
    <w:p>
      <w:pPr>
        <w:ind w:left="1260" w:hanging="638"/>
        <w:spacing w:after="0" w:line="305" w:lineRule="auto"/>
        <w:tabs>
          <w:tab w:leader="none" w:pos="12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Date:   March 1, 2024</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ectPr>
          <w:pgSz w:w="11900" w:h="16838" w:orient="portrait"/>
          <w:cols w:equalWidth="0" w:num="1">
            <w:col w:w="11140"/>
          </w:cols>
          <w:pgMar w:left="340" w:top="891" w:right="4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51" w:lineRule="exact"/>
        <w:rPr>
          <w:sz w:val="20"/>
          <w:szCs w:val="20"/>
          <w:color w:val="auto"/>
        </w:rPr>
      </w:pPr>
    </w:p>
    <w:p>
      <w:pPr>
        <w:ind w:left="960" w:right="40" w:hanging="318"/>
        <w:spacing w:after="0" w:line="408" w:lineRule="auto"/>
        <w:tabs>
          <w:tab w:leader="none" w:pos="954"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Annual Report on Form 10-K of the Company for the year ended December 31, 2023 (the “Report”), as filed with the Securities and Exchange Commission, fully complies with the requirements of Section 13(a) or Section 15(d), as applicable, of the Securities Exchange Act of 1934, as amended (the "Exchange Act"); and</w:t>
      </w:r>
    </w:p>
    <w:p>
      <w:pPr>
        <w:spacing w:after="0" w:line="3" w:lineRule="exact"/>
        <w:rPr>
          <w:rFonts w:ascii="Times New Roman" w:cs="Times New Roman" w:eastAsia="Times New Roman" w:hAnsi="Times New Roman"/>
          <w:sz w:val="18"/>
          <w:szCs w:val="18"/>
          <w:color w:val="auto"/>
        </w:rPr>
      </w:pPr>
    </w:p>
    <w:p>
      <w:pPr>
        <w:ind w:left="960" w:right="260" w:hanging="318"/>
        <w:spacing w:after="0" w:line="442" w:lineRule="auto"/>
        <w:tabs>
          <w:tab w:leader="none" w:pos="954"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376"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Date:  March 1, 2024</w:t>
            </w:r>
          </w:p>
        </w:tc>
        <w:tc>
          <w:tcPr>
            <w:tcW w:w="3360" w:type="dxa"/>
            <w:vAlign w:val="bottom"/>
          </w:tcPr>
          <w:p>
            <w:pPr>
              <w:ind w:left="2900"/>
              <w:spacing w:after="0"/>
              <w:rPr>
                <w:sz w:val="20"/>
                <w:szCs w:val="20"/>
                <w:color w:val="auto"/>
              </w:rPr>
            </w:pPr>
            <w:r>
              <w:rPr>
                <w:rFonts w:ascii="Arial" w:cs="Arial" w:eastAsia="Arial" w:hAnsi="Arial"/>
                <w:sz w:val="18"/>
                <w:szCs w:val="18"/>
                <w:color w:val="auto"/>
              </w:rPr>
              <w:t>By:</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5"/>
        </w:trPr>
        <w:tc>
          <w:tcPr>
            <w:tcW w:w="6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pacing w:after="0" w:line="200" w:lineRule="exact"/>
        <w:rPr>
          <w:sz w:val="20"/>
          <w:szCs w:val="20"/>
          <w:color w:val="auto"/>
        </w:rPr>
      </w:pPr>
    </w:p>
    <w:p>
      <w:pPr>
        <w:spacing w:after="0" w:line="350" w:lineRule="exact"/>
        <w:rPr>
          <w:sz w:val="20"/>
          <w:szCs w:val="20"/>
          <w:color w:val="auto"/>
        </w:rPr>
      </w:pPr>
    </w:p>
    <w:p>
      <w:pPr>
        <w:ind w:right="180" w:firstLine="636"/>
        <w:spacing w:after="0" w:line="429"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9"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32.2</w:t>
      </w:r>
    </w:p>
    <w:p>
      <w:pPr>
        <w:spacing w:after="0" w:line="27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Lubi Kutua, Chief Financial Officer and Treasurer of Beyond Meat, Inc. (the “Company”), do hereby certify, pursuant to 18 U.S.C.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my knowledge:</w:t>
      </w:r>
    </w:p>
    <w:p>
      <w:pPr>
        <w:spacing w:after="0" w:line="151" w:lineRule="exact"/>
        <w:rPr>
          <w:sz w:val="20"/>
          <w:szCs w:val="20"/>
          <w:color w:val="auto"/>
        </w:rPr>
      </w:pPr>
    </w:p>
    <w:p>
      <w:pPr>
        <w:ind w:left="960" w:right="40" w:hanging="318"/>
        <w:spacing w:after="0" w:line="414" w:lineRule="auto"/>
        <w:tabs>
          <w:tab w:leader="none" w:pos="9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2023 (the “Report”), as filed with the Securities and Exchange Commission, fully complies with the requirements of Section 13(a) or Section 15(d), as applicable, of the Securities Exchange Act of 1934, as amended (the "Exchange Act"); and</w:t>
      </w:r>
    </w:p>
    <w:p>
      <w:pPr>
        <w:spacing w:after="0" w:line="2" w:lineRule="exact"/>
        <w:rPr>
          <w:rFonts w:ascii="Arial" w:cs="Arial" w:eastAsia="Arial" w:hAnsi="Arial"/>
          <w:sz w:val="18"/>
          <w:szCs w:val="18"/>
          <w:color w:val="auto"/>
        </w:rPr>
      </w:pPr>
    </w:p>
    <w:p>
      <w:pPr>
        <w:ind w:left="960" w:right="260" w:hanging="318"/>
        <w:spacing w:after="0" w:line="443" w:lineRule="auto"/>
        <w:tabs>
          <w:tab w:leader="none" w:pos="9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March 1, 2024</w:t>
            </w:r>
          </w:p>
        </w:tc>
        <w:tc>
          <w:tcPr>
            <w:tcW w:w="442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350" w:lineRule="exact"/>
        <w:rPr>
          <w:sz w:val="20"/>
          <w:szCs w:val="20"/>
          <w:color w:val="auto"/>
        </w:rPr>
      </w:pPr>
    </w:p>
    <w:p>
      <w:pPr>
        <w:ind w:right="180" w:firstLine="636"/>
        <w:spacing w:after="0" w:line="421"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9" w:right="339" w:bottom="1440" w:gutter="0" w:footer="0" w:header="0"/>
        </w:sectPr>
      </w:pPr>
    </w:p>
    <w:bookmarkStart w:id="212" w:name="page213"/>
    <w:bookmarkEnd w:id="212"/>
    <w:p>
      <w:pPr>
        <w:spacing w:after="0" w:line="10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97.1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BEYOND MEAT,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POLICY FOR RECOVERY OF ERRONEOUSLY AWARDED COMPENSATION</w:t>
      </w:r>
    </w:p>
    <w:p>
      <w:pPr>
        <w:spacing w:after="0" w:line="201" w:lineRule="exact"/>
        <w:rPr>
          <w:sz w:val="20"/>
          <w:szCs w:val="20"/>
          <w:color w:val="auto"/>
        </w:rPr>
      </w:pPr>
    </w:p>
    <w:p>
      <w:pPr>
        <w:jc w:val="both"/>
        <w:ind w:firstLine="636"/>
        <w:spacing w:after="0" w:line="289" w:lineRule="auto"/>
        <w:rPr>
          <w:sz w:val="20"/>
          <w:szCs w:val="20"/>
          <w:color w:val="auto"/>
        </w:rPr>
      </w:pPr>
      <w:r>
        <w:rPr>
          <w:rFonts w:ascii="Arial" w:cs="Arial" w:eastAsia="Arial" w:hAnsi="Arial"/>
          <w:sz w:val="19"/>
          <w:szCs w:val="19"/>
          <w:color w:val="auto"/>
        </w:rPr>
        <w:t>Beyond Meat, Inc. (the “</w:t>
      </w:r>
      <w:r>
        <w:rPr>
          <w:rFonts w:ascii="Arial" w:cs="Arial" w:eastAsia="Arial" w:hAnsi="Arial"/>
          <w:sz w:val="19"/>
          <w:szCs w:val="19"/>
          <w:u w:val="single" w:color="auto"/>
          <w:color w:val="auto"/>
        </w:rPr>
        <w:t>Company</w:t>
      </w:r>
      <w:r>
        <w:rPr>
          <w:rFonts w:ascii="Arial" w:cs="Arial" w:eastAsia="Arial" w:hAnsi="Arial"/>
          <w:sz w:val="19"/>
          <w:szCs w:val="19"/>
          <w:color w:val="auto"/>
        </w:rPr>
        <w:t>”) has adopted this Policy for Recovery of Erroneously Awarded Compensation (the “</w:t>
      </w:r>
      <w:r>
        <w:rPr>
          <w:rFonts w:ascii="Arial" w:cs="Arial" w:eastAsia="Arial" w:hAnsi="Arial"/>
          <w:sz w:val="19"/>
          <w:szCs w:val="19"/>
          <w:u w:val="single" w:color="auto"/>
          <w:color w:val="auto"/>
        </w:rPr>
        <w:t>Policy</w:t>
      </w:r>
      <w:r>
        <w:rPr>
          <w:rFonts w:ascii="Arial" w:cs="Arial" w:eastAsia="Arial" w:hAnsi="Arial"/>
          <w:sz w:val="19"/>
          <w:szCs w:val="19"/>
          <w:color w:val="auto"/>
        </w:rPr>
        <w:t>”), effective as of October 2,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Capitalized terms used in this Policy but not otherwise defined herein are defined in Section 11.</w:t>
      </w:r>
    </w:p>
    <w:p>
      <w:pPr>
        <w:spacing w:after="0" w:line="83" w:lineRule="exact"/>
        <w:rPr>
          <w:sz w:val="20"/>
          <w:szCs w:val="20"/>
          <w:color w:val="auto"/>
        </w:rPr>
      </w:pPr>
    </w:p>
    <w:p>
      <w:pPr>
        <w:ind w:left="640" w:hanging="634"/>
        <w:spacing w:after="0"/>
        <w:tabs>
          <w:tab w:leader="none" w:pos="64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Persons Subject to Policy</w:t>
      </w:r>
    </w:p>
    <w:p>
      <w:pPr>
        <w:spacing w:after="0" w:line="168"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9"/>
          <w:szCs w:val="19"/>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89" w:lineRule="exact"/>
        <w:rPr>
          <w:sz w:val="20"/>
          <w:szCs w:val="20"/>
          <w:color w:val="auto"/>
        </w:rPr>
      </w:pPr>
    </w:p>
    <w:p>
      <w:pPr>
        <w:ind w:left="640" w:hanging="634"/>
        <w:spacing w:after="0"/>
        <w:tabs>
          <w:tab w:leader="none" w:pos="640"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Subject to Policy</w:t>
      </w:r>
    </w:p>
    <w:p>
      <w:pPr>
        <w:spacing w:after="0" w:line="168"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9"/>
          <w:szCs w:val="19"/>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93" w:lineRule="exact"/>
        <w:rPr>
          <w:sz w:val="20"/>
          <w:szCs w:val="20"/>
          <w:color w:val="auto"/>
        </w:rPr>
      </w:pPr>
    </w:p>
    <w:p>
      <w:pPr>
        <w:ind w:left="640" w:hanging="634"/>
        <w:spacing w:after="0"/>
        <w:tabs>
          <w:tab w:leader="none" w:pos="640"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Recovery of Compensation</w:t>
      </w:r>
    </w:p>
    <w:p>
      <w:pPr>
        <w:spacing w:after="0" w:line="155"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9"/>
          <w:szCs w:val="19"/>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96" w:lineRule="exact"/>
        <w:rPr>
          <w:sz w:val="20"/>
          <w:szCs w:val="20"/>
          <w:color w:val="auto"/>
        </w:rPr>
      </w:pPr>
    </w:p>
    <w:p>
      <w:pPr>
        <w:ind w:left="640" w:hanging="634"/>
        <w:spacing w:after="0"/>
        <w:tabs>
          <w:tab w:leader="none" w:pos="640"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Manner of Recovery; Limitation on Duplicative Recovery</w:t>
      </w:r>
    </w:p>
    <w:p>
      <w:pPr>
        <w:spacing w:after="0" w:line="16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9"/>
          <w:szCs w:val="19"/>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solely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0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91" w:lineRule="exact"/>
        <w:rPr>
          <w:sz w:val="20"/>
          <w:szCs w:val="20"/>
          <w:color w:val="auto"/>
        </w:rPr>
      </w:pPr>
    </w:p>
    <w:p>
      <w:pPr>
        <w:ind w:left="640" w:hanging="634"/>
        <w:spacing w:after="0"/>
        <w:tabs>
          <w:tab w:leader="none" w:pos="640"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Administration</w:t>
      </w:r>
    </w:p>
    <w:p>
      <w:pPr>
        <w:spacing w:after="0" w:line="16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color w:val="auto"/>
        </w:rPr>
        <w:t>This Policy shall be administered, interpreted and construed by the Committee, which is authorized to make all determinations necessary, appropriate or advisable for such purpose.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w:t>
      </w:r>
    </w:p>
    <w:p>
      <w:pPr>
        <w:spacing w:after="0" w:line="105" w:lineRule="exact"/>
        <w:rPr>
          <w:sz w:val="20"/>
          <w:szCs w:val="20"/>
          <w:color w:val="auto"/>
        </w:rPr>
      </w:pPr>
    </w:p>
    <w:p>
      <w:pPr>
        <w:ind w:left="640" w:hanging="634"/>
        <w:spacing w:after="0"/>
        <w:tabs>
          <w:tab w:leader="none" w:pos="640"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p>
    <w:p>
      <w:pPr>
        <w:spacing w:after="0" w:line="168" w:lineRule="exact"/>
        <w:rPr>
          <w:sz w:val="20"/>
          <w:szCs w:val="20"/>
          <w:color w:val="auto"/>
        </w:rPr>
      </w:pPr>
    </w:p>
    <w:p>
      <w:pPr>
        <w:jc w:val="both"/>
        <w:ind w:firstLine="636"/>
        <w:spacing w:after="0" w:line="289" w:lineRule="auto"/>
        <w:rPr>
          <w:sz w:val="20"/>
          <w:szCs w:val="20"/>
          <w:color w:val="auto"/>
        </w:rPr>
      </w:pPr>
      <w:r>
        <w:rPr>
          <w:rFonts w:ascii="Arial" w:cs="Arial" w:eastAsia="Arial" w:hAnsi="Arial"/>
          <w:sz w:val="19"/>
          <w:szCs w:val="19"/>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83" w:lineRule="exact"/>
        <w:rPr>
          <w:sz w:val="20"/>
          <w:szCs w:val="20"/>
          <w:color w:val="auto"/>
        </w:rPr>
      </w:pPr>
    </w:p>
    <w:p>
      <w:pPr>
        <w:ind w:left="640" w:hanging="634"/>
        <w:spacing w:after="0"/>
        <w:tabs>
          <w:tab w:leader="none" w:pos="64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No Indemnification; No Liability</w:t>
      </w:r>
    </w:p>
    <w:p>
      <w:pPr>
        <w:spacing w:after="0" w:line="168"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9"/>
          <w:szCs w:val="19"/>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98" w:lineRule="exact"/>
        <w:rPr>
          <w:sz w:val="20"/>
          <w:szCs w:val="20"/>
          <w:color w:val="auto"/>
        </w:rPr>
      </w:pPr>
    </w:p>
    <w:p>
      <w:pPr>
        <w:ind w:left="640" w:hanging="634"/>
        <w:spacing w:after="0"/>
        <w:tabs>
          <w:tab w:leader="none" w:pos="640"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Application; Enforceability</w:t>
      </w:r>
    </w:p>
    <w:p>
      <w:pPr>
        <w:spacing w:after="0" w:line="16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9"/>
          <w:szCs w:val="19"/>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Arial" w:cs="Arial" w:eastAsia="Arial" w:hAnsi="Arial"/>
          <w:sz w:val="19"/>
          <w:szCs w:val="19"/>
          <w:u w:val="single" w:color="auto"/>
          <w:color w:val="auto"/>
        </w:rPr>
        <w:t>Other Recovery Arrangements</w:t>
      </w:r>
      <w:r>
        <w:rPr>
          <w:rFonts w:ascii="Arial" w:cs="Arial" w:eastAsia="Arial" w:hAnsi="Arial"/>
          <w:sz w:val="19"/>
          <w:szCs w:val="19"/>
          <w:color w:val="auto"/>
        </w:rPr>
        <w: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08" w:lineRule="exact"/>
        <w:rPr>
          <w:sz w:val="20"/>
          <w:szCs w:val="20"/>
          <w:color w:val="auto"/>
        </w:rPr>
      </w:pPr>
    </w:p>
    <w:p>
      <w:pPr>
        <w:ind w:left="640" w:hanging="634"/>
        <w:spacing w:after="0"/>
        <w:tabs>
          <w:tab w:leader="none" w:pos="640" w:val="left"/>
        </w:tabs>
        <w:numPr>
          <w:ilvl w:val="0"/>
          <w:numId w:val="140"/>
        </w:numPr>
        <w:rPr>
          <w:rFonts w:ascii="Arial" w:cs="Arial" w:eastAsia="Arial" w:hAnsi="Arial"/>
          <w:sz w:val="19"/>
          <w:szCs w:val="19"/>
          <w:b w:val="1"/>
          <w:bCs w:val="1"/>
          <w:color w:val="auto"/>
        </w:rPr>
      </w:pPr>
      <w:r>
        <w:rPr>
          <w:rFonts w:ascii="Arial" w:cs="Arial" w:eastAsia="Arial" w:hAnsi="Arial"/>
          <w:sz w:val="19"/>
          <w:szCs w:val="19"/>
          <w:b w:val="1"/>
          <w:bCs w:val="1"/>
          <w:color w:val="auto"/>
        </w:rPr>
        <w:t>Severability</w:t>
      </w:r>
    </w:p>
    <w:p>
      <w:pPr>
        <w:spacing w:after="0" w:line="168"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91" w:lineRule="exact"/>
        <w:rPr>
          <w:sz w:val="20"/>
          <w:szCs w:val="20"/>
          <w:color w:val="auto"/>
        </w:rPr>
      </w:pPr>
    </w:p>
    <w:p>
      <w:pPr>
        <w:ind w:left="640" w:hanging="634"/>
        <w:spacing w:after="0"/>
        <w:tabs>
          <w:tab w:leader="none" w:pos="640"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and Termination</w:t>
      </w:r>
    </w:p>
    <w:p>
      <w:pPr>
        <w:spacing w:after="0" w:line="168"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9"/>
          <w:szCs w:val="19"/>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89" w:lineRule="exact"/>
        <w:rPr>
          <w:sz w:val="20"/>
          <w:szCs w:val="20"/>
          <w:color w:val="auto"/>
        </w:rPr>
      </w:pPr>
    </w:p>
    <w:p>
      <w:pPr>
        <w:ind w:left="620" w:hanging="614"/>
        <w:spacing w:after="0"/>
        <w:tabs>
          <w:tab w:leader="none" w:pos="620"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168"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Rules</w:t>
      </w:r>
      <w:r>
        <w:rPr>
          <w:rFonts w:ascii="Arial" w:cs="Arial" w:eastAsia="Arial" w:hAnsi="Arial"/>
          <w:sz w:val="19"/>
          <w:szCs w:val="19"/>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3" w:lineRule="exact"/>
        <w:rPr>
          <w:sz w:val="20"/>
          <w:szCs w:val="20"/>
          <w:color w:val="auto"/>
        </w:rPr>
      </w:pPr>
    </w:p>
    <w:p>
      <w:pPr>
        <w:jc w:val="both"/>
        <w:ind w:firstLine="63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85"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Erroneously Awarded Compensation</w:t>
      </w:r>
      <w:r>
        <w:rPr>
          <w:rFonts w:ascii="Arial" w:cs="Arial" w:eastAsia="Arial" w:hAnsi="Arial"/>
          <w:sz w:val="19"/>
          <w:szCs w:val="19"/>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33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w:t>
      </w:r>
    </w:p>
    <w:p>
      <w:pPr>
        <w:spacing w:after="0" w:line="166"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Reporting Measure</w:t>
      </w:r>
      <w:r>
        <w:rPr>
          <w:rFonts w:ascii="Arial" w:cs="Arial" w:eastAsia="Arial" w:hAnsi="Arial"/>
          <w:sz w:val="19"/>
          <w:szCs w:val="19"/>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accounting principles.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means international financial reporting standards as adopted by the International Accounting Standards Board.</w:t>
      </w:r>
    </w:p>
    <w:p>
      <w:pPr>
        <w:spacing w:after="0" w:line="166"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Impracticable</w:t>
      </w:r>
      <w:r>
        <w:rPr>
          <w:rFonts w:ascii="Arial" w:cs="Arial" w:eastAsia="Arial" w:hAnsi="Arial"/>
          <w:sz w:val="19"/>
          <w:szCs w:val="19"/>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00"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Incentive-Based Compensation</w:t>
      </w:r>
      <w:r>
        <w:rPr>
          <w:rFonts w:ascii="Arial" w:cs="Arial" w:eastAsia="Arial" w:hAnsi="Arial"/>
          <w:sz w:val="19"/>
          <w:szCs w:val="19"/>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00" w:lineRule="exact"/>
        <w:rPr>
          <w:sz w:val="20"/>
          <w:szCs w:val="20"/>
          <w:color w:val="auto"/>
        </w:rPr>
      </w:pPr>
    </w:p>
    <w:p>
      <w:pPr>
        <w:jc w:val="both"/>
        <w:ind w:firstLine="636"/>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w:t>
      </w:r>
      <w:r>
        <w:rPr>
          <w:rFonts w:ascii="Arial" w:cs="Arial" w:eastAsia="Arial" w:hAnsi="Arial"/>
          <w:sz w:val="19"/>
          <w:szCs w:val="19"/>
          <w:color w:val="auto"/>
        </w:rPr>
        <w:t>” means each person who serves as an executive officer of the Company, as defined in Rule 10D 1(d) under the Exchange Act.</w:t>
      </w:r>
    </w:p>
    <w:p>
      <w:pPr>
        <w:spacing w:after="0" w:line="59"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Restatement</w:t>
      </w:r>
      <w:r>
        <w:rPr>
          <w:rFonts w:ascii="Arial" w:cs="Arial" w:eastAsia="Arial" w:hAnsi="Arial"/>
          <w:sz w:val="19"/>
          <w:szCs w:val="19"/>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firstLine="6"/>
        <w:spacing w:after="0" w:line="298" w:lineRule="auto"/>
        <w:tabs>
          <w:tab w:leader="none" w:pos="29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that is material to the previously issued financial statements or (b) that would result in a material misstatement if the error were corrected in the current period or left uncorrected in the current period.</w:t>
      </w:r>
    </w:p>
    <w:p>
      <w:pPr>
        <w:spacing w:after="0" w:line="7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Three-Year Period</w:t>
      </w:r>
      <w:r>
        <w:rPr>
          <w:rFonts w:ascii="Arial" w:cs="Arial" w:eastAsia="Arial" w:hAnsi="Arial"/>
          <w:sz w:val="19"/>
          <w:szCs w:val="19"/>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ACKNOWLEDGMENT AND CONSENT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POLICY FOR RECOVERY OF ERRONEOUSLY AWARDED COMPENSATION</w:t>
      </w:r>
    </w:p>
    <w:p>
      <w:pPr>
        <w:spacing w:after="0" w:line="148"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9"/>
          <w:szCs w:val="19"/>
          <w:color w:val="auto"/>
        </w:rPr>
        <w:t>The undersigned has received a copy of the Policy for Recovery of Erroneously Awarded Compensation (the “Policy”) adopted by Beyond Meat, Inc. (the “Company”).</w:t>
      </w:r>
    </w:p>
    <w:p>
      <w:pPr>
        <w:spacing w:after="0" w:line="73"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9"/>
          <w:szCs w:val="19"/>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7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-6350</wp:posOffset>
            </wp:positionV>
            <wp:extent cx="5480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-6350</wp:posOffset>
            </wp:positionV>
            <wp:extent cx="822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46"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-6350</wp:posOffset>
            </wp:positionV>
            <wp:extent cx="9588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146"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-6350</wp:posOffset>
            </wp:positionV>
            <wp:extent cx="9594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1)"/>
      <w:numFmt w:val="decimal"/>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1)"/>
      <w:numFmt w:val="decimal"/>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lowerRoman"/>
      <w:start w:val="2"/>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upperLetter"/>
      <w:start w:val="1"/>
    </w:lvl>
  </w:abstractNum>
  <w:abstractNum w:abstractNumId="60">
    <w:nsid w:val="7DE67713"/>
    <w:multiLevelType w:val="hybridMultilevel"/>
    <w:lvl w:ilvl="0">
      <w:lvlJc w:val="left"/>
      <w:lvlText w:val="%1."/>
      <w:numFmt w:val="decimal"/>
      <w:start w:val="1"/>
    </w:lvl>
  </w:abstractNum>
  <w:abstractNum w:abstractNumId="61">
    <w:nsid w:val="555C55B5"/>
    <w:multiLevelType w:val="hybridMultilevel"/>
    <w:lvl w:ilvl="0">
      <w:lvlJc w:val="left"/>
      <w:lvlText w:val="%1."/>
      <w:numFmt w:val="decimal"/>
      <w:start w:val="2"/>
    </w:lvl>
    <w:lvl w:ilvl="1">
      <w:lvlJc w:val="left"/>
      <w:lvlText w:val="(%2)"/>
      <w:numFmt w:val="lowerLetter"/>
      <w:start w:val="1"/>
    </w:lvl>
  </w:abstractNum>
  <w:abstractNum w:abstractNumId="62">
    <w:nsid w:val="3FA62ACA"/>
    <w:multiLevelType w:val="hybridMultilevel"/>
    <w:lvl w:ilvl="0">
      <w:lvlJc w:val="left"/>
      <w:lvlText w:val="%1."/>
      <w:numFmt w:val="decimal"/>
      <w:start w:val="4"/>
    </w:lvl>
    <w:lvl w:ilvl="1">
      <w:lvlJc w:val="left"/>
      <w:lvlText w:val="(%2)"/>
      <w:numFmt w:val="lowerLetter"/>
      <w:start w:val="1"/>
    </w:lvl>
  </w:abstractNum>
  <w:abstractNum w:abstractNumId="63">
    <w:nsid w:val="14FCE74E"/>
    <w:multiLevelType w:val="hybridMultilevel"/>
    <w:lvl w:ilvl="0">
      <w:lvlJc w:val="left"/>
      <w:lvlText w:val="%1"/>
      <w:numFmt w:val="decimal"/>
      <w:start w:val="1"/>
    </w:lvl>
    <w:lvl w:ilvl="1">
      <w:lvlJc w:val="left"/>
      <w:lvlText w:val="(%2)"/>
      <w:numFmt w:val="lowerLetter"/>
      <w:start w:val="4"/>
    </w:lvl>
  </w:abstractNum>
  <w:abstractNum w:abstractNumId="64">
    <w:nsid w:val="6A3DD3E8"/>
    <w:multiLevelType w:val="hybridMultilevel"/>
    <w:lvl w:ilvl="0">
      <w:lvlJc w:val="left"/>
      <w:lvlText w:val="%1."/>
      <w:numFmt w:val="decimal"/>
      <w:start w:val="5"/>
    </w:lvl>
    <w:lvl w:ilvl="1">
      <w:lvlJc w:val="left"/>
      <w:lvlText w:val="%2"/>
      <w:numFmt w:val="lowerLetter"/>
      <w:start w:val="1"/>
    </w:lvl>
  </w:abstractNum>
  <w:abstractNum w:abstractNumId="65">
    <w:nsid w:val="71C912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6">
    <w:nsid w:val="9DAF632"/>
    <w:multiLevelType w:val="hybridMultilevel"/>
    <w:lvl w:ilvl="0">
      <w:lvlJc w:val="left"/>
      <w:lvlText w:val="(%1)"/>
      <w:numFmt w:val="lowerRoman"/>
      <w:start w:val="3"/>
    </w:lvl>
  </w:abstractNum>
  <w:abstractNum w:abstractNumId="67">
    <w:nsid w:val="53299938"/>
    <w:multiLevelType w:val="hybridMultilevel"/>
    <w:lvl w:ilvl="0">
      <w:lvlJc w:val="left"/>
      <w:lvlText w:val="%1"/>
      <w:numFmt w:val="decimal"/>
      <w:start w:val="1"/>
    </w:lvl>
    <w:lvl w:ilvl="1">
      <w:lvlJc w:val="left"/>
      <w:lvlText w:val="(%2)"/>
      <w:numFmt w:val="lowerLetter"/>
      <w:start w:val="3"/>
    </w:lvl>
  </w:abstractNum>
  <w:abstractNum w:abstractNumId="68">
    <w:nsid w:val="1FBFE8E0"/>
    <w:multiLevelType w:val="hybridMultilevel"/>
    <w:lvl w:ilvl="0">
      <w:lvlJc w:val="left"/>
      <w:lvlText w:val="%1."/>
      <w:numFmt w:val="decimal"/>
      <w:start w:val="9"/>
    </w:lvl>
    <w:lvl w:ilvl="1">
      <w:lvlJc w:val="left"/>
      <w:lvlText w:val="%2"/>
      <w:numFmt w:val="lowerLetter"/>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5"/>
    </w:lvl>
  </w:abstractNum>
  <w:abstractNum w:abstractNumId="71">
    <w:nsid w:val="59ADEA3D"/>
    <w:multiLevelType w:val="hybridMultilevel"/>
    <w:lvl w:ilvl="0">
      <w:lvlJc w:val="left"/>
      <w:lvlText w:val="%1."/>
      <w:numFmt w:val="decimal"/>
      <w:start w:val="1"/>
    </w:lvl>
    <w:lvl w:ilvl="1">
      <w:lvlJc w:val="left"/>
      <w:lvlText w:val="%2)"/>
      <w:numFmt w:val="lowerLetter"/>
      <w:start w:val="1"/>
    </w:lvl>
  </w:abstractNum>
  <w:abstractNum w:abstractNumId="72">
    <w:nsid w:val="288F1A34"/>
    <w:multiLevelType w:val="hybridMultilevel"/>
    <w:lvl w:ilvl="0">
      <w:lvlJc w:val="left"/>
      <w:lvlText w:val="%1."/>
      <w:numFmt w:val="decimal"/>
      <w:start w:val="1"/>
    </w:lvl>
    <w:lvl w:ilvl="1">
      <w:lvlJc w:val="left"/>
      <w:lvlText w:val="(%2)"/>
      <w:numFmt w:val="lowerLetter"/>
      <w:start w:val="1"/>
    </w:lvl>
  </w:abstractNum>
  <w:abstractNum w:abstractNumId="73">
    <w:nsid w:val="2A155DBC"/>
    <w:multiLevelType w:val="hybridMultilevel"/>
    <w:lvl w:ilvl="0">
      <w:lvlJc w:val="left"/>
      <w:lvlText w:val="(%1)"/>
      <w:numFmt w:val="lowerLetter"/>
      <w:start w:val="4"/>
    </w:lvl>
  </w:abstractNum>
  <w:abstractNum w:abstractNumId="74">
    <w:nsid w:val="1D9F6E5F"/>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75">
    <w:nsid w:val="97E1B4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6">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7">
    <w:nsid w:val="1CA0C5F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8">
    <w:nsid w:val="53584BC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9">
    <w:nsid w:val="415E286C"/>
    <w:multiLevelType w:val="hybridMultilevel"/>
    <w:lvl w:ilvl="0">
      <w:lvlJc w:val="left"/>
      <w:lvlText w:val="%1."/>
      <w:numFmt w:val="decimal"/>
      <w:start w:val="7"/>
    </w:lvl>
    <w:lvl w:ilvl="1">
      <w:lvlJc w:val="left"/>
      <w:lvlText w:val="(%2)"/>
      <w:numFmt w:val="lowerLetter"/>
      <w:start w:val="1"/>
    </w:lvl>
  </w:abstractNum>
  <w:abstractNum w:abstractNumId="80">
    <w:nsid w:val="7C58FD05"/>
    <w:multiLevelType w:val="hybridMultilevel"/>
    <w:lvl w:ilvl="0">
      <w:lvlJc w:val="left"/>
      <w:lvlText w:val="(%1)"/>
      <w:numFmt w:val="lowerLetter"/>
      <w:start w:val="4"/>
    </w:lvl>
  </w:abstractNum>
  <w:abstractNum w:abstractNumId="81">
    <w:nsid w:val="23D86AAC"/>
    <w:multiLevelType w:val="hybridMultilevel"/>
    <w:lvl w:ilvl="0">
      <w:lvlJc w:val="left"/>
      <w:lvlText w:val="%1."/>
      <w:numFmt w:val="decimal"/>
      <w:start w:val="1"/>
    </w:lvl>
  </w:abstractNum>
  <w:abstractNum w:abstractNumId="82">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3">
    <w:nsid w:val="5C10FE21"/>
    <w:multiLevelType w:val="hybridMultilevel"/>
    <w:lvl w:ilvl="0">
      <w:lvlJc w:val="left"/>
      <w:lvlText w:val="%1"/>
      <w:numFmt w:val="lowerLetter"/>
      <w:start w:val="1"/>
    </w:lvl>
    <w:lvl w:ilvl="1">
      <w:lvlJc w:val="left"/>
      <w:lvlText w:val="(%2)"/>
      <w:numFmt w:val="lowerRoman"/>
      <w:start w:val="2"/>
    </w:lvl>
  </w:abstractNum>
  <w:abstractNum w:abstractNumId="84">
    <w:nsid w:val="E7FFA2B"/>
    <w:multiLevelType w:val="hybridMultilevel"/>
    <w:lvl w:ilvl="0">
      <w:lvlJc w:val="left"/>
      <w:lvlText w:val="(%1)"/>
      <w:numFmt w:val="lowerLetter"/>
      <w:start w:val="2"/>
    </w:lvl>
    <w:lvl w:ilvl="1">
      <w:lvlJc w:val="left"/>
      <w:lvlText w:val="%2"/>
      <w:numFmt w:val="lowerRoman"/>
      <w:start w:val="1"/>
    </w:lvl>
  </w:abstractNum>
  <w:abstractNum w:abstractNumId="85">
    <w:nsid w:val="3C5991AA"/>
    <w:multiLevelType w:val="hybridMultilevel"/>
    <w:lvl w:ilvl="0">
      <w:lvlJc w:val="left"/>
      <w:lvlText w:val="(%1)"/>
      <w:numFmt w:val="lowerLetter"/>
      <w:start w:val="4"/>
    </w:lvl>
  </w:abstractNum>
  <w:abstractNum w:abstractNumId="86">
    <w:nsid w:val="4BD8591A"/>
    <w:multiLevelType w:val="hybridMultilevel"/>
    <w:lvl w:ilvl="0">
      <w:lvlJc w:val="left"/>
      <w:lvlText w:val="%1."/>
      <w:numFmt w:val="decimal"/>
      <w:start w:val="4"/>
    </w:lvl>
    <w:lvl w:ilvl="1">
      <w:lvlJc w:val="left"/>
      <w:lvlText w:val="(%2)"/>
      <w:numFmt w:val="lowerLetter"/>
      <w:start w:val="1"/>
    </w:lvl>
  </w:abstractNum>
  <w:abstractNum w:abstractNumId="87">
    <w:nsid w:val="78DF6A55"/>
    <w:multiLevelType w:val="hybridMultilevel"/>
    <w:lvl w:ilvl="0">
      <w:lvlJc w:val="left"/>
      <w:lvlText w:val="(%1)"/>
      <w:numFmt w:val="lowerLetter"/>
      <w:start w:val="3"/>
    </w:lvl>
  </w:abstractNum>
  <w:abstractNum w:abstractNumId="88">
    <w:nsid w:val="39B7AAA2"/>
    <w:multiLevelType w:val="hybridMultilevel"/>
    <w:lvl w:ilvl="0">
      <w:lvlJc w:val="left"/>
      <w:lvlText w:val="%1."/>
      <w:numFmt w:val="decimal"/>
      <w:start w:val="5"/>
    </w:lvl>
    <w:lvl w:ilvl="1">
      <w:lvlJc w:val="left"/>
      <w:lvlText w:val="(%2)"/>
      <w:numFmt w:val="lowerLetter"/>
      <w:start w:val="1"/>
    </w:lvl>
  </w:abstractNum>
  <w:abstractNum w:abstractNumId="89">
    <w:nsid w:val="2B0D8DBE"/>
    <w:multiLevelType w:val="hybridMultilevel"/>
    <w:lvl w:ilvl="0">
      <w:lvlJc w:val="left"/>
      <w:lvlText w:val="(%1)"/>
      <w:numFmt w:val="lowerRoman"/>
      <w:start w:val="6"/>
    </w:lvl>
  </w:abstractNum>
  <w:abstractNum w:abstractNumId="90">
    <w:nsid w:val="6C80EC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1">
    <w:nsid w:val="379E21B5"/>
    <w:multiLevelType w:val="hybridMultilevel"/>
    <w:lvl w:ilvl="0">
      <w:lvlJc w:val="left"/>
      <w:lvlText w:val="(%1)"/>
      <w:numFmt w:val="lowerRoman"/>
      <w:start w:val="3"/>
    </w:lvl>
  </w:abstractNum>
  <w:abstractNum w:abstractNumId="92">
    <w:nsid w:val="69E373"/>
    <w:multiLevelType w:val="hybridMultilevel"/>
    <w:lvl w:ilvl="0">
      <w:lvlJc w:val="left"/>
      <w:lvlText w:val="(%1)"/>
      <w:numFmt w:val="lowerLetter"/>
      <w:start w:val="4"/>
    </w:lvl>
  </w:abstractNum>
  <w:abstractNum w:abstractNumId="93">
    <w:nsid w:val="2C27173B"/>
    <w:multiLevelType w:val="hybridMultilevel"/>
    <w:lvl w:ilvl="0">
      <w:lvlJc w:val="left"/>
      <w:lvlText w:val="(%1)"/>
      <w:numFmt w:val="lowerLetter"/>
      <w:start w:val="6"/>
    </w:lvl>
  </w:abstractNum>
  <w:abstractNum w:abstractNumId="94">
    <w:nsid w:val="4C9B0904"/>
    <w:multiLevelType w:val="hybridMultilevel"/>
    <w:lvl w:ilvl="0">
      <w:lvlJc w:val="left"/>
      <w:lvlText w:val="(%1)"/>
      <w:numFmt w:val="lowerLetter"/>
      <w:start w:val="7"/>
    </w:lvl>
    <w:lvl w:ilvl="1">
      <w:lvlJc w:val="left"/>
      <w:lvlText w:val="(%2)"/>
      <w:numFmt w:val="lowerRoman"/>
      <w:start w:val="1"/>
    </w:lvl>
  </w:abstractNum>
  <w:abstractNum w:abstractNumId="95">
    <w:nsid w:val="6AA7B75C"/>
    <w:multiLevelType w:val="hybridMultilevel"/>
    <w:lvl w:ilvl="0">
      <w:lvlJc w:val="left"/>
      <w:lvlText w:val="%1."/>
      <w:numFmt w:val="decimal"/>
      <w:start w:val="7"/>
    </w:lvl>
    <w:lvl w:ilvl="1">
      <w:lvlJc w:val="left"/>
      <w:lvlText w:val="(%2)"/>
      <w:numFmt w:val="lowerLetter"/>
      <w:start w:val="1"/>
    </w:lvl>
  </w:abstractNum>
  <w:abstractNum w:abstractNumId="96">
    <w:nsid w:val="1DF029D3"/>
    <w:multiLevelType w:val="hybridMultilevel"/>
    <w:lvl w:ilvl="0">
      <w:lvlJc w:val="left"/>
      <w:lvlText w:val="%1."/>
      <w:numFmt w:val="decimal"/>
      <w:start w:val="8"/>
    </w:lvl>
    <w:lvl w:ilvl="1">
      <w:lvlJc w:val="left"/>
      <w:lvlText w:val="(%2)"/>
      <w:numFmt w:val="lowerLetter"/>
      <w:start w:val="1"/>
    </w:lvl>
  </w:abstractNum>
  <w:abstractNum w:abstractNumId="97">
    <w:nsid w:val="5675FF36"/>
    <w:multiLevelType w:val="hybridMultilevel"/>
    <w:lvl w:ilvl="0">
      <w:lvlJc w:val="left"/>
      <w:lvlText w:val="(%1)"/>
      <w:numFmt w:val="lowerLetter"/>
      <w:start w:val="4"/>
    </w:lvl>
  </w:abstractNum>
  <w:abstractNum w:abstractNumId="98">
    <w:nsid w:val="3DD15094"/>
    <w:multiLevelType w:val="hybridMultilevel"/>
    <w:lvl w:ilvl="0">
      <w:lvlJc w:val="left"/>
      <w:lvlText w:val="(%1)"/>
      <w:numFmt w:val="lowerLetter"/>
      <w:start w:val="6"/>
    </w:lvl>
  </w:abstractNum>
  <w:abstractNum w:abstractNumId="99">
    <w:nsid w:val="3DB012B3"/>
    <w:multiLevelType w:val="hybridMultilevel"/>
    <w:lvl w:ilvl="0">
      <w:lvlJc w:val="left"/>
      <w:lvlText w:val="%1"/>
      <w:numFmt w:val="lowerLetter"/>
      <w:start w:val="1"/>
    </w:lvl>
    <w:lvl w:ilvl="1">
      <w:lvlJc w:val="left"/>
      <w:lvlText w:val="%2."/>
      <w:numFmt w:val="decimal"/>
      <w:start w:val="1"/>
    </w:lvl>
  </w:abstractNum>
  <w:abstractNum w:abstractNumId="100">
    <w:nsid w:val="2708C9AF"/>
    <w:multiLevelType w:val="hybridMultilevel"/>
    <w:lvl w:ilvl="0">
      <w:lvlJc w:val="left"/>
      <w:lvlText w:val="%1)"/>
      <w:numFmt w:val="lowerLetter"/>
      <w:start w:val="1"/>
    </w:lvl>
    <w:lvl w:ilvl="1">
      <w:lvlJc w:val="left"/>
      <w:lvlText w:val="%2"/>
      <w:numFmt w:val="decimal"/>
      <w:start w:val="1"/>
    </w:lvl>
  </w:abstractNum>
  <w:abstractNum w:abstractNumId="101">
    <w:nsid w:val="5B25ACE2"/>
    <w:multiLevelType w:val="hybridMultilevel"/>
    <w:lvl w:ilvl="0">
      <w:lvlJc w:val="left"/>
      <w:lvlText w:val="%1)"/>
      <w:numFmt w:val="lowerLetter"/>
      <w:start w:val="3"/>
    </w:lvl>
    <w:lvl w:ilvl="1">
      <w:lvlJc w:val="left"/>
      <w:lvlText w:val="%2."/>
      <w:numFmt w:val="decimal"/>
      <w:start w:val="4"/>
    </w:lvl>
  </w:abstractNum>
  <w:abstractNum w:abstractNumId="102">
    <w:nsid w:val="175DFCF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2"/>
    </w:lvl>
    <w:lvl w:ilvl="3">
      <w:lvlJc w:val="left"/>
      <w:lvlText w:val="%4."/>
      <w:numFmt w:val="lowerRoman"/>
      <w:start w:val="1"/>
    </w:lvl>
  </w:abstractNum>
  <w:abstractNum w:abstractNumId="103">
    <w:nsid w:val="4F97E3E4"/>
    <w:multiLevelType w:val="hybridMultilevel"/>
    <w:lvl w:ilvl="0">
      <w:lvlJc w:val="left"/>
      <w:lvlText w:val="%1."/>
      <w:numFmt w:val="decimal"/>
      <w:start w:val="9"/>
    </w:lvl>
  </w:abstractNum>
  <w:abstractNum w:abstractNumId="104">
    <w:nsid w:val="53B0A9E"/>
    <w:multiLevelType w:val="hybridMultilevel"/>
    <w:lvl w:ilvl="0">
      <w:lvlJc w:val="left"/>
      <w:lvlText w:val="%1."/>
      <w:numFmt w:val="decimal"/>
      <w:start w:val="1"/>
    </w:lvl>
  </w:abstractNum>
  <w:abstractNum w:abstractNumId="105">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6">
    <w:nsid w:val="5915FF32"/>
    <w:multiLevelType w:val="hybridMultilevel"/>
    <w:lvl w:ilvl="0">
      <w:lvlJc w:val="left"/>
      <w:lvlText w:val="(%1)"/>
      <w:numFmt w:val="lowerRoman"/>
      <w:start w:val="2"/>
    </w:lvl>
  </w:abstractNum>
  <w:abstractNum w:abstractNumId="107">
    <w:nsid w:val="56438D15"/>
    <w:multiLevelType w:val="hybridMultilevel"/>
    <w:lvl w:ilvl="0">
      <w:lvlJc w:val="left"/>
      <w:lvlText w:val="(%1)"/>
      <w:numFmt w:val="lowerLetter"/>
      <w:start w:val="2"/>
    </w:lvl>
  </w:abstractNum>
  <w:abstractNum w:abstractNumId="108">
    <w:nsid w:val="519E3149"/>
    <w:multiLevelType w:val="hybridMultilevel"/>
    <w:lvl w:ilvl="0">
      <w:lvlJc w:val="left"/>
      <w:lvlText w:val="%1."/>
      <w:numFmt w:val="decimal"/>
      <w:start w:val="4"/>
    </w:lvl>
    <w:lvl w:ilvl="1">
      <w:lvlJc w:val="left"/>
      <w:lvlText w:val="(%2)"/>
      <w:numFmt w:val="lowerLetter"/>
      <w:start w:val="1"/>
    </w:lvl>
  </w:abstractNum>
  <w:abstractNum w:abstractNumId="109">
    <w:nsid w:val="2C6E4AFD"/>
    <w:multiLevelType w:val="hybridMultilevel"/>
    <w:lvl w:ilvl="0">
      <w:lvlJc w:val="left"/>
      <w:lvlText w:val="%1."/>
      <w:numFmt w:val="decimal"/>
      <w:start w:val="5"/>
    </w:lvl>
    <w:lvl w:ilvl="1">
      <w:lvlJc w:val="left"/>
      <w:lvlText w:val="(%2)"/>
      <w:numFmt w:val="lowerLetter"/>
      <w:start w:val="1"/>
    </w:lvl>
  </w:abstractNum>
  <w:abstractNum w:abstractNumId="110">
    <w:nsid w:val="17A1B582"/>
    <w:multiLevelType w:val="hybridMultilevel"/>
    <w:lvl w:ilvl="0">
      <w:lvlJc w:val="left"/>
      <w:lvlText w:val="(%1)"/>
      <w:numFmt w:val="lowerRoman"/>
      <w:start w:val="6"/>
    </w:lvl>
  </w:abstractNum>
  <w:abstractNum w:abstractNumId="111">
    <w:nsid w:val="4DF72E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2">
    <w:nsid w:val="5046B5A9"/>
    <w:multiLevelType w:val="hybridMultilevel"/>
    <w:lvl w:ilvl="0">
      <w:lvlJc w:val="left"/>
      <w:lvlText w:val="(%1)"/>
      <w:numFmt w:val="lowerRoman"/>
      <w:start w:val="4"/>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lowerLetter"/>
      <w:start w:val="4"/>
    </w:lvl>
  </w:abstractNum>
  <w:abstractNum w:abstractNumId="115">
    <w:nsid w:val="5EC6AFD4"/>
    <w:multiLevelType w:val="hybridMultilevel"/>
    <w:lvl w:ilvl="0">
      <w:lvlJc w:val="left"/>
      <w:lvlText w:val="(%1)"/>
      <w:numFmt w:val="lowerLetter"/>
      <w:start w:val="6"/>
    </w:lvl>
    <w:lvl w:ilvl="1">
      <w:lvlJc w:val="left"/>
      <w:lvlText w:val="(%2)"/>
      <w:numFmt w:val="lowerRoman"/>
      <w:start w:val="1"/>
    </w:lvl>
  </w:abstractNum>
  <w:abstractNum w:abstractNumId="116">
    <w:nsid w:val="19E21BB2"/>
    <w:multiLevelType w:val="hybridMultilevel"/>
    <w:lvl w:ilvl="0">
      <w:lvlJc w:val="left"/>
      <w:lvlText w:val="(%1)"/>
      <w:numFmt w:val="lowerRoman"/>
      <w:start w:val="3"/>
    </w:lvl>
  </w:abstractNum>
  <w:abstractNum w:abstractNumId="117">
    <w:nsid w:val="75E0858A"/>
    <w:multiLevelType w:val="hybridMultilevel"/>
    <w:lvl w:ilvl="0">
      <w:lvlJc w:val="left"/>
      <w:lvlText w:val="%1."/>
      <w:numFmt w:val="decimal"/>
      <w:start w:val="7"/>
    </w:lvl>
    <w:lvl w:ilvl="1">
      <w:lvlJc w:val="left"/>
      <w:lvlText w:val="(%2)"/>
      <w:numFmt w:val="lowerLetter"/>
      <w:start w:val="1"/>
    </w:lvl>
  </w:abstractNum>
  <w:abstractNum w:abstractNumId="118">
    <w:nsid w:val="57A61A29"/>
    <w:multiLevelType w:val="hybridMultilevel"/>
    <w:lvl w:ilvl="0">
      <w:lvlJc w:val="left"/>
      <w:lvlText w:val="%1."/>
      <w:numFmt w:val="decimal"/>
      <w:start w:val="9"/>
    </w:lvl>
    <w:lvl w:ilvl="1">
      <w:lvlJc w:val="left"/>
      <w:lvlText w:val="(%2)"/>
      <w:numFmt w:val="lowerLetter"/>
      <w:start w:val="1"/>
    </w:lvl>
  </w:abstractNum>
  <w:abstractNum w:abstractNumId="119">
    <w:nsid w:val="5399C654"/>
    <w:multiLevelType w:val="hybridMultilevel"/>
    <w:lvl w:ilvl="0">
      <w:lvlJc w:val="left"/>
      <w:lvlText w:val="(%1)"/>
      <w:numFmt w:val="lowerLetter"/>
      <w:start w:val="4"/>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1"/>
    </w:lvl>
    <w:lvl w:ilvl="1">
      <w:lvlJc w:val="left"/>
      <w:lvlText w:val="(%2)"/>
      <w:numFmt w:val="lowerLetter"/>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1."/>
      <w:numFmt w:val="decimal"/>
      <w:start w:val="1"/>
    </w:lvl>
    <w:lvl w:ilvl="1">
      <w:lvlJc w:val="left"/>
      <w:lvlText w:val="%2."/>
      <w:numFmt w:val="lowerLetter"/>
      <w:start w:val="1"/>
    </w:lvl>
  </w:abstractNum>
  <w:abstractNum w:abstractNumId="126">
    <w:nsid w:val="BFFAE18"/>
    <w:multiLevelType w:val="hybridMultilevel"/>
    <w:lvl w:ilvl="0">
      <w:lvlJc w:val="left"/>
      <w:lvlText w:val="%1."/>
      <w:numFmt w:val="lowerLetter"/>
      <w:start w:val="2"/>
    </w:lvl>
  </w:abstractNum>
  <w:abstractNum w:abstractNumId="127">
    <w:nsid w:val="E3E47A8"/>
    <w:multiLevelType w:val="hybridMultilevel"/>
    <w:lvl w:ilvl="0">
      <w:lvlJc w:val="left"/>
      <w:lvlText w:val="%1."/>
      <w:numFmt w:val="decimal"/>
      <w:start w:val="1"/>
    </w:lvl>
    <w:lvl w:ilvl="1">
      <w:lvlJc w:val="left"/>
      <w:lvlText w:val="%2."/>
      <w:numFmt w:val="lowerLetter"/>
      <w:start w:val="1"/>
    </w:lvl>
  </w:abstractNum>
  <w:abstractNum w:abstractNumId="128">
    <w:nsid w:val="2E48F044"/>
    <w:multiLevelType w:val="hybridMultilevel"/>
    <w:lvl w:ilvl="0">
      <w:lvlJc w:val="left"/>
      <w:lvlText w:val="%1."/>
      <w:numFmt w:val="lowerLetter"/>
      <w:start w:val="2"/>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2"/>
    </w:lvl>
  </w:abstractNum>
  <w:abstractNum w:abstractNumId="133">
    <w:nsid w:val="634C574C"/>
    <w:multiLevelType w:val="hybridMultilevel"/>
    <w:lvl w:ilvl="0">
      <w:lvlJc w:val="left"/>
      <w:lvlText w:val="%1."/>
      <w:numFmt w:val="decimal"/>
      <w:start w:val="3"/>
    </w:lvl>
  </w:abstractNum>
  <w:abstractNum w:abstractNumId="134">
    <w:nsid w:val="24E99DD7"/>
    <w:multiLevelType w:val="hybridMultilevel"/>
    <w:lvl w:ilvl="0">
      <w:lvlJc w:val="left"/>
      <w:lvlText w:val="%1."/>
      <w:numFmt w:val="decimal"/>
      <w:start w:val="4"/>
    </w:lvl>
  </w:abstractNum>
  <w:abstractNum w:abstractNumId="135">
    <w:nsid w:val="2A31B62D"/>
    <w:multiLevelType w:val="hybridMultilevel"/>
    <w:lvl w:ilvl="0">
      <w:lvlJc w:val="left"/>
      <w:lvlText w:val="%1."/>
      <w:numFmt w:val="decimal"/>
      <w:start w:val="5"/>
    </w:lvl>
  </w:abstractNum>
  <w:abstractNum w:abstractNumId="136">
    <w:nsid w:val="1849C29B"/>
    <w:multiLevelType w:val="hybridMultilevel"/>
    <w:lvl w:ilvl="0">
      <w:lvlJc w:val="left"/>
      <w:lvlText w:val="%1."/>
      <w:numFmt w:val="decimal"/>
      <w:start w:val="6"/>
    </w:lvl>
  </w:abstractNum>
  <w:abstractNum w:abstractNumId="137">
    <w:nsid w:val="7DFF9D09"/>
    <w:multiLevelType w:val="hybridMultilevel"/>
    <w:lvl w:ilvl="0">
      <w:lvlJc w:val="left"/>
      <w:lvlText w:val="%1."/>
      <w:numFmt w:val="decimal"/>
      <w:start w:val="7"/>
    </w:lvl>
  </w:abstractNum>
  <w:abstractNum w:abstractNumId="138">
    <w:nsid w:val="754342"/>
    <w:multiLevelType w:val="hybridMultilevel"/>
    <w:lvl w:ilvl="0">
      <w:lvlJc w:val="left"/>
      <w:lvlText w:val="%1."/>
      <w:numFmt w:val="decimal"/>
      <w:start w:val="8"/>
    </w:lvl>
  </w:abstractNum>
  <w:abstractNum w:abstractNumId="139">
    <w:nsid w:val="69E7F3E5"/>
    <w:multiLevelType w:val="hybridMultilevel"/>
    <w:lvl w:ilvl="0">
      <w:lvlJc w:val="left"/>
      <w:lvlText w:val="%1."/>
      <w:numFmt w:val="decimal"/>
      <w:start w:val="9"/>
    </w:lvl>
  </w:abstractNum>
  <w:abstractNum w:abstractNumId="140">
    <w:nsid w:val="2A6DE806"/>
    <w:multiLevelType w:val="hybridMultilevel"/>
    <w:lvl w:ilvl="0">
      <w:lvlJc w:val="left"/>
      <w:lvlText w:val="%1."/>
      <w:numFmt w:val="decimal"/>
      <w:start w:val="10"/>
    </w:lvl>
  </w:abstractNum>
  <w:abstractNum w:abstractNumId="141">
    <w:nsid w:val="1816F8C4"/>
    <w:multiLevelType w:val="hybridMultilevel"/>
    <w:lvl w:ilvl="0">
      <w:lvlJc w:val="left"/>
      <w:lvlText w:val="%1."/>
      <w:numFmt w:val="decimal"/>
      <w:start w:val="11"/>
    </w:lvl>
  </w:abstractNum>
  <w:abstractNum w:abstractNumId="142">
    <w:nsid w:val="37DF223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43"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jpeg"/><Relationship Id="rId255" Type="http://schemas.openxmlformats.org/officeDocument/2006/relationships/image" Target="media/image210.jpe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jpe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197" Type="http://schemas.openxmlformats.org/officeDocument/2006/relationships/hyperlink" Target="http://www.sec.gov/Archives/edgar/data/1655210/000165521019000053/byndarcert_incorpex-31.htm" TargetMode="External"/><Relationship Id="rId198" Type="http://schemas.openxmlformats.org/officeDocument/2006/relationships/hyperlink" Target="http://www.sec.gov/Archives/edgar/data/1655210/000165521024000013/ex31amendedandrestatedby.htm" TargetMode="External"/><Relationship Id="rId199" Type="http://schemas.openxmlformats.org/officeDocument/2006/relationships/hyperlink" Target="http://www.sec.gov/Archives/edgar/data/1655210/000162828019003500/exhibit41-sx1a3.htm" TargetMode="External"/><Relationship Id="rId200" Type="http://schemas.openxmlformats.org/officeDocument/2006/relationships/hyperlink" Target="http://www.sec.gov/Archives/edgar/data/1655210/000162828018014471/exhibit42bynd.htm" TargetMode="External"/><Relationship Id="rId201" Type="http://schemas.openxmlformats.org/officeDocument/2006/relationships/hyperlink" Target="http://www.sec.gov/Archives/edgar/data/1655210/000165521023000017/ex43descriptionofsecurities.htm" TargetMode="External"/><Relationship Id="rId202" Type="http://schemas.openxmlformats.org/officeDocument/2006/relationships/hyperlink" Target="http://www.sec.gov/Archives/edgar/data/1655210/000119312521071594/d116764dex41.htm" TargetMode="External"/><Relationship Id="rId203" Type="http://schemas.openxmlformats.org/officeDocument/2006/relationships/hyperlink" Target="http://www.sec.gov/Archives/edgar/data/1655210/000162828018014471/exhibit101bynd.htm" TargetMode="External"/><Relationship Id="rId204" Type="http://schemas.openxmlformats.org/officeDocument/2006/relationships/hyperlink" Target="http://www.sec.gov/Archives/edgar/data/1655210/000165521021000181/ex101amendmentno1tolease13.htm" TargetMode="External"/><Relationship Id="rId205" Type="http://schemas.openxmlformats.org/officeDocument/2006/relationships/hyperlink" Target="http://www.sec.gov/Archives/edgar/data/1655210/000165521022000084/ex102amendmenttofirstamend.htm" TargetMode="External"/><Relationship Id="rId207" Type="http://schemas.openxmlformats.org/officeDocument/2006/relationships/hyperlink" Target="http://www.sec.gov/Archives/edgar/data/1655210/000165521022000084/ex1033rdamendmenttoleaseda.htm" TargetMode="External"/><Relationship Id="rId208" Type="http://schemas.openxmlformats.org/officeDocument/2006/relationships/hyperlink" Target="http://www.sec.gov/Archives/edgar/data/1655210/000165521022000163/exhibit101fourthamendmentt.htm" TargetMode="External"/><Relationship Id="rId209" Type="http://schemas.openxmlformats.org/officeDocument/2006/relationships/hyperlink" Target="http://www.sec.gov/Archives/edgar/data/1655210/000165521022000163/exhibit102fifthamendmentto.htm" TargetMode="External"/><Relationship Id="rId210" Type="http://schemas.openxmlformats.org/officeDocument/2006/relationships/hyperlink" Target="http://www.sec.gov/Archives/edgar/data/1655210/000165521022000227/exhibit101sixthamendmentto.htm" TargetMode="External"/><Relationship Id="rId211" Type="http://schemas.openxmlformats.org/officeDocument/2006/relationships/hyperlink" Target="http://www.sec.gov/Archives/edgar/data/1655210/000162828018014471/exhibit102bynd.htm" TargetMode="External"/><Relationship Id="rId212" Type="http://schemas.openxmlformats.org/officeDocument/2006/relationships/hyperlink" Target="http://www.sec.gov/Archives/edgar/data/1655210/000162828020003841/byndex103leaseextensio.htm" TargetMode="External"/><Relationship Id="rId213" Type="http://schemas.openxmlformats.org/officeDocument/2006/relationships/hyperlink" Target="http://www.sec.gov/Archives/edgar/data/1655210/000162828020003841/byndex104-leaseextensi.htm" TargetMode="External"/><Relationship Id="rId214" Type="http://schemas.openxmlformats.org/officeDocument/2006/relationships/hyperlink" Target="http://www.sec.gov/Archives/edgar/data/1655210/000165521022000084/ex101fourthleaseamendment.htm" TargetMode="External"/><Relationship Id="rId215" Type="http://schemas.openxmlformats.org/officeDocument/2006/relationships/hyperlink" Target="http://www.sec.gov/Archives/edgar/data/1655210/000162828018014471/exhibit103bynd.htm" TargetMode="External"/><Relationship Id="rId216" Type="http://schemas.openxmlformats.org/officeDocument/2006/relationships/hyperlink" Target="http://www.sec.gov/Archives/edgar/data/1655210/000165521020000184/ex102-secondamendment240.htm" TargetMode="External"/><Relationship Id="rId225" Type="http://schemas.openxmlformats.org/officeDocument/2006/relationships/hyperlink" Target="http://www.sec.gov/Archives/edgar/data/1655210/000165521021000009/ex101elsegundocampuslease.htm" TargetMode="External"/><Relationship Id="rId226" Type="http://schemas.openxmlformats.org/officeDocument/2006/relationships/hyperlink" Target="http://www.sec.gov/Archives/edgar/data/1655210/000162828019004307/exhibit1010s-1a4.htm" TargetMode="External"/><Relationship Id="rId227" Type="http://schemas.openxmlformats.org/officeDocument/2006/relationships/hyperlink" Target="http://www.sec.gov/Archives/edgar/data/1655210/000165521020000009/ex101-redactedroquette.htm" TargetMode="External"/><Relationship Id="rId228" Type="http://schemas.openxmlformats.org/officeDocument/2006/relationships/hyperlink" Target="http://www.sec.gov/Archives/edgar/data/1655210/000165521022000163/exhibit103firstamendmentre.htm" TargetMode="External"/><Relationship Id="rId229" Type="http://schemas.openxmlformats.org/officeDocument/2006/relationships/hyperlink" Target="https://www.sec.gov/Archives/edgar/data/1655210/000165521023000197/ex101roquette-byndmsaamend.htm" TargetMode="External"/><Relationship Id="rId230" Type="http://schemas.openxmlformats.org/officeDocument/2006/relationships/hyperlink" Target="http://www.sec.gov/Archives/edgar/data/1655210/000162828019000200/exhibit1011bynd.htm" TargetMode="External"/><Relationship Id="rId231" Type="http://schemas.openxmlformats.org/officeDocument/2006/relationships/hyperlink" Target="http://www.sec.gov/Archives/edgar/data/1655210/000162828019004307/exhibit1012s-1a4.htm" TargetMode="External"/><Relationship Id="rId232" Type="http://schemas.openxmlformats.org/officeDocument/2006/relationships/hyperlink" Target="http://www.sec.gov/Archives/edgar/data/1655210/000162828019000200/exhibit1013bynd.htm" TargetMode="External"/><Relationship Id="rId233" Type="http://schemas.openxmlformats.org/officeDocument/2006/relationships/hyperlink" Target="http://www.sec.gov/Archives/edgar/data/1655210/000165521019000066/byndq2201910qex-101.htm" TargetMode="External"/><Relationship Id="rId234" Type="http://schemas.openxmlformats.org/officeDocument/2006/relationships/hyperlink" Target="http://www.sec.gov/Archives/edgar/data/1655210/000165521019000066/byndq2201910qex-102.htm" TargetMode="External"/><Relationship Id="rId235" Type="http://schemas.openxmlformats.org/officeDocument/2006/relationships/hyperlink" Target="http://www.sec.gov/Archives/edgar/data/1655210/000162828019000200/exhibit1014bynd.htm" TargetMode="External"/><Relationship Id="rId236" Type="http://schemas.openxmlformats.org/officeDocument/2006/relationships/hyperlink" Target="http://www.sec.gov/Archives/edgar/data/1655210/000162828018014471/exhibit1015bynd.htm" TargetMode="External"/><Relationship Id="rId237" Type="http://schemas.openxmlformats.org/officeDocument/2006/relationships/hyperlink" Target="http://www.sec.gov/Archives/edgar/data/1655210/000162828018014471/exhibit1016bynd.htm" TargetMode="External"/><Relationship Id="rId238" Type="http://schemas.openxmlformats.org/officeDocument/2006/relationships/hyperlink" Target="http://www.sec.gov/Archives/edgar/data/1655210/000162828019000200/exhibit1020bynd.htm" TargetMode="External"/><Relationship Id="rId239" Type="http://schemas.openxmlformats.org/officeDocument/2006/relationships/hyperlink" Target="http://www.sec.gov/Archives/edgar/data/1655210/000165521019000043/ex101offerletter_teriwitte.htm" TargetMode="External"/><Relationship Id="rId240" Type="http://schemas.openxmlformats.org/officeDocument/2006/relationships/hyperlink" Target="http://www.sec.gov/Archives/edgar/data/1655210/000119312521071594/d116764dex101.htm" TargetMode="External"/><Relationship Id="rId241" Type="http://schemas.openxmlformats.org/officeDocument/2006/relationships/hyperlink" Target="http://www.sec.gov/Archives/edgar/data/1655210/000119312521082930/d132455dex101.htm" TargetMode="External"/><Relationship Id="rId242" Type="http://schemas.openxmlformats.org/officeDocument/2006/relationships/hyperlink" Target="http://www.sec.gov/Archives/edgar/data/1655210/000165521022000232/ex101kutuarestatedpromotio.htm" TargetMode="External"/><Relationship Id="rId244" Type="http://schemas.openxmlformats.org/officeDocument/2006/relationships/hyperlink" Target="http://www.sec.gov/Archives/edgar/data/1655210/000165521023000017/ex-141codeofbusinesscondu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2024-03-01T08:03:55Z</dcterms:created>
  <dcterms:modified xsi:type="dcterms:W3CDTF">2024-03-01T08:03:55Z</dcterms:modified>
</cp:coreProperties>
</file>