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100965</wp:posOffset>
            </wp:positionV>
            <wp:extent cx="1868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125730</wp:posOffset>
            </wp:positionV>
            <wp:extent cx="18688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8"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9"/>
          <w:szCs w:val="19"/>
          <w:color w:val="auto"/>
        </w:rPr>
      </w:pPr>
      <w:r>
        <w:rPr>
          <w:rFonts w:ascii="Arial" w:cs="Arial" w:eastAsia="Arial" w:hAnsi="Arial"/>
          <w:sz w:val="17"/>
          <w:szCs w:val="17"/>
          <w:color w:val="auto"/>
        </w:rPr>
        <w:t>QUARTERLY REPORT PURSUANT TO SECTION 13 OR 15(d) OF THE SECURITIES EXCHANGE ACT OF 1934</w:t>
      </w:r>
    </w:p>
    <w:p>
      <w:pPr>
        <w:spacing w:after="0" w:line="11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26, 2020</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9"/>
          <w:szCs w:val="19"/>
          <w:color w:val="auto"/>
        </w:rPr>
      </w:pPr>
      <w:r>
        <w:rPr>
          <w:rFonts w:ascii="Arial" w:cs="Arial" w:eastAsia="Arial" w:hAnsi="Arial"/>
          <w:sz w:val="17"/>
          <w:szCs w:val="17"/>
          <w:color w:val="auto"/>
        </w:rPr>
        <w:t>TRANSITION REPORT PURSUANT TO SECTION 13 OR 15(d) OF THE SECURITIES EXCHANGE ACT OF 1934</w:t>
      </w:r>
    </w:p>
    <w:p>
      <w:pPr>
        <w:spacing w:after="0" w:line="138" w:lineRule="exact"/>
        <w:rPr>
          <w:sz w:val="24"/>
          <w:szCs w:val="24"/>
          <w:color w:val="auto"/>
        </w:rPr>
      </w:pPr>
    </w:p>
    <w:p>
      <w:pPr>
        <w:ind w:left="3840"/>
        <w:spacing w:after="0"/>
        <w:tabs>
          <w:tab w:leader="none" w:pos="72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Commission File Number: 001-38879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117475</wp:posOffset>
            </wp:positionV>
            <wp:extent cx="1868805" cy="925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880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BEYOND MEAT, INC.</w:t>
      </w:r>
    </w:p>
    <w:p>
      <w:pPr>
        <w:spacing w:after="0" w:line="2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117475</wp:posOffset>
            </wp:positionV>
            <wp:extent cx="1868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ectPr>
          <w:pgSz w:w="11900" w:h="16838" w:orient="portrait"/>
          <w:cols w:equalWidth="0" w:num="1">
            <w:col w:w="11120"/>
          </w:cols>
          <w:pgMar w:left="320" w:top="1120" w:right="459" w:bottom="322" w:gutter="0" w:footer="0" w:header="0"/>
        </w:sectPr>
      </w:pPr>
    </w:p>
    <w:p>
      <w:pPr>
        <w:spacing w:after="0" w:line="311"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Delaware</w:t>
      </w:r>
    </w:p>
    <w:p>
      <w:pPr>
        <w:spacing w:after="0" w:line="13" w:lineRule="exact"/>
        <w:rPr>
          <w:sz w:val="24"/>
          <w:szCs w:val="24"/>
          <w:color w:val="auto"/>
        </w:rPr>
      </w:pPr>
    </w:p>
    <w:p>
      <w:pPr>
        <w:ind w:left="1940"/>
        <w:spacing w:after="0"/>
        <w:rPr>
          <w:sz w:val="20"/>
          <w:szCs w:val="20"/>
          <w:color w:val="auto"/>
        </w:rPr>
      </w:pPr>
      <w:r>
        <w:rPr>
          <w:rFonts w:ascii="Arial" w:cs="Arial" w:eastAsia="Arial" w:hAnsi="Arial"/>
          <w:sz w:val="18"/>
          <w:szCs w:val="18"/>
          <w:color w:val="auto"/>
        </w:rPr>
        <w:t>(State or other jurisdiction of</w:t>
      </w:r>
    </w:p>
    <w:p>
      <w:pPr>
        <w:ind w:left="188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26-4087597</w:t>
      </w:r>
    </w:p>
    <w:p>
      <w:pPr>
        <w:spacing w:after="0" w:line="13" w:lineRule="exact"/>
        <w:rPr>
          <w:sz w:val="24"/>
          <w:szCs w:val="24"/>
          <w:color w:val="auto"/>
        </w:rPr>
      </w:pPr>
    </w:p>
    <w:p>
      <w:pPr>
        <w:jc w:val="center"/>
        <w:ind w:right="2240"/>
        <w:spacing w:after="0"/>
        <w:rPr>
          <w:sz w:val="20"/>
          <w:szCs w:val="20"/>
          <w:color w:val="auto"/>
        </w:rPr>
      </w:pPr>
      <w:r>
        <w:rPr>
          <w:rFonts w:ascii="Arial" w:cs="Arial" w:eastAsia="Arial" w:hAnsi="Arial"/>
          <w:sz w:val="18"/>
          <w:szCs w:val="18"/>
          <w:color w:val="auto"/>
        </w:rPr>
        <w:t>(I.R.S. Employer</w:t>
      </w:r>
    </w:p>
    <w:p>
      <w:pPr>
        <w:jc w:val="center"/>
        <w:ind w:right="2240"/>
        <w:spacing w:after="0"/>
        <w:rPr>
          <w:sz w:val="20"/>
          <w:szCs w:val="20"/>
          <w:color w:val="auto"/>
        </w:rPr>
      </w:pPr>
      <w:r>
        <w:rPr>
          <w:rFonts w:ascii="Arial" w:cs="Arial" w:eastAsia="Arial" w:hAnsi="Arial"/>
          <w:sz w:val="17"/>
          <w:szCs w:val="17"/>
          <w:color w:val="auto"/>
        </w:rPr>
        <w:t>Identification No.)</w:t>
      </w:r>
    </w:p>
    <w:p>
      <w:pPr>
        <w:spacing w:after="0" w:line="107" w:lineRule="exact"/>
        <w:rPr>
          <w:sz w:val="24"/>
          <w:szCs w:val="24"/>
          <w:color w:val="auto"/>
        </w:rPr>
      </w:pPr>
    </w:p>
    <w:p>
      <w:pPr>
        <w:sectPr>
          <w:pgSz w:w="11900" w:h="16838" w:orient="portrait"/>
          <w:cols w:equalWidth="0" w:num="2">
            <w:col w:w="6760" w:space="720"/>
            <w:col w:w="3640"/>
          </w:cols>
          <w:pgMar w:left="320" w:top="1120" w:right="459" w:bottom="322" w:gutter="0" w:footer="0" w:header="0"/>
          <w:type w:val="continuous"/>
        </w:sectPr>
      </w:pPr>
    </w:p>
    <w:p>
      <w:pPr>
        <w:jc w:val="center"/>
        <w:ind w:right="-139"/>
        <w:spacing w:after="0"/>
        <w:rPr>
          <w:sz w:val="20"/>
          <w:szCs w:val="20"/>
          <w:color w:val="auto"/>
        </w:rPr>
      </w:pPr>
      <w:r>
        <w:rPr>
          <w:rFonts w:ascii="Arial" w:cs="Arial" w:eastAsia="Arial" w:hAnsi="Arial"/>
          <w:sz w:val="18"/>
          <w:szCs w:val="18"/>
          <w:b w:val="1"/>
          <w:bCs w:val="1"/>
          <w:color w:val="auto"/>
        </w:rPr>
        <w:t>119 Standard Street</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El Segundo, CA 90245</w:t>
      </w:r>
    </w:p>
    <w:p>
      <w:pPr>
        <w:sectPr>
          <w:pgSz w:w="11900" w:h="16838" w:orient="portrait"/>
          <w:cols w:equalWidth="0" w:num="1">
            <w:col w:w="11120"/>
          </w:cols>
          <w:pgMar w:left="320" w:top="1120" w:right="459" w:bottom="322" w:gutter="0" w:footer="0" w:header="0"/>
          <w:type w:val="continuous"/>
        </w:sectPr>
      </w:pP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(866) 756-4112</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36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0"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418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rPr>
              <w:t>Title of each class</w:t>
            </w:r>
          </w:p>
        </w:tc>
        <w:tc>
          <w:tcPr>
            <w:tcW w:w="2340" w:type="dxa"/>
            <w:vAlign w:val="bottom"/>
            <w:gridSpan w:val="2"/>
          </w:tcPr>
          <w:p>
            <w:pPr>
              <w:jc w:val="center"/>
              <w:ind w:right="160"/>
              <w:spacing w:after="0"/>
              <w:rPr>
                <w:sz w:val="20"/>
                <w:szCs w:val="20"/>
                <w:color w:val="auto"/>
              </w:rPr>
            </w:pPr>
            <w:r>
              <w:rPr>
                <w:rFonts w:ascii="Arial" w:cs="Arial" w:eastAsia="Arial" w:hAnsi="Arial"/>
                <w:sz w:val="14"/>
                <w:szCs w:val="14"/>
                <w:color w:val="auto"/>
              </w:rPr>
              <w:t>Trading</w:t>
            </w:r>
          </w:p>
        </w:tc>
        <w:tc>
          <w:tcPr>
            <w:tcW w:w="4040" w:type="dxa"/>
            <w:vAlign w:val="bottom"/>
            <w:vMerge w:val="restart"/>
          </w:tcPr>
          <w:p>
            <w:pPr>
              <w:jc w:val="center"/>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2340" w:type="dxa"/>
            <w:vAlign w:val="bottom"/>
            <w:gridSpan w:val="2"/>
          </w:tcPr>
          <w:p>
            <w:pPr>
              <w:jc w:val="center"/>
              <w:ind w:right="160"/>
              <w:spacing w:after="0"/>
              <w:rPr>
                <w:sz w:val="20"/>
                <w:szCs w:val="20"/>
                <w:color w:val="auto"/>
              </w:rPr>
            </w:pPr>
            <w:r>
              <w:rPr>
                <w:rFonts w:ascii="Arial" w:cs="Arial" w:eastAsia="Arial" w:hAnsi="Arial"/>
                <w:sz w:val="14"/>
                <w:szCs w:val="14"/>
                <w:color w:val="auto"/>
              </w:rPr>
              <w:t>Symbol(s)</w:t>
            </w:r>
          </w:p>
        </w:tc>
        <w:tc>
          <w:tcPr>
            <w:tcW w:w="4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$0.0001 par value</w:t>
            </w:r>
          </w:p>
        </w:tc>
        <w:tc>
          <w:tcPr>
            <w:tcW w:w="160" w:type="dxa"/>
            <w:vAlign w:val="bottom"/>
          </w:tcPr>
          <w:p>
            <w:pPr>
              <w:spacing w:after="0"/>
              <w:rPr>
                <w:sz w:val="20"/>
                <w:szCs w:val="20"/>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BYND</w:t>
            </w:r>
          </w:p>
        </w:tc>
        <w:tc>
          <w:tcPr>
            <w:tcW w:w="16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right="140" w:firstLine="324"/>
        <w:spacing w:after="0" w:line="24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19" w:lineRule="exact"/>
        <w:tabs>
          <w:tab w:leader="none" w:pos="7840" w:val="left"/>
          <w:tab w:leader="none" w:pos="8620" w:val="left"/>
          <w:tab w:leader="none" w:pos="9000" w:val="left"/>
        </w:tabs>
        <w:rPr>
          <w:sz w:val="20"/>
          <w:szCs w:val="20"/>
          <w:color w:val="auto"/>
        </w:rPr>
      </w:pPr>
      <w:r>
        <w:rPr>
          <w:rFonts w:ascii="Arial" w:cs="Arial" w:eastAsia="Arial" w:hAnsi="Arial"/>
          <w:sz w:val="18"/>
          <w:szCs w:val="18"/>
          <w:color w:val="auto"/>
        </w:rPr>
        <w:t>(2) has been subject to such filing 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9"/>
          <w:szCs w:val="19"/>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8"/>
          <w:szCs w:val="18"/>
          <w:color w:val="auto"/>
        </w:rPr>
        <w:t>☐</w:t>
      </w:r>
    </w:p>
    <w:p>
      <w:pPr>
        <w:spacing w:after="0" w:line="234" w:lineRule="exact"/>
        <w:rPr>
          <w:sz w:val="24"/>
          <w:szCs w:val="24"/>
          <w:color w:val="auto"/>
        </w:rPr>
      </w:pPr>
    </w:p>
    <w:p>
      <w:pPr>
        <w:ind w:right="20"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190" w:lineRule="exact"/>
        <w:rPr>
          <w:sz w:val="24"/>
          <w:szCs w:val="24"/>
          <w:color w:val="auto"/>
        </w:rPr>
      </w:pPr>
    </w:p>
    <w:p>
      <w:pPr>
        <w:ind w:firstLine="324"/>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40" w:type="dxa"/>
            <w:vAlign w:val="bottom"/>
          </w:tcPr>
          <w:p>
            <w:pPr>
              <w:ind w:left="480"/>
              <w:spacing w:after="0" w:line="201" w:lineRule="exact"/>
              <w:rPr>
                <w:sz w:val="20"/>
                <w:szCs w:val="20"/>
                <w:color w:val="auto"/>
              </w:rPr>
            </w:pPr>
            <w:r>
              <w:rPr>
                <w:rFonts w:ascii="MS PGothic" w:cs="MS PGothic" w:eastAsia="MS PGothic" w:hAnsi="MS PGothic"/>
                <w:sz w:val="20"/>
                <w:szCs w:val="20"/>
                <w:color w:val="auto"/>
              </w:rPr>
              <w:t>☐</w:t>
            </w:r>
          </w:p>
        </w:tc>
        <w:tc>
          <w:tcPr>
            <w:tcW w:w="4580" w:type="dxa"/>
            <w:vAlign w:val="bottom"/>
          </w:tcPr>
          <w:p>
            <w:pPr>
              <w:ind w:left="190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9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2540" w:type="dxa"/>
            <w:vAlign w:val="bottom"/>
          </w:tcPr>
          <w:p>
            <w:pPr>
              <w:ind w:left="480"/>
              <w:spacing w:after="0" w:line="201" w:lineRule="exact"/>
              <w:rPr>
                <w:sz w:val="20"/>
                <w:szCs w:val="20"/>
                <w:color w:val="auto"/>
              </w:rPr>
            </w:pPr>
            <w:r>
              <w:rPr>
                <w:rFonts w:ascii="MS PGothic" w:cs="MS PGothic" w:eastAsia="MS PGothic" w:hAnsi="MS PGothic"/>
                <w:sz w:val="20"/>
                <w:szCs w:val="20"/>
                <w:color w:val="auto"/>
              </w:rPr>
              <w:t>☒</w:t>
            </w:r>
          </w:p>
        </w:tc>
        <w:tc>
          <w:tcPr>
            <w:tcW w:w="4580" w:type="dxa"/>
            <w:vAlign w:val="bottom"/>
          </w:tcPr>
          <w:p>
            <w:pPr>
              <w:ind w:left="19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2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580" w:type="dxa"/>
            <w:vAlign w:val="bottom"/>
          </w:tcPr>
          <w:p>
            <w:pPr>
              <w:ind w:left="19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4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68" w:lineRule="exact"/>
        <w:rPr>
          <w:sz w:val="24"/>
          <w:szCs w:val="24"/>
          <w:color w:val="auto"/>
        </w:rPr>
      </w:pPr>
    </w:p>
    <w:p>
      <w:pPr>
        <w:ind w:right="620" w:firstLine="324"/>
        <w:spacing w:after="0" w:line="24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207" w:lineRule="exact"/>
        <w:tabs>
          <w:tab w:leader="none" w:pos="2300" w:val="left"/>
        </w:tabs>
        <w:rPr>
          <w:sz w:val="20"/>
          <w:szCs w:val="20"/>
          <w:color w:val="auto"/>
        </w:rPr>
      </w:pPr>
      <w:r>
        <w:rPr>
          <w:rFonts w:ascii="Arial" w:cs="Arial" w:eastAsia="Arial" w:hAnsi="Arial"/>
          <w:sz w:val="18"/>
          <w:szCs w:val="18"/>
          <w:color w:val="auto"/>
        </w:rPr>
        <w:t>Act.</w:t>
      </w:r>
      <w:r>
        <w:rPr>
          <w:sz w:val="20"/>
          <w:szCs w:val="20"/>
          <w:color w:val="auto"/>
        </w:rPr>
        <w:tab/>
      </w:r>
      <w:r>
        <w:rPr>
          <w:rFonts w:ascii="MS PGothic" w:cs="MS PGothic" w:eastAsia="MS PGothic" w:hAnsi="MS PGothic"/>
          <w:sz w:val="18"/>
          <w:szCs w:val="18"/>
          <w:color w:val="auto"/>
        </w:rPr>
        <w:t>☒</w:t>
      </w:r>
    </w:p>
    <w:p>
      <w:pPr>
        <w:spacing w:after="0" w:line="17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w:t>
      </w:r>
    </w:p>
    <w:p>
      <w:pPr>
        <w:spacing w:after="0" w:line="2" w:lineRule="exact"/>
        <w:rPr>
          <w:sz w:val="24"/>
          <w:szCs w:val="24"/>
          <w:color w:val="auto"/>
        </w:rPr>
      </w:pPr>
    </w:p>
    <w:p>
      <w:pPr>
        <w:spacing w:after="0" w:line="219" w:lineRule="exact"/>
        <w:tabs>
          <w:tab w:leader="none" w:pos="2760" w:val="left"/>
          <w:tab w:leader="none" w:pos="3460" w:val="left"/>
        </w:tabs>
        <w:rPr>
          <w:sz w:val="20"/>
          <w:szCs w:val="20"/>
          <w:color w:val="auto"/>
        </w:rPr>
      </w:pPr>
      <w:r>
        <w:rPr>
          <w:rFonts w:ascii="Arial" w:cs="Arial" w:eastAsia="Arial" w:hAnsi="Arial"/>
          <w:sz w:val="18"/>
          <w:szCs w:val="18"/>
          <w:color w:val="auto"/>
        </w:rPr>
        <w:t>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9"/>
          <w:szCs w:val="19"/>
          <w:color w:val="auto"/>
        </w:rPr>
        <w:t>☒</w:t>
      </w:r>
    </w:p>
    <w:p>
      <w:pPr>
        <w:spacing w:after="0" w:line="7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6, 2020, the registrant had 62,655,659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120" w:right="459" w:bottom="322"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405130</wp:posOffset>
            </wp:positionH>
            <wp:positionV relativeFrom="page">
              <wp:posOffset>929005</wp:posOffset>
            </wp:positionV>
            <wp:extent cx="67379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9700" w:type="dxa"/>
            <w:vAlign w:val="bottom"/>
          </w:tcPr>
          <w:p>
            <w:pPr>
              <w:ind w:left="43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700" w:type="dxa"/>
            <w:vAlign w:val="bottom"/>
          </w:tcPr>
          <w:p>
            <w:pPr>
              <w:spacing w:after="0"/>
              <w:rPr>
                <w:sz w:val="23"/>
                <w:szCs w:val="23"/>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9700" w:type="dxa"/>
            <w:vAlign w:val="bottom"/>
            <w:vMerge w:val="restart"/>
          </w:tcPr>
          <w:p>
            <w:pPr>
              <w:ind w:left="37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Part I. Financial Information</w:t>
              </w:r>
            </w:hyperlink>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0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9700" w:type="dxa"/>
            <w:vAlign w:val="bottom"/>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 Financial Statements (Unaudited):</w:t>
              </w:r>
            </w:hyperlink>
          </w:p>
        </w:tc>
        <w:tc>
          <w:tcPr>
            <w:tcW w:w="90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29"/>
        </w:trPr>
        <w:tc>
          <w:tcPr>
            <w:tcW w:w="9700" w:type="dxa"/>
            <w:vAlign w:val="bottom"/>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Balance Sheets</w:t>
              </w:r>
            </w:hyperlink>
          </w:p>
        </w:tc>
        <w:tc>
          <w:tcPr>
            <w:tcW w:w="90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9700" w:type="dxa"/>
            <w:vAlign w:val="bottom"/>
          </w:tcPr>
          <w:p>
            <w:pPr>
              <w:ind w:left="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Statements of Operations</w:t>
              </w:r>
            </w:hyperlink>
          </w:p>
        </w:tc>
        <w:tc>
          <w:tcPr>
            <w:tcW w:w="90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43"/>
        </w:trPr>
        <w:tc>
          <w:tcPr>
            <w:tcW w:w="9700" w:type="dxa"/>
            <w:vAlign w:val="bottom"/>
            <w:vMerge w:val="restart"/>
          </w:tcPr>
          <w:p>
            <w:pPr>
              <w:ind w:left="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Condensed Consolidated Statements of Comprehensive (Loss) Income</w:t>
              </w:r>
            </w:hyperlink>
          </w:p>
        </w:tc>
        <w:tc>
          <w:tcPr>
            <w:tcW w:w="90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189"/>
        </w:trPr>
        <w:tc>
          <w:tcPr>
            <w:tcW w:w="970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700" w:type="dxa"/>
            <w:vAlign w:val="bottom"/>
          </w:tcPr>
          <w:p>
            <w:pPr>
              <w:ind w:left="2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Condensed Consolidated Statements of Convertible Preferred Stock and Stockholders’ Equity (Deficit)</w:t>
              </w:r>
            </w:hyperlink>
          </w:p>
        </w:tc>
        <w:tc>
          <w:tcPr>
            <w:tcW w:w="90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30"/>
        </w:trPr>
        <w:tc>
          <w:tcPr>
            <w:tcW w:w="9700" w:type="dxa"/>
            <w:vAlign w:val="bottom"/>
          </w:tcPr>
          <w:p>
            <w:pPr>
              <w:ind w:left="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Condensed Consolidated Statements of Cash Flows</w:t>
              </w:r>
            </w:hyperlink>
          </w:p>
        </w:tc>
        <w:tc>
          <w:tcPr>
            <w:tcW w:w="90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29"/>
        </w:trPr>
        <w:tc>
          <w:tcPr>
            <w:tcW w:w="9700" w:type="dxa"/>
            <w:vAlign w:val="bottom"/>
          </w:tcPr>
          <w:p>
            <w:pPr>
              <w:ind w:left="2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Notes to Unaudited Condensed Consolidated Financial Statements</w:t>
              </w:r>
            </w:hyperlink>
          </w:p>
        </w:tc>
        <w:tc>
          <w:tcPr>
            <w:tcW w:w="900" w:type="dxa"/>
            <w:vAlign w:val="bottom"/>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8</w:t>
              </w:r>
            </w:hyperlink>
          </w:p>
        </w:tc>
        <w:tc>
          <w:tcPr>
            <w:tcW w:w="0" w:type="dxa"/>
            <w:vAlign w:val="bottom"/>
          </w:tcPr>
          <w:p>
            <w:pPr>
              <w:spacing w:after="0"/>
              <w:rPr>
                <w:sz w:val="1"/>
                <w:szCs w:val="1"/>
                <w:color w:val="auto"/>
              </w:rPr>
            </w:pPr>
          </w:p>
        </w:tc>
      </w:tr>
      <w:tr>
        <w:trPr>
          <w:trHeight w:val="230"/>
        </w:trPr>
        <w:tc>
          <w:tcPr>
            <w:tcW w:w="9700" w:type="dxa"/>
            <w:vAlign w:val="bottom"/>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2. 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32</w:t>
              </w:r>
            </w:hyperlink>
          </w:p>
        </w:tc>
        <w:tc>
          <w:tcPr>
            <w:tcW w:w="0" w:type="dxa"/>
            <w:vAlign w:val="bottom"/>
          </w:tcPr>
          <w:p>
            <w:pPr>
              <w:spacing w:after="0"/>
              <w:rPr>
                <w:sz w:val="1"/>
                <w:szCs w:val="1"/>
                <w:color w:val="auto"/>
              </w:rPr>
            </w:pPr>
          </w:p>
        </w:tc>
      </w:tr>
      <w:tr>
        <w:trPr>
          <w:trHeight w:val="229"/>
        </w:trPr>
        <w:tc>
          <w:tcPr>
            <w:tcW w:w="9700" w:type="dxa"/>
            <w:vAlign w:val="bottom"/>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Item 3. Quantitative and Qualitative Disclosures About Market Risk</w:t>
              </w:r>
            </w:hyperlink>
          </w:p>
        </w:tc>
        <w:tc>
          <w:tcPr>
            <w:tcW w:w="900" w:type="dxa"/>
            <w:vAlign w:val="bottom"/>
          </w:tcPr>
          <w:p>
            <w:pPr>
              <w:jc w:val="right"/>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54</w:t>
              </w:r>
            </w:hyperlink>
          </w:p>
        </w:tc>
        <w:tc>
          <w:tcPr>
            <w:tcW w:w="0" w:type="dxa"/>
            <w:vAlign w:val="bottom"/>
          </w:tcPr>
          <w:p>
            <w:pPr>
              <w:spacing w:after="0"/>
              <w:rPr>
                <w:sz w:val="1"/>
                <w:szCs w:val="1"/>
                <w:color w:val="auto"/>
              </w:rPr>
            </w:pPr>
          </w:p>
        </w:tc>
      </w:tr>
      <w:tr>
        <w:trPr>
          <w:trHeight w:val="229"/>
        </w:trPr>
        <w:tc>
          <w:tcPr>
            <w:tcW w:w="9700" w:type="dxa"/>
            <w:vAlign w:val="bottom"/>
          </w:tcPr>
          <w:p>
            <w:pPr>
              <w:ind w:left="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Item 4. Controls and Procedures</w:t>
              </w:r>
            </w:hyperlink>
          </w:p>
        </w:tc>
        <w:tc>
          <w:tcPr>
            <w:tcW w:w="90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56</w:t>
              </w:r>
            </w:hyperlink>
          </w:p>
        </w:tc>
        <w:tc>
          <w:tcPr>
            <w:tcW w:w="0" w:type="dxa"/>
            <w:vAlign w:val="bottom"/>
          </w:tcPr>
          <w:p>
            <w:pPr>
              <w:spacing w:after="0"/>
              <w:rPr>
                <w:sz w:val="1"/>
                <w:szCs w:val="1"/>
                <w:color w:val="auto"/>
              </w:rPr>
            </w:pPr>
          </w:p>
        </w:tc>
      </w:tr>
      <w:tr>
        <w:trPr>
          <w:trHeight w:val="230"/>
        </w:trPr>
        <w:tc>
          <w:tcPr>
            <w:tcW w:w="9700" w:type="dxa"/>
            <w:vAlign w:val="bottom"/>
          </w:tcPr>
          <w:p>
            <w:pPr>
              <w:ind w:left="386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Part II. Other Information</w:t>
              </w:r>
            </w:hyperlink>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00" w:type="dxa"/>
            <w:vAlign w:val="bottom"/>
          </w:tcPr>
          <w:p>
            <w:pPr>
              <w:ind w:left="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Item 1. Legal Proceedings</w:t>
              </w:r>
            </w:hyperlink>
          </w:p>
        </w:tc>
        <w:tc>
          <w:tcPr>
            <w:tcW w:w="900" w:type="dxa"/>
            <w:vAlign w:val="bottom"/>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57</w:t>
              </w:r>
            </w:hyperlink>
          </w:p>
        </w:tc>
        <w:tc>
          <w:tcPr>
            <w:tcW w:w="0" w:type="dxa"/>
            <w:vAlign w:val="bottom"/>
          </w:tcPr>
          <w:p>
            <w:pPr>
              <w:spacing w:after="0"/>
              <w:rPr>
                <w:sz w:val="1"/>
                <w:szCs w:val="1"/>
                <w:color w:val="auto"/>
              </w:rPr>
            </w:pPr>
          </w:p>
        </w:tc>
      </w:tr>
      <w:tr>
        <w:trPr>
          <w:trHeight w:val="230"/>
        </w:trPr>
        <w:tc>
          <w:tcPr>
            <w:tcW w:w="9700" w:type="dxa"/>
            <w:vAlign w:val="bottom"/>
          </w:tcPr>
          <w:p>
            <w:pPr>
              <w:ind w:left="2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Item 1A. Risk Factors</w:t>
              </w:r>
            </w:hyperlink>
          </w:p>
        </w:tc>
        <w:tc>
          <w:tcPr>
            <w:tcW w:w="900" w:type="dxa"/>
            <w:vAlign w:val="bottom"/>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66</w:t>
              </w:r>
            </w:hyperlink>
          </w:p>
        </w:tc>
        <w:tc>
          <w:tcPr>
            <w:tcW w:w="0" w:type="dxa"/>
            <w:vAlign w:val="bottom"/>
          </w:tcPr>
          <w:p>
            <w:pPr>
              <w:spacing w:after="0"/>
              <w:rPr>
                <w:sz w:val="1"/>
                <w:szCs w:val="1"/>
                <w:color w:val="auto"/>
              </w:rPr>
            </w:pPr>
          </w:p>
        </w:tc>
      </w:tr>
      <w:tr>
        <w:trPr>
          <w:trHeight w:val="270"/>
        </w:trPr>
        <w:tc>
          <w:tcPr>
            <w:tcW w:w="9700" w:type="dxa"/>
            <w:vAlign w:val="bottom"/>
          </w:tcPr>
          <w:p>
            <w:pPr>
              <w:ind w:left="2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Item 2. Unregistered Sales of Equity Securities and Use of Proceeds</w:t>
              </w:r>
            </w:hyperlink>
          </w:p>
        </w:tc>
        <w:tc>
          <w:tcPr>
            <w:tcW w:w="900" w:type="dxa"/>
            <w:vAlign w:val="bottom"/>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67</w:t>
              </w:r>
            </w:hyperlink>
          </w:p>
        </w:tc>
        <w:tc>
          <w:tcPr>
            <w:tcW w:w="0" w:type="dxa"/>
            <w:vAlign w:val="bottom"/>
          </w:tcPr>
          <w:p>
            <w:pPr>
              <w:spacing w:after="0"/>
              <w:rPr>
                <w:sz w:val="1"/>
                <w:szCs w:val="1"/>
                <w:color w:val="auto"/>
              </w:rPr>
            </w:pPr>
          </w:p>
        </w:tc>
      </w:tr>
      <w:tr>
        <w:trPr>
          <w:trHeight w:val="230"/>
        </w:trPr>
        <w:tc>
          <w:tcPr>
            <w:tcW w:w="9700" w:type="dxa"/>
            <w:vAlign w:val="bottom"/>
          </w:tcPr>
          <w:p>
            <w:pPr>
              <w:ind w:left="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3. Defaults Upon Senior Securities</w:t>
              </w:r>
            </w:hyperlink>
          </w:p>
        </w:tc>
        <w:tc>
          <w:tcPr>
            <w:tcW w:w="90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67</w:t>
              </w:r>
            </w:hyperlink>
          </w:p>
        </w:tc>
        <w:tc>
          <w:tcPr>
            <w:tcW w:w="0" w:type="dxa"/>
            <w:vAlign w:val="bottom"/>
          </w:tcPr>
          <w:p>
            <w:pPr>
              <w:spacing w:after="0"/>
              <w:rPr>
                <w:sz w:val="1"/>
                <w:szCs w:val="1"/>
                <w:color w:val="auto"/>
              </w:rPr>
            </w:pPr>
          </w:p>
        </w:tc>
      </w:tr>
      <w:tr>
        <w:trPr>
          <w:trHeight w:val="229"/>
        </w:trPr>
        <w:tc>
          <w:tcPr>
            <w:tcW w:w="9700" w:type="dxa"/>
            <w:vAlign w:val="bottom"/>
          </w:tcPr>
          <w:p>
            <w:pPr>
              <w:ind w:left="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4. Mine Safety Disclosures</w:t>
              </w:r>
            </w:hyperlink>
          </w:p>
        </w:tc>
        <w:tc>
          <w:tcPr>
            <w:tcW w:w="90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67</w:t>
              </w:r>
            </w:hyperlink>
          </w:p>
        </w:tc>
        <w:tc>
          <w:tcPr>
            <w:tcW w:w="0" w:type="dxa"/>
            <w:vAlign w:val="bottom"/>
          </w:tcPr>
          <w:p>
            <w:pPr>
              <w:spacing w:after="0"/>
              <w:rPr>
                <w:sz w:val="1"/>
                <w:szCs w:val="1"/>
                <w:color w:val="auto"/>
              </w:rPr>
            </w:pPr>
          </w:p>
        </w:tc>
      </w:tr>
      <w:tr>
        <w:trPr>
          <w:trHeight w:val="230"/>
        </w:trPr>
        <w:tc>
          <w:tcPr>
            <w:tcW w:w="9700" w:type="dxa"/>
            <w:vAlign w:val="bottom"/>
          </w:tcPr>
          <w:p>
            <w:pPr>
              <w:ind w:left="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5. Other Information</w:t>
              </w:r>
            </w:hyperlink>
          </w:p>
        </w:tc>
        <w:tc>
          <w:tcPr>
            <w:tcW w:w="90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67</w:t>
              </w:r>
            </w:hyperlink>
          </w:p>
        </w:tc>
        <w:tc>
          <w:tcPr>
            <w:tcW w:w="0" w:type="dxa"/>
            <w:vAlign w:val="bottom"/>
          </w:tcPr>
          <w:p>
            <w:pPr>
              <w:spacing w:after="0"/>
              <w:rPr>
                <w:sz w:val="1"/>
                <w:szCs w:val="1"/>
                <w:color w:val="auto"/>
              </w:rPr>
            </w:pPr>
          </w:p>
        </w:tc>
      </w:tr>
      <w:tr>
        <w:trPr>
          <w:trHeight w:val="230"/>
        </w:trPr>
        <w:tc>
          <w:tcPr>
            <w:tcW w:w="9700" w:type="dxa"/>
            <w:vAlign w:val="bottom"/>
          </w:tcPr>
          <w:p>
            <w:pPr>
              <w:ind w:left="2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Item 6. Exhibits</w:t>
              </w:r>
            </w:hyperlink>
          </w:p>
        </w:tc>
        <w:tc>
          <w:tcPr>
            <w:tcW w:w="90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68</w:t>
              </w:r>
            </w:hyperlink>
          </w:p>
        </w:tc>
        <w:tc>
          <w:tcPr>
            <w:tcW w:w="0" w:type="dxa"/>
            <w:vAlign w:val="bottom"/>
          </w:tcPr>
          <w:p>
            <w:pPr>
              <w:spacing w:after="0"/>
              <w:rPr>
                <w:sz w:val="1"/>
                <w:szCs w:val="1"/>
                <w:color w:val="auto"/>
              </w:rPr>
            </w:pPr>
          </w:p>
        </w:tc>
      </w:tr>
      <w:tr>
        <w:trPr>
          <w:trHeight w:val="230"/>
        </w:trPr>
        <w:tc>
          <w:tcPr>
            <w:tcW w:w="9700" w:type="dxa"/>
            <w:vAlign w:val="bottom"/>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Signatures</w:t>
              </w:r>
            </w:hyperlink>
          </w:p>
        </w:tc>
        <w:tc>
          <w:tcPr>
            <w:tcW w:w="900" w:type="dxa"/>
            <w:vAlign w:val="bottom"/>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69</w:t>
              </w:r>
            </w:hyperlink>
          </w:p>
        </w:tc>
        <w:tc>
          <w:tcPr>
            <w:tcW w:w="0" w:type="dxa"/>
            <w:vAlign w:val="bottom"/>
          </w:tcPr>
          <w:p>
            <w:pPr>
              <w:spacing w:after="0"/>
              <w:rPr>
                <w:sz w:val="1"/>
                <w:szCs w:val="1"/>
                <w:color w:val="auto"/>
              </w:rPr>
            </w:pPr>
          </w:p>
        </w:tc>
      </w:tr>
      <w:tr>
        <w:trPr>
          <w:trHeight w:val="270"/>
        </w:trPr>
        <w:tc>
          <w:tcPr>
            <w:tcW w:w="97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177800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640" w:top="1440" w:right="6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This report includes forward-looking statements within the meaning of the federal securities laws. We have based these forward-looking statements largely on our current opinions, expectations, beliefs, plans, objectives, assumptions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65" w:lineRule="exact"/>
        <w:rPr>
          <w:sz w:val="20"/>
          <w:szCs w:val="20"/>
          <w:color w:val="auto"/>
        </w:rPr>
      </w:pPr>
    </w:p>
    <w:p>
      <w:pPr>
        <w:ind w:left="500" w:right="180" w:hanging="330"/>
        <w:spacing w:after="0" w:line="203" w:lineRule="auto"/>
        <w:tabs>
          <w:tab w:leader="none" w:pos="49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effects of the coronavirus (“COVID-19”) pandemic on our business, financial condition and results of operations, including on our supply chain, the demand for our products, and, in particular in our foodservice channel, our product and channel mix, the timing and level of retail purchasing, our manufacturing facilities and operations, our inventory levels, our ability to expand and produce in new geographic markets or the timing of such expansion efforts, the pace and success of new product introductions, the timing of new foodservice launches, and on overall economic conditions and consumer confidence and spending levels;</w:t>
      </w:r>
    </w:p>
    <w:p>
      <w:pPr>
        <w:spacing w:after="0" w:line="3" w:lineRule="exact"/>
        <w:rPr>
          <w:rFonts w:ascii="Arial" w:cs="Arial" w:eastAsia="Arial" w:hAnsi="Arial"/>
          <w:sz w:val="22"/>
          <w:szCs w:val="22"/>
          <w:color w:val="auto"/>
        </w:rPr>
      </w:pP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impact of adverse and uncertain economic and political conditions in the U.S. and international markets;</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volatility of capital markets and other macroeconomic factors;</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estimates of our expenses, future revenues, capital expenditures, capital requirements and our needs for additional financing;</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effectively manage our growth;</w:t>
      </w:r>
    </w:p>
    <w:p>
      <w:pPr>
        <w:ind w:left="480" w:hanging="310"/>
        <w:spacing w:after="0" w:line="192"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failure of acquisitions and other investments to be efficiently integrated and produce the results we anticipate;</w:t>
      </w:r>
    </w:p>
    <w:p>
      <w:pPr>
        <w:ind w:left="480" w:hanging="310"/>
        <w:spacing w:after="0" w:line="192"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effects of increased competition from our market competitors and new market entrants;</w:t>
      </w:r>
    </w:p>
    <w:p>
      <w:pPr>
        <w:ind w:left="500" w:right="60" w:hanging="330"/>
        <w:spacing w:after="0" w:line="204" w:lineRule="auto"/>
        <w:tabs>
          <w:tab w:leader="none" w:pos="495" w:val="left"/>
        </w:tabs>
        <w:numPr>
          <w:ilvl w:val="0"/>
          <w:numId w:val="3"/>
        </w:numPr>
        <w:rPr>
          <w:rFonts w:ascii="Arial" w:cs="Arial" w:eastAsia="Arial" w:hAnsi="Arial"/>
          <w:sz w:val="22"/>
          <w:szCs w:val="22"/>
          <w:color w:val="auto"/>
        </w:rPr>
      </w:pPr>
      <w:r>
        <w:rPr>
          <w:rFonts w:ascii="Arial" w:cs="Arial" w:eastAsia="Arial" w:hAnsi="Arial"/>
          <w:sz w:val="18"/>
          <w:szCs w:val="18"/>
          <w:color w:val="auto"/>
        </w:rPr>
        <w:t>changes in the retail landscape, including the timing and level of trade and promotion discounts, our ability to grow market share and increase household penetration, repeat buying rates and purchase frequency, and our ability to maintain and increase sales velocity of our products;</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success of distribution expansion and new product introductions in increasing revenues and market share;</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timing and success of strategic partnership launches and limited time offerings resulting in permanent menu items;</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estimates of the size of our market opportunities;</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effectively expand our manufacturing and production capacity;</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accurately forecast demand for our products and manage our inventory;</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variations in product selling prices and costs, and the mix of products sold;</w:t>
      </w:r>
    </w:p>
    <w:p>
      <w:pPr>
        <w:ind w:left="500" w:hanging="330"/>
        <w:spacing w:after="0" w:line="204" w:lineRule="auto"/>
        <w:tabs>
          <w:tab w:leader="none" w:pos="49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successfully enter new geographic markets, manage our international expansion and comply with any applicable laws and regulations;</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effects of global outbreaks of pandemics or contagious diseases or fear of such outbreaks, such as the COVID-19 pandemic;</w:t>
      </w:r>
    </w:p>
    <w:p>
      <w:pPr>
        <w:ind w:left="500" w:right="120" w:hanging="330"/>
        <w:spacing w:after="0" w:line="204" w:lineRule="auto"/>
        <w:tabs>
          <w:tab w:leader="none" w:pos="49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success of our marketing initiatives and the ability to grow brand awareness, maintain, protect and enhance our brand, attract and retain new customers and grow our market share;</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attract, maintain and effectively expand our relationships with key strategic foodservice partners;</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attract and retain our suppliers, distributors, co-manufacturers and customers;</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procure sufficient high quality, raw materials to manufacture our products;</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availability of pea protein that meets our standards;</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diversify the protein sources used for our products;</w:t>
      </w:r>
    </w:p>
    <w:p>
      <w:pPr>
        <w:ind w:left="480" w:hanging="310"/>
        <w:spacing w:after="0" w:line="204"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differentiate and continuously create innovative products, respond to competitive innovation and achieve speed-to-market;</w:t>
      </w:r>
    </w:p>
    <w:p>
      <w:pPr>
        <w:ind w:left="480" w:hanging="310"/>
        <w:spacing w:after="0" w:line="205" w:lineRule="auto"/>
        <w:tabs>
          <w:tab w:leader="none" w:pos="48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successfully execute our strategic initiatives;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 w:name="page5"/>
    <w:bookmarkEnd w:id="4"/>
    <w:p>
      <w:pPr>
        <w:ind w:left="480" w:hanging="310"/>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volatility associated with ingredient, packaging and other input costs;</w:t>
      </w:r>
    </w:p>
    <w:p>
      <w:pPr>
        <w:ind w:left="480" w:hanging="310"/>
        <w:spacing w:after="0" w:line="204" w:lineRule="auto"/>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real or perceived quality or health issues with our products or other issues that adversely affect our brand and reputation;</w:t>
      </w:r>
    </w:p>
    <w:p>
      <w:pPr>
        <w:ind w:left="500" w:right="1100" w:hanging="330"/>
        <w:spacing w:after="0" w:line="204"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accurately predict consumer taste preferences, trends and demand and successfully innovate, introduce and commercialize new products and improve existing products, including in new geographic markets;</w:t>
      </w:r>
    </w:p>
    <w:p>
      <w:pPr>
        <w:ind w:left="500" w:right="500" w:hanging="330"/>
        <w:spacing w:after="0" w:line="204"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significant disruption in, or breach in security of our information technology systems and resultant interruptions in service and any related impact on our reputation;</w:t>
      </w:r>
    </w:p>
    <w:p>
      <w:pPr>
        <w:ind w:left="500" w:right="20" w:hanging="330"/>
        <w:spacing w:after="0" w:line="204"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attraction and retention of qualified employees and key personnel and our ability to maintain our company culture as we continue to grow;</w:t>
      </w:r>
    </w:p>
    <w:p>
      <w:pPr>
        <w:ind w:left="500" w:right="680" w:hanging="330"/>
        <w:spacing w:after="0" w:line="204"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effects of natural or man-made catastrophic events particularly involving our or any of our co-manufacturers’ manufacturing facilities or our suppliers’ facilities;</w:t>
      </w:r>
    </w:p>
    <w:p>
      <w:pPr>
        <w:ind w:left="500" w:right="140" w:hanging="330"/>
        <w:spacing w:after="0" w:line="204"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impact of marketing campaigns aimed at generating negative publicity regarding our products, brand and the plant-based industry category;</w:t>
      </w:r>
    </w:p>
    <w:p>
      <w:pPr>
        <w:ind w:left="480" w:hanging="310"/>
        <w:spacing w:after="0" w:line="204" w:lineRule="auto"/>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effectiveness of our internal controls;</w:t>
      </w:r>
    </w:p>
    <w:p>
      <w:pPr>
        <w:ind w:left="480" w:hanging="310"/>
        <w:spacing w:after="0" w:line="204" w:lineRule="auto"/>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indebtedness and ability to pay such indebtedness, as well as our ability to comply with covenants under our credit agreement;</w:t>
      </w:r>
    </w:p>
    <w:p>
      <w:pPr>
        <w:ind w:left="500" w:right="240" w:hanging="330"/>
        <w:spacing w:after="0" w:line="204"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changes in laws and government regulation affecting our business, including the U.S. Food and Drug Administration (“FDA”) and the U.S. Federal Trade Commission (“FTC”) governmental regulation, and state, local and foreign regulation;</w:t>
      </w:r>
    </w:p>
    <w:p>
      <w:pPr>
        <w:ind w:left="500" w:right="380" w:hanging="330"/>
        <w:spacing w:after="0" w:line="204"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new or pending legislation, or changes in laws, regulations or policies of governmental agencies or regulators, both in the U.S. and abroad, affecting plant-based meat, the labeling or naming of our products, or our brand name;</w:t>
      </w:r>
    </w:p>
    <w:p>
      <w:pPr>
        <w:ind w:left="500" w:right="80" w:hanging="330"/>
        <w:spacing w:after="0" w:line="204"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financial condition of, and our relationships with our suppliers, co-manufacturers, distributors, retailers, and foodservice customers, and their future decisions regarding their relationships with us;</w:t>
      </w:r>
    </w:p>
    <w:p>
      <w:pPr>
        <w:ind w:left="480" w:hanging="310"/>
        <w:spacing w:after="0" w:line="204" w:lineRule="auto"/>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ability of our suppliers and co-manufacturers to comply with food safety, environmental or other laws or regulations;</w:t>
      </w:r>
    </w:p>
    <w:p>
      <w:pPr>
        <w:ind w:left="480" w:hanging="310"/>
        <w:spacing w:after="0" w:line="204" w:lineRule="auto"/>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seasonality;</w:t>
      </w:r>
    </w:p>
    <w:p>
      <w:pPr>
        <w:ind w:left="480" w:hanging="310"/>
        <w:spacing w:after="0" w:line="204" w:lineRule="auto"/>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sufficiency of our cash and cash equivalents to meet our liquidity needs and service our indebtedness;</w:t>
      </w:r>
    </w:p>
    <w:p>
      <w:pPr>
        <w:ind w:left="480" w:hanging="310"/>
        <w:spacing w:after="0" w:line="204" w:lineRule="auto"/>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economic conditions and the impact on consumer spending;</w:t>
      </w:r>
    </w:p>
    <w:p>
      <w:pPr>
        <w:ind w:left="480" w:hanging="310"/>
        <w:spacing w:after="0" w:line="204" w:lineRule="auto"/>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outcomes of legal or administrative proceedings, or new legal or administrative proceedings filed against us;</w:t>
      </w:r>
    </w:p>
    <w:p>
      <w:pPr>
        <w:ind w:left="500" w:right="640" w:hanging="330"/>
        <w:spacing w:after="0" w:line="204"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our suppliers’ and our co-manufacturers’ ability to protect our proprietary technology, intellectual property and trade secrets adequately;</w:t>
      </w:r>
    </w:p>
    <w:p>
      <w:pPr>
        <w:ind w:left="480" w:hanging="310"/>
        <w:spacing w:after="0" w:line="204" w:lineRule="auto"/>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impact of tariffs and trade wars;</w:t>
      </w:r>
    </w:p>
    <w:p>
      <w:pPr>
        <w:ind w:left="480" w:hanging="310"/>
        <w:spacing w:after="0" w:line="192" w:lineRule="auto"/>
        <w:tabs>
          <w:tab w:leader="none" w:pos="480" w:val="left"/>
        </w:tabs>
        <w:numPr>
          <w:ilvl w:val="0"/>
          <w:numId w:val="4"/>
        </w:numPr>
        <w:rPr>
          <w:rFonts w:ascii="Arial" w:cs="Arial" w:eastAsia="Arial" w:hAnsi="Arial"/>
          <w:sz w:val="22"/>
          <w:szCs w:val="22"/>
          <w:color w:val="auto"/>
        </w:rPr>
      </w:pPr>
      <w:r>
        <w:rPr>
          <w:rFonts w:ascii="Arial" w:cs="Arial" w:eastAsia="Arial" w:hAnsi="Arial"/>
          <w:sz w:val="18"/>
          <w:szCs w:val="18"/>
          <w:color w:val="auto"/>
        </w:rPr>
        <w:t>foreign exchange rate fluctuations; and</w:t>
      </w:r>
    </w:p>
    <w:p>
      <w:pPr>
        <w:ind w:left="500" w:right="160" w:hanging="330"/>
        <w:spacing w:after="0" w:line="256"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discussed in Part I, Item 1A, “Risk Factors,” included in our Annual Report on Form 10-K for the fiscal year ended December 31, 2019 filed with the Securities and Exchange Commission (“SEC”) on March 19, 2020 (the “2019 10-K”), Part II, Item 1A, “Risk Factors” included herein, and those discussed in other documents we file from time to time with the SEC.</w:t>
      </w:r>
    </w:p>
    <w:p>
      <w:pPr>
        <w:spacing w:after="0" w:line="4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In some cases, you can identify forward-looking statements by the use of words such as “believe,” “may,” “will,” “will continue,” “could,” “will likely result,” “estimate,” “continue,” “anticipate,” “intend,” “plan,” “predict,” “project,” “expect,” “potential” and variations of these terms and similar expressions, or the negative of these terms or similar expressions. These forward-looking statements are based on our current expectations and assumptions that are subject to risks and uncertainties, which could cause our actual results to differ materially from those anticipated or implied in the forward-looking statements.</w:t>
      </w:r>
    </w:p>
    <w:p>
      <w:pPr>
        <w:spacing w:after="0" w:line="15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report also contains estimates and other statistical data obtained from independent parties and by us relating to market size and growth and other data about our industry and ultimate consumers. The number of retail and foodservice outlets are derived from data through September 26, 2020. This data involves a number of assumptions and limitations, and you are cautioned not to give undue weight to such estimates and data.</w:t>
      </w:r>
    </w:p>
    <w:p>
      <w:pPr>
        <w:spacing w:after="0" w:line="150"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All forward-looking statements attributable to us or persons acting on our behalf are expressly qualified in their entirety by the cautionary statements set forth above. Forward-looking statements speak only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 w:name="page6"/>
    <w:bookmarkEnd w:id="5"/>
    <w:p>
      <w:pPr>
        <w:ind w:right="20"/>
        <w:spacing w:after="0" w:line="254" w:lineRule="auto"/>
        <w:rPr>
          <w:sz w:val="20"/>
          <w:szCs w:val="20"/>
          <w:color w:val="auto"/>
        </w:rPr>
      </w:pPr>
      <w:r>
        <w:rPr>
          <w:rFonts w:ascii="Arial" w:cs="Arial" w:eastAsia="Arial" w:hAnsi="Arial"/>
          <w:sz w:val="18"/>
          <w:szCs w:val="18"/>
          <w:color w:val="auto"/>
        </w:rPr>
        <w:t>date of this report. You should not put undue reliance on any forward-looking statements. We assume no obligation to publicly update or revise any forward-looking statements because of new information, future events, changes in assumptions or otherwise, except to the extent required by applicable laws. If we update one or more forward-looking statements, no inference should be drawn that we will make additional updates with respect to those or other forward-looking statements.</w:t>
      </w:r>
    </w:p>
    <w:p>
      <w:pPr>
        <w:spacing w:after="0" w:line="150"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As used herein, the terms “Beyond Meat,” “we,” “us,” “our” and the “Company” refer to Beyond Meat, Inc., a Delaware corporation, including its consolidated subsidiaries unless the context otherwise requires.</w:t>
      </w:r>
    </w:p>
    <w:p>
      <w:pPr>
        <w:spacing w:after="0" w:line="144" w:lineRule="exact"/>
        <w:rPr>
          <w:sz w:val="20"/>
          <w:szCs w:val="20"/>
          <w:color w:val="auto"/>
        </w:rPr>
      </w:pPr>
    </w:p>
    <w:p>
      <w:pPr>
        <w:ind w:right="20" w:firstLine="324"/>
        <w:spacing w:after="0" w:line="250" w:lineRule="auto"/>
        <w:rPr>
          <w:sz w:val="20"/>
          <w:szCs w:val="20"/>
          <w:color w:val="auto"/>
        </w:rPr>
      </w:pPr>
      <w:r>
        <w:rPr>
          <w:rFonts w:ascii="Arial" w:cs="Arial" w:eastAsia="Arial" w:hAnsi="Arial"/>
          <w:sz w:val="18"/>
          <w:szCs w:val="18"/>
          <w:color w:val="auto"/>
        </w:rPr>
        <w:t>“Beyond Meat,” “Beyond Burger,” “Beyond Beef,” “Beyond Sausage,” “Beyond Breakfast Sausage,” “Beyond Meatball,” the Caped Steer Logo, “GO BEYOND,” “Eat What You Love” and “The Cookout Classic,” are registered or pending trademarks of Beyond Meat, Inc. in the United States and, in some cases, in certain other countries. All other brand names or trademarks appearing in this report are the property of their respective holders. Solely for convenience, the trademarks and trade names contained herein are referred to without the ®</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35" w:right="37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BEYOND MEAT, INC.</w:t>
      </w:r>
    </w:p>
    <w:p>
      <w:pPr>
        <w:spacing w:after="0" w:line="3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26,</w:t>
            </w:r>
          </w:p>
        </w:tc>
        <w:tc>
          <w:tcPr>
            <w:tcW w:w="22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7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7"/>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0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275,988</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29,760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40,080</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81,596</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5,930</w:t>
            </w: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390,929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403,594</w:t>
            </w:r>
          </w:p>
        </w:tc>
        <w:tc>
          <w:tcPr>
            <w:tcW w:w="0" w:type="dxa"/>
            <w:vAlign w:val="bottom"/>
          </w:tcPr>
          <w:p>
            <w:pPr>
              <w:spacing w:after="0"/>
              <w:rPr>
                <w:sz w:val="1"/>
                <w:szCs w:val="1"/>
                <w:color w:val="auto"/>
              </w:rPr>
            </w:pPr>
          </w:p>
        </w:tc>
      </w:tr>
      <w:tr>
        <w:trPr>
          <w:trHeight w:val="209"/>
        </w:trPr>
        <w:tc>
          <w:tcPr>
            <w:tcW w:w="73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77,002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47,474</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non-current assets, net</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38"/>
        </w:trPr>
        <w:tc>
          <w:tcPr>
            <w:tcW w:w="7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486,637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451,923</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30,531</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26,923</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Wages payable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Arial" w:cs="Arial" w:eastAsia="Arial" w:hAnsi="Arial"/>
                <w:sz w:val="16"/>
                <w:szCs w:val="16"/>
                <w:color w:val="auto"/>
              </w:rPr>
              <w:t>Accrued bonus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4,129</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0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10,241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3,805</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Short-term borrowings under revolving credit facility and bank term loan</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finance lease liabilities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73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45,657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47,697</w:t>
            </w:r>
          </w:p>
        </w:tc>
        <w:tc>
          <w:tcPr>
            <w:tcW w:w="0" w:type="dxa"/>
            <w:vAlign w:val="bottom"/>
          </w:tcPr>
          <w:p>
            <w:pPr>
              <w:spacing w:after="0"/>
              <w:rPr>
                <w:sz w:val="1"/>
                <w:szCs w:val="1"/>
                <w:color w:val="auto"/>
              </w:rPr>
            </w:pPr>
          </w:p>
        </w:tc>
      </w:tr>
      <w:tr>
        <w:trPr>
          <w:trHeight w:val="193"/>
        </w:trPr>
        <w:tc>
          <w:tcPr>
            <w:tcW w:w="7300" w:type="dxa"/>
            <w:vAlign w:val="bottom"/>
          </w:tcPr>
          <w:p>
            <w:pPr>
              <w:spacing w:after="0"/>
              <w:rPr>
                <w:sz w:val="20"/>
                <w:szCs w:val="20"/>
                <w:color w:val="auto"/>
              </w:rPr>
            </w:pPr>
            <w:r>
              <w:rPr>
                <w:rFonts w:ascii="Arial" w:cs="Arial" w:eastAsia="Arial" w:hAnsi="Arial"/>
                <w:sz w:val="16"/>
                <w:szCs w:val="16"/>
                <w:color w:val="auto"/>
              </w:rPr>
              <w:t>Long-term liabilities:</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Revolving credit facility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00" w:type="dxa"/>
            <w:vAlign w:val="bottom"/>
          </w:tcPr>
          <w:p>
            <w:pPr>
              <w:ind w:left="160"/>
              <w:spacing w:after="0"/>
              <w:rPr>
                <w:sz w:val="20"/>
                <w:szCs w:val="20"/>
                <w:color w:val="auto"/>
              </w:rPr>
            </w:pPr>
            <w:r>
              <w:rPr>
                <w:rFonts w:ascii="Arial" w:cs="Arial" w:eastAsia="Arial" w:hAnsi="Arial"/>
                <w:sz w:val="16"/>
                <w:szCs w:val="16"/>
                <w:color w:val="auto"/>
              </w:rPr>
              <w:t>Operating lease liabilities, net of current portion</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11,413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portion of bank term loan, net</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14,637</w:t>
            </w:r>
          </w:p>
        </w:tc>
        <w:tc>
          <w:tcPr>
            <w:tcW w:w="0" w:type="dxa"/>
            <w:vAlign w:val="bottom"/>
          </w:tcPr>
          <w:p>
            <w:pPr>
              <w:spacing w:after="0"/>
              <w:rPr>
                <w:sz w:val="1"/>
                <w:szCs w:val="1"/>
                <w:color w:val="auto"/>
              </w:rPr>
            </w:pPr>
          </w:p>
        </w:tc>
      </w:tr>
      <w:tr>
        <w:trPr>
          <w:trHeight w:val="213"/>
        </w:trPr>
        <w:tc>
          <w:tcPr>
            <w:tcW w:w="7300" w:type="dxa"/>
            <w:vAlign w:val="bottom"/>
          </w:tcPr>
          <w:p>
            <w:pPr>
              <w:ind w:left="140"/>
              <w:spacing w:after="0"/>
              <w:rPr>
                <w:sz w:val="20"/>
                <w:szCs w:val="20"/>
                <w:color w:val="auto"/>
              </w:rPr>
            </w:pPr>
            <w:r>
              <w:rPr>
                <w:rFonts w:ascii="Arial" w:cs="Arial" w:eastAsia="Arial" w:hAnsi="Arial"/>
                <w:sz w:val="16"/>
                <w:szCs w:val="16"/>
                <w:color w:val="auto"/>
              </w:rPr>
              <w:t>Equipment loan, net</w:t>
            </w:r>
          </w:p>
        </w:tc>
        <w:tc>
          <w:tcPr>
            <w:tcW w:w="2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4,932</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Finance lease obligations and 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0"/>
        </w:trPr>
        <w:tc>
          <w:tcPr>
            <w:tcW w:w="7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long-term liabilities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20,136</w:t>
            </w:r>
          </w:p>
        </w:tc>
        <w:tc>
          <w:tcPr>
            <w:tcW w:w="0" w:type="dxa"/>
            <w:vAlign w:val="bottom"/>
          </w:tcPr>
          <w:p>
            <w:pPr>
              <w:spacing w:after="0"/>
              <w:rPr>
                <w:sz w:val="1"/>
                <w:szCs w:val="1"/>
                <w:color w:val="auto"/>
              </w:rPr>
            </w:pPr>
          </w:p>
        </w:tc>
      </w:tr>
      <w:tr>
        <w:trPr>
          <w:trHeight w:val="19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10)</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 on the next page)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413" w:right="519" w:bottom="1440" w:gutter="0" w:footer="0" w:header="0"/>
        </w:sectPr>
      </w:pPr>
    </w:p>
    <w:bookmarkStart w:id="7" w:name="page8"/>
    <w:bookmarkEnd w:id="7"/>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BEYOND MEAT, INC.</w:t>
      </w:r>
    </w:p>
    <w:p>
      <w:pPr>
        <w:spacing w:after="0" w:line="3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26,</w:t>
            </w:r>
          </w:p>
        </w:tc>
        <w:tc>
          <w:tcPr>
            <w:tcW w:w="22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197"/>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77"/>
        </w:trPr>
        <w:tc>
          <w:tcPr>
            <w:tcW w:w="7300" w:type="dxa"/>
            <w:vAlign w:val="bottom"/>
          </w:tcPr>
          <w:p>
            <w:pPr>
              <w:spacing w:after="0" w:line="178" w:lineRule="exact"/>
              <w:rPr>
                <w:sz w:val="20"/>
                <w:szCs w:val="20"/>
                <w:color w:val="auto"/>
              </w:rPr>
            </w:pPr>
            <w:r>
              <w:rPr>
                <w:rFonts w:ascii="Arial" w:cs="Arial" w:eastAsia="Arial" w:hAnsi="Arial"/>
                <w:sz w:val="16"/>
                <w:szCs w:val="16"/>
                <w:color w:val="auto"/>
              </w:rPr>
              <w:t>Preferred stock, par value $0.0001 per share—500,000 shares authorized, none issued and</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8"/>
        </w:trPr>
        <w:tc>
          <w:tcPr>
            <w:tcW w:w="7300" w:type="dxa"/>
            <w:vAlign w:val="bottom"/>
          </w:tcPr>
          <w:p>
            <w:pPr>
              <w:ind w:left="160"/>
              <w:spacing w:after="0"/>
              <w:rPr>
                <w:sz w:val="20"/>
                <w:szCs w:val="20"/>
                <w:color w:val="auto"/>
              </w:rPr>
            </w:pPr>
            <w:r>
              <w:rPr>
                <w:rFonts w:ascii="Arial" w:cs="Arial" w:eastAsia="Arial" w:hAnsi="Arial"/>
                <w:sz w:val="16"/>
                <w:szCs w:val="16"/>
                <w:color w:val="auto"/>
              </w:rPr>
              <w:t>outstanding</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7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Common stock, par value $0.0001 per share—500,000,000 shares authorized; 62,625,629 and</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62"/>
        </w:trPr>
        <w:tc>
          <w:tcPr>
            <w:tcW w:w="730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61,576,494 shares issued and outstanding at September 26, 2020 and December 31, 2019,</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201"/>
        </w:trPr>
        <w:tc>
          <w:tcPr>
            <w:tcW w:w="7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respectively</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730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548,706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526,199</w:t>
            </w:r>
          </w:p>
        </w:tc>
      </w:tr>
      <w:tr>
        <w:trPr>
          <w:trHeight w:val="21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(142,115)</w:t>
            </w:r>
          </w:p>
        </w:tc>
      </w:tr>
      <w:tr>
        <w:trPr>
          <w:trHeight w:val="213"/>
        </w:trPr>
        <w:tc>
          <w:tcPr>
            <w:tcW w:w="7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379,400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384,090</w:t>
            </w:r>
          </w:p>
        </w:tc>
      </w:tr>
      <w:tr>
        <w:trPr>
          <w:trHeight w:val="212"/>
        </w:trPr>
        <w:tc>
          <w:tcPr>
            <w:tcW w:w="7300" w:type="dxa"/>
            <w:vAlign w:val="bottom"/>
          </w:tcPr>
          <w:p>
            <w:pPr>
              <w:ind w:left="48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486,637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451,923</w:t>
            </w:r>
          </w:p>
        </w:tc>
      </w:tr>
      <w:tr>
        <w:trPr>
          <w:trHeight w:val="21"/>
        </w:trPr>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10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4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26,</w:t>
            </w: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171"/>
              <w:spacing w:after="0" w:line="158" w:lineRule="exact"/>
              <w:rPr>
                <w:sz w:val="20"/>
                <w:szCs w:val="20"/>
                <w:color w:val="auto"/>
              </w:rPr>
            </w:pPr>
            <w:r>
              <w:rPr>
                <w:rFonts w:ascii="Arial" w:cs="Arial" w:eastAsia="Arial" w:hAnsi="Arial"/>
                <w:sz w:val="16"/>
                <w:szCs w:val="16"/>
                <w:b w:val="1"/>
                <w:bCs w:val="1"/>
                <w:color w:val="auto"/>
              </w:rPr>
              <w:t>September 28,</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26,</w:t>
            </w: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31"/>
              <w:spacing w:after="0" w:line="158" w:lineRule="exact"/>
              <w:rPr>
                <w:sz w:val="20"/>
                <w:szCs w:val="20"/>
                <w:color w:val="auto"/>
              </w:rPr>
            </w:pPr>
            <w:r>
              <w:rPr>
                <w:rFonts w:ascii="Arial" w:cs="Arial" w:eastAsia="Arial" w:hAnsi="Arial"/>
                <w:sz w:val="16"/>
                <w:szCs w:val="16"/>
                <w:b w:val="1"/>
                <w:bCs w:val="1"/>
                <w:color w:val="auto"/>
              </w:rPr>
              <w:t>September 28,</w:t>
            </w:r>
          </w:p>
        </w:tc>
        <w:tc>
          <w:tcPr>
            <w:tcW w:w="0" w:type="dxa"/>
            <w:vAlign w:val="bottom"/>
          </w:tcPr>
          <w:p>
            <w:pPr>
              <w:spacing w:after="0"/>
              <w:rPr>
                <w:sz w:val="1"/>
                <w:szCs w:val="1"/>
                <w:color w:val="auto"/>
              </w:rPr>
            </w:pPr>
          </w:p>
        </w:tc>
      </w:tr>
      <w:tr>
        <w:trPr>
          <w:trHeight w:val="215"/>
        </w:trPr>
        <w:tc>
          <w:tcPr>
            <w:tcW w:w="4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199,418</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133,123</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66,295</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14,661</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47,636</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expenses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65,857</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warrant liability</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(12,408)</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(Loss) income before taxes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(11,970)</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(27,675)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(11,991)</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0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Net (loss) income per share available to common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stockholders—basic</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tcPr>
          <w:p>
            <w:pPr>
              <w:spacing w:after="0" w:line="203" w:lineRule="exact"/>
              <w:rPr>
                <w:sz w:val="20"/>
                <w:szCs w:val="20"/>
                <w:color w:val="auto"/>
              </w:rPr>
            </w:pPr>
            <w:r>
              <w:rPr>
                <w:rFonts w:ascii="Arial" w:cs="Arial" w:eastAsia="Arial" w:hAnsi="Arial"/>
                <w:sz w:val="18"/>
                <w:szCs w:val="18"/>
                <w:color w:val="auto"/>
              </w:rPr>
              <w:t>Weighted average common shares outstanding—basic</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62,487,152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60,415,866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62,114,399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35,806,520</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0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Net (loss) income per share available to common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stockholders—diluted</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62,487,152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66,026,490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62,114,399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35,806,520</w:t>
            </w:r>
          </w:p>
        </w:tc>
        <w:tc>
          <w:tcPr>
            <w:tcW w:w="0" w:type="dxa"/>
            <w:vAlign w:val="bottom"/>
          </w:tcPr>
          <w:p>
            <w:pPr>
              <w:spacing w:after="0"/>
              <w:rPr>
                <w:sz w:val="1"/>
                <w:szCs w:val="1"/>
                <w:color w:val="auto"/>
              </w:rPr>
            </w:pPr>
          </w:p>
        </w:tc>
      </w:tr>
      <w:tr>
        <w:trPr>
          <w:trHeight w:val="190"/>
        </w:trPr>
        <w:tc>
          <w:tcPr>
            <w:tcW w:w="4600" w:type="dxa"/>
            <w:vAlign w:val="bottom"/>
          </w:tcPr>
          <w:p>
            <w:pPr>
              <w:ind w:left="180"/>
              <w:spacing w:after="0" w:line="190"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ind w:right="-439"/>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080" w:type="dxa"/>
            <w:vAlign w:val="bottom"/>
            <w:gridSpan w:val="4"/>
          </w:tcPr>
          <w:p>
            <w:pPr>
              <w:ind w:left="700"/>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26,</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14"/>
              <w:spacing w:after="0" w:line="158" w:lineRule="exact"/>
              <w:rPr>
                <w:sz w:val="20"/>
                <w:szCs w:val="20"/>
                <w:color w:val="auto"/>
              </w:rPr>
            </w:pPr>
            <w:r>
              <w:rPr>
                <w:rFonts w:ascii="Arial" w:cs="Arial" w:eastAsia="Arial" w:hAnsi="Arial"/>
                <w:sz w:val="16"/>
                <w:szCs w:val="16"/>
                <w:b w:val="1"/>
                <w:bCs w:val="1"/>
                <w:color w:val="auto"/>
              </w:rPr>
              <w:t>September 28,</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September 26,</w:t>
            </w: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54"/>
              <w:spacing w:after="0" w:line="158" w:lineRule="exact"/>
              <w:rPr>
                <w:sz w:val="20"/>
                <w:szCs w:val="20"/>
                <w:color w:val="auto"/>
              </w:rPr>
            </w:pPr>
            <w:r>
              <w:rPr>
                <w:rFonts w:ascii="Arial" w:cs="Arial" w:eastAsia="Arial" w:hAnsi="Arial"/>
                <w:sz w:val="16"/>
                <w:szCs w:val="16"/>
                <w:b w:val="1"/>
                <w:bCs w:val="1"/>
                <w:color w:val="auto"/>
              </w:rPr>
              <w:t>September 28,</w:t>
            </w:r>
          </w:p>
        </w:tc>
      </w:tr>
      <w:tr>
        <w:trPr>
          <w:trHeight w:val="215"/>
        </w:trPr>
        <w:tc>
          <w:tcPr>
            <w:tcW w:w="4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2019</w:t>
            </w:r>
          </w:p>
        </w:tc>
      </w:tr>
      <w:tr>
        <w:trPr>
          <w:trHeight w:val="224"/>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(27,675)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(11,991)</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 net of tax</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Comprehensive (loss) income, net of tax</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(27,197)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(11,991)</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413" w:right="7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1980" w:type="dxa"/>
            <w:vAlign w:val="bottom"/>
            <w:gridSpan w:val="5"/>
          </w:tcPr>
          <w:p>
            <w:pPr>
              <w:ind w:left="46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Accumulated Other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4"/>
        </w:trPr>
        <w:tc>
          <w:tcPr>
            <w:tcW w:w="44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tcPr>
          <w:p>
            <w:pPr>
              <w:jc w:val="center"/>
              <w:ind w:right="260"/>
              <w:spacing w:after="0" w:line="54" w:lineRule="exact"/>
              <w:rPr>
                <w:sz w:val="20"/>
                <w:szCs w:val="20"/>
                <w:color w:val="auto"/>
              </w:rPr>
            </w:pPr>
            <w:r>
              <w:rPr>
                <w:rFonts w:ascii="Arial" w:cs="Arial" w:eastAsia="Arial" w:hAnsi="Arial"/>
                <w:sz w:val="6"/>
                <w:szCs w:val="6"/>
                <w:b w:val="1"/>
                <w:bCs w:val="1"/>
                <w:color w:val="auto"/>
              </w:rPr>
              <w:t>Additional</w:t>
            </w:r>
          </w:p>
        </w:tc>
        <w:tc>
          <w:tcPr>
            <w:tcW w:w="120" w:type="dxa"/>
            <w:vAlign w:val="bottom"/>
          </w:tcPr>
          <w:p>
            <w:pPr>
              <w:spacing w:after="0"/>
              <w:rPr>
                <w:sz w:val="4"/>
                <w:szCs w:val="4"/>
                <w:color w:val="auto"/>
              </w:rPr>
            </w:pPr>
          </w:p>
        </w:tc>
        <w:tc>
          <w:tcPr>
            <w:tcW w:w="1140" w:type="dxa"/>
            <w:vAlign w:val="bottom"/>
            <w:gridSpan w:val="2"/>
          </w:tcPr>
          <w:p>
            <w:pPr>
              <w:ind w:left="40"/>
              <w:spacing w:after="0" w:line="54" w:lineRule="exact"/>
              <w:rPr>
                <w:sz w:val="20"/>
                <w:szCs w:val="20"/>
                <w:color w:val="auto"/>
              </w:rPr>
            </w:pPr>
            <w:r>
              <w:rPr>
                <w:rFonts w:ascii="Arial" w:cs="Arial" w:eastAsia="Arial" w:hAnsi="Arial"/>
                <w:sz w:val="6"/>
                <w:szCs w:val="6"/>
                <w:b w:val="1"/>
                <w:bCs w:val="1"/>
                <w:color w:val="auto"/>
              </w:rPr>
              <w:t>Accumulated</w:t>
            </w:r>
          </w:p>
        </w:tc>
        <w:tc>
          <w:tcPr>
            <w:tcW w:w="80" w:type="dxa"/>
            <w:vAlign w:val="bottom"/>
          </w:tcPr>
          <w:p>
            <w:pPr>
              <w:spacing w:after="0"/>
              <w:rPr>
                <w:sz w:val="4"/>
                <w:szCs w:val="4"/>
                <w:color w:val="auto"/>
              </w:rPr>
            </w:pPr>
          </w:p>
        </w:tc>
        <w:tc>
          <w:tcPr>
            <w:tcW w:w="1360" w:type="dxa"/>
            <w:vAlign w:val="bottom"/>
            <w:gridSpan w:val="2"/>
          </w:tcPr>
          <w:p>
            <w:pPr>
              <w:jc w:val="center"/>
              <w:ind w:right="200"/>
              <w:spacing w:after="0" w:line="54" w:lineRule="exact"/>
              <w:rPr>
                <w:sz w:val="20"/>
                <w:szCs w:val="20"/>
                <w:color w:val="auto"/>
              </w:rPr>
            </w:pPr>
            <w:r>
              <w:rPr>
                <w:rFonts w:ascii="Arial" w:cs="Arial" w:eastAsia="Arial" w:hAnsi="Arial"/>
                <w:sz w:val="6"/>
                <w:szCs w:val="6"/>
                <w:b w:val="1"/>
                <w:bCs w:val="1"/>
                <w:color w:val="auto"/>
              </w:rPr>
              <w:t>Comprehensive</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9"/>
        </w:trPr>
        <w:tc>
          <w:tcPr>
            <w:tcW w:w="44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Paid-in Capital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w w:val="95"/>
              </w:rPr>
              <w:t>(Loss) Income</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r>
      <w:tr>
        <w:trPr>
          <w:trHeight w:val="173"/>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61,576,494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526,199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(142,115)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384,090</w:t>
            </w:r>
          </w:p>
        </w:tc>
      </w:tr>
      <w:tr>
        <w:trPr>
          <w:trHeight w:val="168"/>
        </w:trPr>
        <w:tc>
          <w:tcPr>
            <w:tcW w:w="446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1,815</w:t>
            </w:r>
          </w:p>
        </w:tc>
      </w:tr>
      <w:tr>
        <w:trPr>
          <w:trHeight w:val="183"/>
        </w:trPr>
        <w:tc>
          <w:tcPr>
            <w:tcW w:w="4460" w:type="dxa"/>
            <w:vAlign w:val="bottom"/>
            <w:shd w:val="clear" w:color="auto" w:fill="CCEEFF"/>
          </w:tcPr>
          <w:p>
            <w:pPr>
              <w:ind w:left="80"/>
              <w:spacing w:after="0"/>
              <w:rPr>
                <w:sz w:val="20"/>
                <w:szCs w:val="20"/>
                <w:color w:val="auto"/>
              </w:rPr>
            </w:pPr>
            <w:r>
              <w:rPr>
                <w:rFonts w:ascii="Arial" w:cs="Arial" w:eastAsia="Arial" w:hAnsi="Arial"/>
                <w:sz w:val="13"/>
                <w:szCs w:val="13"/>
                <w:color w:val="auto"/>
              </w:rPr>
              <w:t>Issuance of common stock under equity incentive plans, net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280,883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w:t>
            </w:r>
          </w:p>
        </w:tc>
      </w:tr>
      <w:tr>
        <w:trPr>
          <w:trHeight w:val="169"/>
        </w:trPr>
        <w:tc>
          <w:tcPr>
            <w:tcW w:w="44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Share-based compensation for equity classified awards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5,074</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5,074</w:t>
            </w:r>
          </w:p>
        </w:tc>
      </w:tr>
      <w:tr>
        <w:trPr>
          <w:trHeight w:val="175"/>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28, 2020</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61,857,377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532,275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391,981</w:t>
            </w:r>
          </w:p>
        </w:tc>
      </w:tr>
      <w:tr>
        <w:trPr>
          <w:trHeight w:val="168"/>
        </w:trPr>
        <w:tc>
          <w:tcPr>
            <w:tcW w:w="4460" w:type="dxa"/>
            <w:vAlign w:val="bottom"/>
          </w:tcPr>
          <w:p>
            <w:pPr>
              <w:ind w:left="80"/>
              <w:spacing w:after="0"/>
              <w:rPr>
                <w:sz w:val="20"/>
                <w:szCs w:val="20"/>
                <w:color w:val="auto"/>
              </w:rPr>
            </w:pPr>
            <w:r>
              <w:rPr>
                <w:rFonts w:ascii="Arial" w:cs="Arial" w:eastAsia="Arial" w:hAnsi="Arial"/>
                <w:sz w:val="13"/>
                <w:szCs w:val="13"/>
                <w:color w:val="auto"/>
              </w:rPr>
              <w:t>Net loss</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(10,205)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(10,205)</w:t>
            </w:r>
          </w:p>
        </w:tc>
      </w:tr>
      <w:tr>
        <w:trPr>
          <w:trHeight w:val="183"/>
        </w:trPr>
        <w:tc>
          <w:tcPr>
            <w:tcW w:w="4460" w:type="dxa"/>
            <w:vAlign w:val="bottom"/>
            <w:shd w:val="clear" w:color="auto" w:fill="CCEEFF"/>
          </w:tcPr>
          <w:p>
            <w:pPr>
              <w:ind w:left="80"/>
              <w:spacing w:after="0"/>
              <w:rPr>
                <w:sz w:val="20"/>
                <w:szCs w:val="20"/>
                <w:color w:val="auto"/>
              </w:rPr>
            </w:pPr>
            <w:r>
              <w:rPr>
                <w:rFonts w:ascii="Arial" w:cs="Arial" w:eastAsia="Arial" w:hAnsi="Arial"/>
                <w:sz w:val="13"/>
                <w:szCs w:val="13"/>
                <w:color w:val="auto"/>
              </w:rPr>
              <w:t>Issuance of common stock under equity incentive plans, net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568,263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1,590</w:t>
            </w:r>
          </w:p>
        </w:tc>
      </w:tr>
      <w:tr>
        <w:trPr>
          <w:trHeight w:val="168"/>
        </w:trPr>
        <w:tc>
          <w:tcPr>
            <w:tcW w:w="4460" w:type="dxa"/>
            <w:vAlign w:val="bottom"/>
          </w:tcPr>
          <w:p>
            <w:pPr>
              <w:ind w:left="80"/>
              <w:spacing w:after="0"/>
              <w:rPr>
                <w:sz w:val="20"/>
                <w:szCs w:val="20"/>
                <w:color w:val="auto"/>
              </w:rPr>
            </w:pPr>
            <w:r>
              <w:rPr>
                <w:rFonts w:ascii="Arial" w:cs="Arial" w:eastAsia="Arial" w:hAnsi="Arial"/>
                <w:sz w:val="13"/>
                <w:szCs w:val="13"/>
                <w:color w:val="auto"/>
              </w:rPr>
              <w:t>Share-based compensation for equity classified awards</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6,711</w:t>
            </w:r>
          </w:p>
        </w:tc>
      </w:tr>
      <w:tr>
        <w:trPr>
          <w:trHeight w:val="184"/>
        </w:trPr>
        <w:tc>
          <w:tcPr>
            <w:tcW w:w="4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Foreign currency translation adjustment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r>
      <w:tr>
        <w:trPr>
          <w:trHeight w:val="161"/>
        </w:trPr>
        <w:tc>
          <w:tcPr>
            <w:tcW w:w="4460" w:type="dxa"/>
            <w:vAlign w:val="bottom"/>
          </w:tcPr>
          <w:p>
            <w:pPr>
              <w:ind w:left="20"/>
              <w:spacing w:after="0"/>
              <w:rPr>
                <w:sz w:val="20"/>
                <w:szCs w:val="20"/>
                <w:color w:val="auto"/>
              </w:rPr>
            </w:pPr>
            <w:r>
              <w:rPr>
                <w:rFonts w:ascii="Arial" w:cs="Arial" w:eastAsia="Arial" w:hAnsi="Arial"/>
                <w:sz w:val="13"/>
                <w:szCs w:val="13"/>
                <w:b w:val="1"/>
                <w:bCs w:val="1"/>
                <w:color w:val="auto"/>
              </w:rPr>
              <w:t>Balance at June 27, 2020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62,425,640</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540,576</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(150,505)</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389,910</w:t>
            </w:r>
          </w:p>
        </w:tc>
      </w:tr>
      <w:tr>
        <w:trPr>
          <w:trHeight w:val="183"/>
        </w:trPr>
        <w:tc>
          <w:tcPr>
            <w:tcW w:w="446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loss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(19,285)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(19,285)</w:t>
            </w:r>
          </w:p>
        </w:tc>
      </w:tr>
      <w:tr>
        <w:trPr>
          <w:trHeight w:val="168"/>
        </w:trPr>
        <w:tc>
          <w:tcPr>
            <w:tcW w:w="4460" w:type="dxa"/>
            <w:vAlign w:val="bottom"/>
          </w:tcPr>
          <w:p>
            <w:pPr>
              <w:ind w:left="80"/>
              <w:spacing w:after="0"/>
              <w:rPr>
                <w:sz w:val="20"/>
                <w:szCs w:val="20"/>
                <w:color w:val="auto"/>
              </w:rPr>
            </w:pPr>
            <w:r>
              <w:rPr>
                <w:rFonts w:ascii="Arial" w:cs="Arial" w:eastAsia="Arial" w:hAnsi="Arial"/>
                <w:sz w:val="13"/>
                <w:szCs w:val="13"/>
                <w:color w:val="auto"/>
              </w:rPr>
              <w:t>Issuance of common stock under equity incentive plans, net</w:t>
            </w:r>
          </w:p>
        </w:tc>
        <w:tc>
          <w:tcPr>
            <w:tcW w:w="1000" w:type="dxa"/>
            <w:vAlign w:val="bottom"/>
          </w:tcPr>
          <w:p>
            <w:pPr>
              <w:jc w:val="right"/>
              <w:spacing w:after="0"/>
              <w:rPr>
                <w:sz w:val="20"/>
                <w:szCs w:val="20"/>
                <w:color w:val="auto"/>
              </w:rPr>
            </w:pPr>
            <w:r>
              <w:rPr>
                <w:rFonts w:ascii="Arial" w:cs="Arial" w:eastAsia="Arial" w:hAnsi="Arial"/>
                <w:sz w:val="13"/>
                <w:szCs w:val="13"/>
                <w:color w:val="auto"/>
              </w:rPr>
              <w:t>199,989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2,162</w:t>
            </w:r>
          </w:p>
        </w:tc>
      </w:tr>
      <w:tr>
        <w:trPr>
          <w:trHeight w:val="183"/>
        </w:trPr>
        <w:tc>
          <w:tcPr>
            <w:tcW w:w="44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Share-based compensation for equity classified awards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5,968</w:t>
            </w:r>
          </w:p>
        </w:tc>
      </w:tr>
      <w:tr>
        <w:trPr>
          <w:trHeight w:val="169"/>
        </w:trPr>
        <w:tc>
          <w:tcPr>
            <w:tcW w:w="4460" w:type="dxa"/>
            <w:vAlign w:val="bottom"/>
          </w:tcPr>
          <w:p>
            <w:pPr>
              <w:ind w:left="60"/>
              <w:spacing w:after="0"/>
              <w:rPr>
                <w:sz w:val="20"/>
                <w:szCs w:val="20"/>
                <w:color w:val="auto"/>
              </w:rPr>
            </w:pPr>
            <w:r>
              <w:rPr>
                <w:rFonts w:ascii="Arial" w:cs="Arial" w:eastAsia="Arial" w:hAnsi="Arial"/>
                <w:sz w:val="13"/>
                <w:szCs w:val="13"/>
                <w:color w:val="auto"/>
              </w:rPr>
              <w:t>Foreign currency translation adjustment</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645</w:t>
            </w:r>
          </w:p>
        </w:tc>
      </w:tr>
      <w:tr>
        <w:trPr>
          <w:trHeight w:val="200"/>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26, 2020</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62,625,629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548,706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(169,790)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379,400</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2922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92290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60" w:type="dxa"/>
        <w:tblCellMar>
          <w:top w:w="0" w:type="dxa"/>
          <w:left w:w="0" w:type="dxa"/>
          <w:bottom w:w="0" w:type="dxa"/>
          <w:right w:w="0" w:type="dxa"/>
        </w:tblCellMar>
      </w:tblPr>
      <w:tr>
        <w:trPr>
          <w:trHeight w:val="177"/>
        </w:trPr>
        <w:tc>
          <w:tcPr>
            <w:tcW w:w="3680" w:type="dxa"/>
            <w:vAlign w:val="bottom"/>
          </w:tcPr>
          <w:p>
            <w:pPr>
              <w:spacing w:after="0"/>
              <w:rPr>
                <w:sz w:val="15"/>
                <w:szCs w:val="15"/>
                <w:color w:val="auto"/>
              </w:rPr>
            </w:pPr>
          </w:p>
        </w:tc>
        <w:tc>
          <w:tcPr>
            <w:tcW w:w="202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358"/>
        </w:trPr>
        <w:tc>
          <w:tcPr>
            <w:tcW w:w="3680" w:type="dxa"/>
            <w:vAlign w:val="bottom"/>
          </w:tcPr>
          <w:p>
            <w:pPr>
              <w:spacing w:after="0"/>
              <w:rPr>
                <w:sz w:val="24"/>
                <w:szCs w:val="24"/>
                <w:color w:val="auto"/>
              </w:rPr>
            </w:pPr>
          </w:p>
        </w:tc>
        <w:tc>
          <w:tcPr>
            <w:tcW w:w="118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24"/>
                <w:szCs w:val="24"/>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60"/>
        </w:trPr>
        <w:tc>
          <w:tcPr>
            <w:tcW w:w="3680" w:type="dxa"/>
            <w:vAlign w:val="bottom"/>
          </w:tcPr>
          <w:p>
            <w:pPr>
              <w:spacing w:after="0"/>
              <w:rPr>
                <w:sz w:val="20"/>
                <w:szCs w:val="20"/>
                <w:color w:val="auto"/>
              </w:rPr>
            </w:pPr>
            <w:r>
              <w:rPr>
                <w:rFonts w:ascii="Arial" w:cs="Arial" w:eastAsia="Arial" w:hAnsi="Arial"/>
                <w:sz w:val="13"/>
                <w:szCs w:val="13"/>
                <w:b w:val="1"/>
                <w:bCs w:val="1"/>
                <w:color w:val="auto"/>
              </w:rPr>
              <w:t>Balance at December 31, 2018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41,562,111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199,540</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Arial" w:cs="Arial" w:eastAsia="Arial" w:hAnsi="Arial"/>
                <w:sz w:val="13"/>
                <w:szCs w:val="13"/>
                <w:color w:val="auto"/>
              </w:rPr>
              <w:t>Issuance of common stock under equity incentive plans</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680" w:type="dxa"/>
            <w:vAlign w:val="bottom"/>
          </w:tcPr>
          <w:p>
            <w:pPr>
              <w:ind w:left="40"/>
              <w:spacing w:after="0"/>
              <w:rPr>
                <w:sz w:val="20"/>
                <w:szCs w:val="20"/>
                <w:color w:val="auto"/>
              </w:rPr>
            </w:pPr>
            <w:r>
              <w:rPr>
                <w:rFonts w:ascii="Arial" w:cs="Arial" w:eastAsia="Arial" w:hAnsi="Arial"/>
                <w:sz w:val="13"/>
                <w:szCs w:val="13"/>
                <w:color w:val="auto"/>
              </w:rPr>
              <w:t>Share-based compensation for equity classified awards</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680" w:type="dxa"/>
            <w:vAlign w:val="bottom"/>
          </w:tcPr>
          <w:p>
            <w:pPr>
              <w:spacing w:after="0"/>
              <w:rPr>
                <w:sz w:val="20"/>
                <w:szCs w:val="20"/>
                <w:color w:val="auto"/>
              </w:rPr>
            </w:pPr>
            <w:r>
              <w:rPr>
                <w:rFonts w:ascii="Arial" w:cs="Arial" w:eastAsia="Arial" w:hAnsi="Arial"/>
                <w:sz w:val="13"/>
                <w:szCs w:val="13"/>
                <w:b w:val="1"/>
                <w:bCs w:val="1"/>
                <w:color w:val="auto"/>
              </w:rPr>
              <w:t>Balance at March 30, 2019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41,562,111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199,540</w:t>
            </w:r>
          </w:p>
        </w:tc>
        <w:tc>
          <w:tcPr>
            <w:tcW w:w="0" w:type="dxa"/>
            <w:vAlign w:val="bottom"/>
          </w:tcPr>
          <w:p>
            <w:pPr>
              <w:spacing w:after="0"/>
              <w:rPr>
                <w:sz w:val="1"/>
                <w:szCs w:val="1"/>
                <w:color w:val="auto"/>
              </w:rPr>
            </w:pPr>
          </w:p>
        </w:tc>
      </w:tr>
      <w:tr>
        <w:trPr>
          <w:trHeight w:val="175"/>
        </w:trPr>
        <w:tc>
          <w:tcPr>
            <w:tcW w:w="3680" w:type="dxa"/>
            <w:vAlign w:val="bottom"/>
          </w:tcPr>
          <w:p>
            <w:pPr>
              <w:ind w:left="40"/>
              <w:spacing w:after="0"/>
              <w:rPr>
                <w:sz w:val="20"/>
                <w:szCs w:val="20"/>
                <w:color w:val="auto"/>
              </w:rPr>
            </w:pPr>
            <w:r>
              <w:rPr>
                <w:rFonts w:ascii="Arial" w:cs="Arial" w:eastAsia="Arial" w:hAnsi="Arial"/>
                <w:sz w:val="13"/>
                <w:szCs w:val="13"/>
                <w:color w:val="auto"/>
              </w:rPr>
              <w:t>Net loss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680" w:type="dxa"/>
            <w:vAlign w:val="bottom"/>
          </w:tcPr>
          <w:p>
            <w:pPr>
              <w:ind w:left="40"/>
              <w:spacing w:after="0" w:line="145" w:lineRule="exact"/>
              <w:rPr>
                <w:sz w:val="20"/>
                <w:szCs w:val="20"/>
                <w:color w:val="auto"/>
              </w:rPr>
            </w:pPr>
            <w:r>
              <w:rPr>
                <w:rFonts w:ascii="Arial" w:cs="Arial" w:eastAsia="Arial" w:hAnsi="Arial"/>
                <w:sz w:val="13"/>
                <w:szCs w:val="13"/>
                <w:color w:val="auto"/>
                <w:w w:val="99"/>
              </w:rPr>
              <w:t>Issuance of common stock pursuant to the IPO, net of issuance</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3680" w:type="dxa"/>
            <w:vAlign w:val="bottom"/>
          </w:tcPr>
          <w:p>
            <w:pPr>
              <w:ind w:left="120"/>
              <w:spacing w:after="0"/>
              <w:rPr>
                <w:sz w:val="20"/>
                <w:szCs w:val="20"/>
                <w:color w:val="auto"/>
              </w:rPr>
            </w:pPr>
            <w:r>
              <w:rPr>
                <w:rFonts w:ascii="Arial" w:cs="Arial" w:eastAsia="Arial" w:hAnsi="Arial"/>
                <w:sz w:val="13"/>
                <w:szCs w:val="13"/>
                <w:color w:val="auto"/>
              </w:rPr>
              <w:t>costs of $4.9 million</w:t>
            </w: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680" w:type="dxa"/>
            <w:vAlign w:val="bottom"/>
          </w:tcPr>
          <w:p>
            <w:pPr>
              <w:ind w:left="20"/>
              <w:spacing w:after="0" w:line="145" w:lineRule="exact"/>
              <w:rPr>
                <w:sz w:val="20"/>
                <w:szCs w:val="20"/>
                <w:color w:val="auto"/>
              </w:rPr>
            </w:pPr>
            <w:r>
              <w:rPr>
                <w:rFonts w:ascii="Arial" w:cs="Arial" w:eastAsia="Arial" w:hAnsi="Arial"/>
                <w:sz w:val="13"/>
                <w:szCs w:val="13"/>
                <w:color w:val="auto"/>
              </w:rPr>
              <w:t>Issuance of common stock upon conversion of convertible</w:t>
            </w:r>
          </w:p>
        </w:tc>
        <w:tc>
          <w:tcPr>
            <w:tcW w:w="1080" w:type="dxa"/>
            <w:vAlign w:val="bottom"/>
            <w:vMerge w:val="restart"/>
          </w:tcPr>
          <w:p>
            <w:pPr>
              <w:ind w:left="340"/>
              <w:spacing w:after="0"/>
              <w:rPr>
                <w:sz w:val="20"/>
                <w:szCs w:val="20"/>
                <w:color w:val="auto"/>
              </w:rPr>
            </w:pPr>
            <w:r>
              <w:rPr>
                <w:rFonts w:ascii="Arial" w:cs="Arial" w:eastAsia="Arial" w:hAnsi="Arial"/>
                <w:sz w:val="13"/>
                <w:szCs w:val="13"/>
                <w:color w:val="auto"/>
                <w:w w:val="97"/>
              </w:rPr>
              <w:t>(41,562,111)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(199,540)</w:t>
            </w:r>
          </w:p>
        </w:tc>
        <w:tc>
          <w:tcPr>
            <w:tcW w:w="0" w:type="dxa"/>
            <w:vAlign w:val="bottom"/>
          </w:tcPr>
          <w:p>
            <w:pPr>
              <w:spacing w:after="0"/>
              <w:rPr>
                <w:sz w:val="1"/>
                <w:szCs w:val="1"/>
                <w:color w:val="auto"/>
              </w:rPr>
            </w:pPr>
          </w:p>
        </w:tc>
      </w:tr>
      <w:tr>
        <w:trPr>
          <w:trHeight w:val="152"/>
        </w:trPr>
        <w:tc>
          <w:tcPr>
            <w:tcW w:w="3680" w:type="dxa"/>
            <w:vAlign w:val="bottom"/>
          </w:tcPr>
          <w:p>
            <w:pPr>
              <w:ind w:left="120"/>
              <w:spacing w:after="0"/>
              <w:rPr>
                <w:sz w:val="20"/>
                <w:szCs w:val="20"/>
                <w:color w:val="auto"/>
              </w:rPr>
            </w:pPr>
            <w:r>
              <w:rPr>
                <w:rFonts w:ascii="Arial" w:cs="Arial" w:eastAsia="Arial" w:hAnsi="Arial"/>
                <w:sz w:val="13"/>
                <w:szCs w:val="13"/>
                <w:color w:val="auto"/>
              </w:rPr>
              <w:t>preferred stock</w:t>
            </w: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680" w:type="dxa"/>
            <w:vAlign w:val="bottom"/>
          </w:tcPr>
          <w:p>
            <w:pPr>
              <w:ind w:left="20"/>
              <w:spacing w:after="0" w:line="145" w:lineRule="exact"/>
              <w:rPr>
                <w:sz w:val="20"/>
                <w:szCs w:val="20"/>
                <w:color w:val="auto"/>
              </w:rPr>
            </w:pPr>
            <w:r>
              <w:rPr>
                <w:rFonts w:ascii="Arial" w:cs="Arial" w:eastAsia="Arial" w:hAnsi="Arial"/>
                <w:sz w:val="13"/>
                <w:szCs w:val="13"/>
                <w:color w:val="auto"/>
              </w:rPr>
              <w:t>Issuance of common stock upon exercise of common stock</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3680" w:type="dxa"/>
            <w:vAlign w:val="bottom"/>
          </w:tcPr>
          <w:p>
            <w:pPr>
              <w:ind w:left="120"/>
              <w:spacing w:after="0"/>
              <w:rPr>
                <w:sz w:val="20"/>
                <w:szCs w:val="20"/>
                <w:color w:val="auto"/>
              </w:rPr>
            </w:pPr>
            <w:r>
              <w:rPr>
                <w:rFonts w:ascii="Arial" w:cs="Arial" w:eastAsia="Arial" w:hAnsi="Arial"/>
                <w:sz w:val="13"/>
                <w:szCs w:val="13"/>
                <w:color w:val="auto"/>
              </w:rPr>
              <w:t>warrants</w:t>
            </w: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680" w:type="dxa"/>
            <w:vAlign w:val="bottom"/>
          </w:tcPr>
          <w:p>
            <w:pPr>
              <w:ind w:left="20"/>
              <w:spacing w:after="0" w:line="145" w:lineRule="exact"/>
              <w:rPr>
                <w:sz w:val="20"/>
                <w:szCs w:val="20"/>
                <w:color w:val="auto"/>
              </w:rPr>
            </w:pPr>
            <w:r>
              <w:rPr>
                <w:rFonts w:ascii="Arial" w:cs="Arial" w:eastAsia="Arial" w:hAnsi="Arial"/>
                <w:sz w:val="13"/>
                <w:szCs w:val="13"/>
                <w:color w:val="auto"/>
              </w:rPr>
              <w:t>Reclassification of warrant liability to additional paid-in capital</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3680" w:type="dxa"/>
            <w:vAlign w:val="bottom"/>
          </w:tcPr>
          <w:p>
            <w:pPr>
              <w:ind w:left="120"/>
              <w:spacing w:after="0"/>
              <w:rPr>
                <w:sz w:val="20"/>
                <w:szCs w:val="20"/>
                <w:color w:val="auto"/>
              </w:rPr>
            </w:pPr>
            <w:r>
              <w:rPr>
                <w:rFonts w:ascii="Arial" w:cs="Arial" w:eastAsia="Arial" w:hAnsi="Arial"/>
                <w:sz w:val="13"/>
                <w:szCs w:val="13"/>
                <w:color w:val="auto"/>
              </w:rPr>
              <w:t>upon closing of the initial public offering</w:t>
            </w: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40"/>
              <w:spacing w:after="0"/>
              <w:rPr>
                <w:sz w:val="20"/>
                <w:szCs w:val="20"/>
                <w:color w:val="auto"/>
              </w:rPr>
            </w:pPr>
            <w:r>
              <w:rPr>
                <w:rFonts w:ascii="Arial" w:cs="Arial" w:eastAsia="Arial" w:hAnsi="Arial"/>
                <w:sz w:val="13"/>
                <w:szCs w:val="13"/>
                <w:color w:val="auto"/>
              </w:rPr>
              <w:t>Issuance of common stock under equity incentive plans</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680" w:type="dxa"/>
            <w:vAlign w:val="bottom"/>
          </w:tcPr>
          <w:p>
            <w:pPr>
              <w:ind w:left="40"/>
              <w:spacing w:after="0"/>
              <w:rPr>
                <w:sz w:val="20"/>
                <w:szCs w:val="20"/>
                <w:color w:val="auto"/>
              </w:rPr>
            </w:pPr>
            <w:r>
              <w:rPr>
                <w:rFonts w:ascii="Arial" w:cs="Arial" w:eastAsia="Arial" w:hAnsi="Arial"/>
                <w:sz w:val="13"/>
                <w:szCs w:val="13"/>
                <w:color w:val="auto"/>
              </w:rPr>
              <w:t>Share-based compensation for equity classified awards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680" w:type="dxa"/>
            <w:vAlign w:val="bottom"/>
          </w:tcPr>
          <w:p>
            <w:pPr>
              <w:spacing w:after="0"/>
              <w:rPr>
                <w:sz w:val="20"/>
                <w:szCs w:val="20"/>
                <w:color w:val="auto"/>
              </w:rPr>
            </w:pPr>
            <w:r>
              <w:rPr>
                <w:rFonts w:ascii="Arial" w:cs="Arial" w:eastAsia="Arial" w:hAnsi="Arial"/>
                <w:sz w:val="13"/>
                <w:szCs w:val="13"/>
                <w:b w:val="1"/>
                <w:bCs w:val="1"/>
                <w:color w:val="auto"/>
              </w:rPr>
              <w:t>Balance at June 29, 2019</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3680" w:type="dxa"/>
            <w:vAlign w:val="bottom"/>
          </w:tcPr>
          <w:p>
            <w:pPr>
              <w:ind w:left="40"/>
              <w:spacing w:after="0" w:line="145" w:lineRule="exact"/>
              <w:rPr>
                <w:sz w:val="20"/>
                <w:szCs w:val="20"/>
                <w:color w:val="auto"/>
              </w:rPr>
            </w:pPr>
            <w:r>
              <w:rPr>
                <w:rFonts w:ascii="Arial" w:cs="Arial" w:eastAsia="Arial" w:hAnsi="Arial"/>
                <w:sz w:val="13"/>
                <w:szCs w:val="13"/>
                <w:color w:val="auto"/>
              </w:rPr>
              <w:t>Issuance of common stock pursuant to the secondary public</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3680" w:type="dxa"/>
            <w:vAlign w:val="bottom"/>
          </w:tcPr>
          <w:p>
            <w:pPr>
              <w:ind w:left="120"/>
              <w:spacing w:after="0"/>
              <w:rPr>
                <w:sz w:val="20"/>
                <w:szCs w:val="20"/>
                <w:color w:val="auto"/>
              </w:rPr>
            </w:pPr>
            <w:r>
              <w:rPr>
                <w:rFonts w:ascii="Arial" w:cs="Arial" w:eastAsia="Arial" w:hAnsi="Arial"/>
                <w:sz w:val="13"/>
                <w:szCs w:val="13"/>
                <w:color w:val="auto"/>
              </w:rPr>
              <w:t>offering, net of offering costs of $1.1 million</w:t>
            </w: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Arial" w:cs="Arial" w:eastAsia="Arial" w:hAnsi="Arial"/>
                <w:sz w:val="13"/>
                <w:szCs w:val="13"/>
                <w:color w:val="auto"/>
              </w:rPr>
              <w:t>Issuance of common stock under equity incentive plans</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680" w:type="dxa"/>
            <w:vAlign w:val="bottom"/>
          </w:tcPr>
          <w:p>
            <w:pPr>
              <w:ind w:left="40"/>
              <w:spacing w:after="0"/>
              <w:rPr>
                <w:sz w:val="20"/>
                <w:szCs w:val="20"/>
                <w:color w:val="auto"/>
              </w:rPr>
            </w:pPr>
            <w:r>
              <w:rPr>
                <w:rFonts w:ascii="Arial" w:cs="Arial" w:eastAsia="Arial" w:hAnsi="Arial"/>
                <w:sz w:val="13"/>
                <w:szCs w:val="13"/>
                <w:color w:val="auto"/>
              </w:rPr>
              <w:t>Share-based compensation for equity classified awards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20"/>
                <w:szCs w:val="20"/>
                <w:color w:val="auto"/>
              </w:rPr>
            </w:pPr>
            <w:r>
              <w:rPr>
                <w:rFonts w:ascii="Arial" w:cs="Arial" w:eastAsia="Arial" w:hAnsi="Arial"/>
                <w:sz w:val="13"/>
                <w:szCs w:val="13"/>
                <w:b w:val="1"/>
                <w:bCs w:val="1"/>
                <w:color w:val="auto"/>
              </w:rPr>
              <w:t>Balance at September 28, 2019</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90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6"/>
                <w:szCs w:val="16"/>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16"/>
                <w:szCs w:val="16"/>
                <w:color w:val="auto"/>
              </w:rPr>
            </w:pPr>
          </w:p>
        </w:tc>
        <w:tc>
          <w:tcPr>
            <w:tcW w:w="70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Paid-in Capital</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6,951,350</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7,921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(129,672)</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(121,750)</w:t>
            </w:r>
          </w:p>
        </w:tc>
        <w:tc>
          <w:tcPr>
            <w:tcW w:w="0" w:type="dxa"/>
            <w:vAlign w:val="bottom"/>
          </w:tcPr>
          <w:p>
            <w:pPr>
              <w:spacing w:after="0"/>
              <w:rPr>
                <w:sz w:val="1"/>
                <w:szCs w:val="1"/>
                <w:color w:val="auto"/>
              </w:rPr>
            </w:pPr>
          </w:p>
        </w:tc>
      </w:tr>
      <w:tr>
        <w:trPr>
          <w:trHeight w:val="175"/>
        </w:trPr>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(6,649)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(6,649)</w:t>
            </w:r>
          </w:p>
        </w:tc>
        <w:tc>
          <w:tcPr>
            <w:tcW w:w="0" w:type="dxa"/>
            <w:vAlign w:val="bottom"/>
          </w:tcPr>
          <w:p>
            <w:pPr>
              <w:spacing w:after="0"/>
              <w:rPr>
                <w:sz w:val="1"/>
                <w:szCs w:val="1"/>
                <w:color w:val="auto"/>
              </w:rPr>
            </w:pPr>
          </w:p>
        </w:tc>
      </w:tr>
      <w:tr>
        <w:trPr>
          <w:trHeight w:val="175"/>
        </w:trPr>
        <w:tc>
          <w:tcPr>
            <w:tcW w:w="1040" w:type="dxa"/>
            <w:vAlign w:val="bottom"/>
          </w:tcPr>
          <w:p>
            <w:pPr>
              <w:jc w:val="right"/>
              <w:spacing w:after="0"/>
              <w:rPr>
                <w:sz w:val="20"/>
                <w:szCs w:val="20"/>
                <w:color w:val="auto"/>
              </w:rPr>
            </w:pPr>
            <w:r>
              <w:rPr>
                <w:rFonts w:ascii="Arial" w:cs="Arial" w:eastAsia="Arial" w:hAnsi="Arial"/>
                <w:sz w:val="13"/>
                <w:szCs w:val="13"/>
                <w:color w:val="auto"/>
              </w:rPr>
              <w:t>169,583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185"/>
        </w:trPr>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160"/>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7,120,933</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9,142</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(136,321)</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(127,178)</w:t>
            </w:r>
          </w:p>
        </w:tc>
        <w:tc>
          <w:tcPr>
            <w:tcW w:w="0" w:type="dxa"/>
            <w:vAlign w:val="bottom"/>
          </w:tcPr>
          <w:p>
            <w:pPr>
              <w:spacing w:after="0"/>
              <w:rPr>
                <w:sz w:val="1"/>
                <w:szCs w:val="1"/>
                <w:color w:val="auto"/>
              </w:rPr>
            </w:pPr>
          </w:p>
        </w:tc>
      </w:tr>
      <w:tr>
        <w:trPr>
          <w:trHeight w:val="175"/>
        </w:trPr>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(9,441)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(9,441)</w:t>
            </w:r>
          </w:p>
        </w:tc>
        <w:tc>
          <w:tcPr>
            <w:tcW w:w="0" w:type="dxa"/>
            <w:vAlign w:val="bottom"/>
          </w:tcPr>
          <w:p>
            <w:pPr>
              <w:spacing w:after="0"/>
              <w:rPr>
                <w:sz w:val="1"/>
                <w:szCs w:val="1"/>
                <w:color w:val="auto"/>
              </w:rPr>
            </w:pPr>
          </w:p>
        </w:tc>
      </w:tr>
      <w:tr>
        <w:trPr>
          <w:trHeight w:val="297"/>
        </w:trPr>
        <w:tc>
          <w:tcPr>
            <w:tcW w:w="1040" w:type="dxa"/>
            <w:vAlign w:val="bottom"/>
          </w:tcPr>
          <w:p>
            <w:pPr>
              <w:jc w:val="right"/>
              <w:spacing w:after="0"/>
              <w:rPr>
                <w:sz w:val="20"/>
                <w:szCs w:val="20"/>
                <w:color w:val="auto"/>
              </w:rPr>
            </w:pPr>
            <w:r>
              <w:rPr>
                <w:rFonts w:ascii="Arial" w:cs="Arial" w:eastAsia="Arial" w:hAnsi="Arial"/>
                <w:sz w:val="13"/>
                <w:szCs w:val="13"/>
                <w:color w:val="auto"/>
              </w:rPr>
              <w:t>11,068,750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252,452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252,453</w:t>
            </w:r>
          </w:p>
        </w:tc>
        <w:tc>
          <w:tcPr>
            <w:tcW w:w="0" w:type="dxa"/>
            <w:vAlign w:val="bottom"/>
          </w:tcPr>
          <w:p>
            <w:pPr>
              <w:spacing w:after="0"/>
              <w:rPr>
                <w:sz w:val="1"/>
                <w:szCs w:val="1"/>
                <w:color w:val="auto"/>
              </w:rPr>
            </w:pPr>
          </w:p>
        </w:tc>
      </w:tr>
      <w:tr>
        <w:trPr>
          <w:trHeight w:val="297"/>
        </w:trPr>
        <w:tc>
          <w:tcPr>
            <w:tcW w:w="1040" w:type="dxa"/>
            <w:vAlign w:val="bottom"/>
          </w:tcPr>
          <w:p>
            <w:pPr>
              <w:jc w:val="right"/>
              <w:spacing w:after="0"/>
              <w:rPr>
                <w:sz w:val="20"/>
                <w:szCs w:val="20"/>
                <w:color w:val="auto"/>
              </w:rPr>
            </w:pPr>
            <w:r>
              <w:rPr>
                <w:rFonts w:ascii="Arial" w:cs="Arial" w:eastAsia="Arial" w:hAnsi="Arial"/>
                <w:sz w:val="13"/>
                <w:szCs w:val="13"/>
                <w:color w:val="auto"/>
              </w:rPr>
              <w:t>41,562,111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199,536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199,540</w:t>
            </w:r>
          </w:p>
        </w:tc>
        <w:tc>
          <w:tcPr>
            <w:tcW w:w="0" w:type="dxa"/>
            <w:vAlign w:val="bottom"/>
          </w:tcPr>
          <w:p>
            <w:pPr>
              <w:spacing w:after="0"/>
              <w:rPr>
                <w:sz w:val="1"/>
                <w:szCs w:val="1"/>
                <w:color w:val="auto"/>
              </w:rPr>
            </w:pPr>
          </w:p>
        </w:tc>
      </w:tr>
      <w:tr>
        <w:trPr>
          <w:trHeight w:val="297"/>
        </w:trPr>
        <w:tc>
          <w:tcPr>
            <w:tcW w:w="1040" w:type="dxa"/>
            <w:vAlign w:val="bottom"/>
          </w:tcPr>
          <w:p>
            <w:pPr>
              <w:jc w:val="right"/>
              <w:spacing w:after="0"/>
              <w:rPr>
                <w:sz w:val="20"/>
                <w:szCs w:val="20"/>
                <w:color w:val="auto"/>
              </w:rPr>
            </w:pPr>
            <w:r>
              <w:rPr>
                <w:rFonts w:ascii="Arial" w:cs="Arial" w:eastAsia="Arial" w:hAnsi="Arial"/>
                <w:sz w:val="13"/>
                <w:szCs w:val="13"/>
                <w:color w:val="auto"/>
              </w:rPr>
              <w:t>214,875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7"/>
        </w:trPr>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14,421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14,421</w:t>
            </w:r>
          </w:p>
        </w:tc>
        <w:tc>
          <w:tcPr>
            <w:tcW w:w="0" w:type="dxa"/>
            <w:vAlign w:val="bottom"/>
          </w:tcPr>
          <w:p>
            <w:pPr>
              <w:spacing w:after="0"/>
              <w:rPr>
                <w:sz w:val="1"/>
                <w:szCs w:val="1"/>
                <w:color w:val="auto"/>
              </w:rPr>
            </w:pPr>
          </w:p>
        </w:tc>
      </w:tr>
      <w:tr>
        <w:trPr>
          <w:trHeight w:val="175"/>
        </w:trPr>
        <w:tc>
          <w:tcPr>
            <w:tcW w:w="1040" w:type="dxa"/>
            <w:vAlign w:val="bottom"/>
          </w:tcPr>
          <w:p>
            <w:pPr>
              <w:jc w:val="right"/>
              <w:spacing w:after="0"/>
              <w:rPr>
                <w:sz w:val="20"/>
                <w:szCs w:val="20"/>
                <w:color w:val="auto"/>
              </w:rPr>
            </w:pPr>
            <w:r>
              <w:rPr>
                <w:rFonts w:ascii="Arial" w:cs="Arial" w:eastAsia="Arial" w:hAnsi="Arial"/>
                <w:sz w:val="13"/>
                <w:szCs w:val="13"/>
                <w:color w:val="auto"/>
              </w:rPr>
              <w:t>200,852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85"/>
        </w:trPr>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1,823</w:t>
            </w:r>
          </w:p>
        </w:tc>
        <w:tc>
          <w:tcPr>
            <w:tcW w:w="0" w:type="dxa"/>
            <w:vAlign w:val="bottom"/>
          </w:tcPr>
          <w:p>
            <w:pPr>
              <w:spacing w:after="0"/>
              <w:rPr>
                <w:sz w:val="1"/>
                <w:szCs w:val="1"/>
                <w:color w:val="auto"/>
              </w:rPr>
            </w:pPr>
          </w:p>
        </w:tc>
      </w:tr>
      <w:tr>
        <w:trPr>
          <w:trHeight w:val="160"/>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60,167,521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477,541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(145,762)</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331,785</w:t>
            </w:r>
          </w:p>
        </w:tc>
        <w:tc>
          <w:tcPr>
            <w:tcW w:w="0" w:type="dxa"/>
            <w:vAlign w:val="bottom"/>
          </w:tcPr>
          <w:p>
            <w:pPr>
              <w:spacing w:after="0"/>
              <w:rPr>
                <w:sz w:val="1"/>
                <w:szCs w:val="1"/>
                <w:color w:val="auto"/>
              </w:rPr>
            </w:pPr>
          </w:p>
        </w:tc>
      </w:tr>
      <w:tr>
        <w:trPr>
          <w:trHeight w:val="175"/>
        </w:trPr>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4,099</w:t>
            </w:r>
          </w:p>
        </w:tc>
        <w:tc>
          <w:tcPr>
            <w:tcW w:w="0" w:type="dxa"/>
            <w:vAlign w:val="bottom"/>
          </w:tcPr>
          <w:p>
            <w:pPr>
              <w:spacing w:after="0"/>
              <w:rPr>
                <w:sz w:val="1"/>
                <w:szCs w:val="1"/>
                <w:color w:val="auto"/>
              </w:rPr>
            </w:pPr>
          </w:p>
        </w:tc>
      </w:tr>
      <w:tr>
        <w:trPr>
          <w:trHeight w:val="297"/>
        </w:trPr>
        <w:tc>
          <w:tcPr>
            <w:tcW w:w="1040" w:type="dxa"/>
            <w:vAlign w:val="bottom"/>
          </w:tcPr>
          <w:p>
            <w:pPr>
              <w:jc w:val="right"/>
              <w:spacing w:after="0"/>
              <w:rPr>
                <w:sz w:val="20"/>
                <w:szCs w:val="20"/>
                <w:color w:val="auto"/>
              </w:rPr>
            </w:pPr>
            <w:r>
              <w:rPr>
                <w:rFonts w:ascii="Arial" w:cs="Arial" w:eastAsia="Arial" w:hAnsi="Arial"/>
                <w:sz w:val="13"/>
                <w:szCs w:val="13"/>
                <w:color w:val="auto"/>
              </w:rPr>
              <w:t>250,000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37,450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37,450</w:t>
            </w:r>
          </w:p>
        </w:tc>
        <w:tc>
          <w:tcPr>
            <w:tcW w:w="0" w:type="dxa"/>
            <w:vAlign w:val="bottom"/>
          </w:tcPr>
          <w:p>
            <w:pPr>
              <w:spacing w:after="0"/>
              <w:rPr>
                <w:sz w:val="1"/>
                <w:szCs w:val="1"/>
                <w:color w:val="auto"/>
              </w:rPr>
            </w:pPr>
          </w:p>
        </w:tc>
      </w:tr>
      <w:tr>
        <w:trPr>
          <w:trHeight w:val="175"/>
        </w:trPr>
        <w:tc>
          <w:tcPr>
            <w:tcW w:w="1040" w:type="dxa"/>
            <w:vAlign w:val="bottom"/>
          </w:tcPr>
          <w:p>
            <w:pPr>
              <w:jc w:val="right"/>
              <w:spacing w:after="0"/>
              <w:rPr>
                <w:sz w:val="20"/>
                <w:szCs w:val="20"/>
                <w:color w:val="auto"/>
              </w:rPr>
            </w:pPr>
            <w:r>
              <w:rPr>
                <w:rFonts w:ascii="Arial" w:cs="Arial" w:eastAsia="Arial" w:hAnsi="Arial"/>
                <w:sz w:val="13"/>
                <w:szCs w:val="13"/>
                <w:color w:val="auto"/>
              </w:rPr>
              <w:t>148,319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85"/>
        </w:trPr>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3,129</w:t>
            </w:r>
          </w:p>
        </w:tc>
        <w:tc>
          <w:tcPr>
            <w:tcW w:w="0" w:type="dxa"/>
            <w:vAlign w:val="bottom"/>
          </w:tcPr>
          <w:p>
            <w:pPr>
              <w:spacing w:after="0"/>
              <w:rPr>
                <w:sz w:val="1"/>
                <w:szCs w:val="1"/>
                <w:color w:val="auto"/>
              </w:rPr>
            </w:pPr>
          </w:p>
        </w:tc>
      </w:tr>
      <w:tr>
        <w:trPr>
          <w:trHeight w:val="169"/>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60,565,840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518,485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(141,663)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376,828</w:t>
            </w:r>
          </w:p>
        </w:tc>
        <w:tc>
          <w:tcPr>
            <w:tcW w:w="0" w:type="dxa"/>
            <w:vAlign w:val="bottom"/>
          </w:tcPr>
          <w:p>
            <w:pPr>
              <w:spacing w:after="0"/>
              <w:rPr>
                <w:sz w:val="1"/>
                <w:szCs w:val="1"/>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760" w:space="220"/>
            <w:col w:w="5260"/>
          </w:cols>
          <w:pgMar w:left="320" w:top="1089" w:right="339" w:bottom="1440" w:gutter="0" w:footer="0" w:header="0"/>
          <w:type w:val="continuous"/>
        </w:sect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1" w:name="page12"/>
    <w:bookmarkEnd w:id="11"/>
    <w:p>
      <w:pPr>
        <w:ind w:left="4580"/>
        <w:spacing w:after="0"/>
        <w:rPr>
          <w:sz w:val="20"/>
          <w:szCs w:val="20"/>
          <w:color w:val="auto"/>
        </w:rPr>
      </w:pPr>
      <w:r>
        <w:rPr>
          <w:rFonts w:ascii="Arial" w:cs="Arial" w:eastAsia="Arial" w:hAnsi="Arial"/>
          <w:sz w:val="18"/>
          <w:szCs w:val="18"/>
          <w:b w:val="1"/>
          <w:bCs w:val="1"/>
          <w:color w:val="auto"/>
        </w:rPr>
        <w:t>BEYOND MEAT, INC.</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(In thousands)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7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ind w:left="100"/>
              <w:spacing w:after="0" w:line="156" w:lineRule="exact"/>
              <w:rPr>
                <w:sz w:val="20"/>
                <w:szCs w:val="20"/>
                <w:color w:val="auto"/>
              </w:rPr>
            </w:pPr>
            <w:r>
              <w:rPr>
                <w:rFonts w:ascii="Arial" w:cs="Arial" w:eastAsia="Arial" w:hAnsi="Arial"/>
                <w:sz w:val="16"/>
                <w:szCs w:val="16"/>
                <w:b w:val="1"/>
                <w:bCs w:val="1"/>
                <w:color w:val="auto"/>
              </w:rPr>
              <w:t>September 26,</w:t>
            </w:r>
          </w:p>
        </w:tc>
        <w:tc>
          <w:tcPr>
            <w:tcW w:w="220" w:type="dxa"/>
            <w:vAlign w:val="bottom"/>
          </w:tcPr>
          <w:p>
            <w:pPr>
              <w:spacing w:after="0"/>
              <w:rPr>
                <w:sz w:val="13"/>
                <w:szCs w:val="13"/>
                <w:color w:val="auto"/>
              </w:rPr>
            </w:pPr>
          </w:p>
        </w:tc>
        <w:tc>
          <w:tcPr>
            <w:tcW w:w="1540" w:type="dxa"/>
            <w:vAlign w:val="bottom"/>
          </w:tcPr>
          <w:p>
            <w:pPr>
              <w:jc w:val="right"/>
              <w:ind w:right="251"/>
              <w:spacing w:after="0" w:line="156" w:lineRule="exact"/>
              <w:rPr>
                <w:sz w:val="20"/>
                <w:szCs w:val="20"/>
                <w:color w:val="auto"/>
              </w:rPr>
            </w:pPr>
            <w:r>
              <w:rPr>
                <w:rFonts w:ascii="Arial" w:cs="Arial" w:eastAsia="Arial" w:hAnsi="Arial"/>
                <w:sz w:val="16"/>
                <w:szCs w:val="16"/>
                <w:b w:val="1"/>
                <w:bCs w:val="1"/>
                <w:color w:val="auto"/>
              </w:rPr>
              <w:t>September 28,</w:t>
            </w:r>
          </w:p>
        </w:tc>
      </w:tr>
      <w:tr>
        <w:trPr>
          <w:trHeight w:val="215"/>
        </w:trPr>
        <w:tc>
          <w:tcPr>
            <w:tcW w:w="7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2019</w:t>
            </w:r>
          </w:p>
        </w:tc>
      </w:tr>
      <w:tr>
        <w:trPr>
          <w:trHeight w:val="21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73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(27,675)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(11,991)</w:t>
            </w:r>
          </w:p>
        </w:tc>
      </w:tr>
      <w:tr>
        <w:trPr>
          <w:trHeight w:val="229"/>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3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5,980</w:t>
            </w:r>
          </w:p>
        </w:tc>
      </w:tr>
      <w:tr>
        <w:trPr>
          <w:trHeight w:val="230"/>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lease expense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34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5,807</w:t>
            </w:r>
          </w:p>
        </w:tc>
      </w:tr>
      <w:tr>
        <w:trPr>
          <w:trHeight w:val="229"/>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of fixed assets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124</w:t>
            </w:r>
          </w:p>
        </w:tc>
      </w:tr>
      <w:tr>
        <w:trPr>
          <w:trHeight w:val="229"/>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340"/>
              <w:spacing w:after="0"/>
              <w:rPr>
                <w:sz w:val="20"/>
                <w:szCs w:val="20"/>
                <w:color w:val="auto"/>
              </w:rPr>
            </w:pPr>
            <w:r>
              <w:rPr>
                <w:rFonts w:ascii="Arial" w:cs="Arial" w:eastAsia="Arial" w:hAnsi="Arial"/>
                <w:sz w:val="18"/>
                <w:szCs w:val="18"/>
                <w:color w:val="auto"/>
              </w:rPr>
              <w:t>Change in preferred and common stock warrant liabilities</w:t>
            </w:r>
          </w:p>
        </w:tc>
        <w:tc>
          <w:tcPr>
            <w:tcW w:w="2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12,503</w:t>
            </w:r>
          </w:p>
        </w:tc>
      </w:tr>
      <w:tr>
        <w:trPr>
          <w:trHeight w:val="229"/>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change in operating assets and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3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10,365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(21,856)</w:t>
            </w:r>
          </w:p>
        </w:tc>
      </w:tr>
      <w:tr>
        <w:trPr>
          <w:trHeight w:val="230"/>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(30,013)</w:t>
            </w:r>
          </w:p>
        </w:tc>
      </w:tr>
      <w:tr>
        <w:trPr>
          <w:trHeight w:val="229"/>
        </w:trPr>
        <w:tc>
          <w:tcPr>
            <w:tcW w:w="734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(1,878)</w:t>
            </w:r>
          </w:p>
        </w:tc>
      </w:tr>
      <w:tr>
        <w:trPr>
          <w:trHeight w:val="229"/>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20,206</w:t>
            </w:r>
          </w:p>
        </w:tc>
      </w:tr>
      <w:tr>
        <w:trPr>
          <w:trHeight w:val="230"/>
        </w:trPr>
        <w:tc>
          <w:tcPr>
            <w:tcW w:w="73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2,768</w:t>
            </w:r>
          </w:p>
        </w:tc>
      </w:tr>
      <w:tr>
        <w:trPr>
          <w:trHeight w:val="229"/>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340"/>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23"/>
        </w:trPr>
        <w:tc>
          <w:tcPr>
            <w:tcW w:w="73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(18,339)</w:t>
            </w:r>
          </w:p>
        </w:tc>
      </w:tr>
      <w:tr>
        <w:trPr>
          <w:trHeight w:val="210"/>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w:t>
            </w: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Proceeds from sale of fixed assets</w:t>
            </w:r>
          </w:p>
        </w:tc>
        <w:tc>
          <w:tcPr>
            <w:tcW w:w="2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307</w:t>
            </w:r>
          </w:p>
        </w:tc>
      </w:tr>
      <w:tr>
        <w:trPr>
          <w:trHeight w:val="229"/>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 held for sale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w:t>
            </w:r>
          </w:p>
        </w:tc>
      </w:tr>
      <w:tr>
        <w:trPr>
          <w:trHeight w:val="230"/>
        </w:trPr>
        <w:tc>
          <w:tcPr>
            <w:tcW w:w="7340" w:type="dxa"/>
            <w:vAlign w:val="bottom"/>
          </w:tcPr>
          <w:p>
            <w:pPr>
              <w:ind w:left="160"/>
              <w:spacing w:after="0"/>
              <w:rPr>
                <w:sz w:val="20"/>
                <w:szCs w:val="20"/>
                <w:color w:val="auto"/>
              </w:rPr>
            </w:pPr>
            <w:r>
              <w:rPr>
                <w:rFonts w:ascii="Arial" w:cs="Arial" w:eastAsia="Arial" w:hAnsi="Arial"/>
                <w:sz w:val="18"/>
                <w:szCs w:val="18"/>
                <w:color w:val="auto"/>
              </w:rPr>
              <w:t>Proceeds from note receivable on assets previously held for sale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security deposits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23"/>
        </w:trPr>
        <w:tc>
          <w:tcPr>
            <w:tcW w:w="7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(17,153)</w:t>
            </w:r>
          </w:p>
        </w:tc>
      </w:tr>
      <w:tr>
        <w:trPr>
          <w:trHeight w:val="21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88"/>
        </w:trPr>
        <w:tc>
          <w:tcPr>
            <w:tcW w:w="7340" w:type="dxa"/>
            <w:vAlign w:val="bottom"/>
          </w:tcPr>
          <w:p>
            <w:pPr>
              <w:ind w:left="180"/>
              <w:spacing w:after="0" w:line="189" w:lineRule="exact"/>
              <w:rPr>
                <w:sz w:val="20"/>
                <w:szCs w:val="20"/>
                <w:color w:val="auto"/>
              </w:rPr>
            </w:pPr>
            <w:r>
              <w:rPr>
                <w:rFonts w:ascii="Arial" w:cs="Arial" w:eastAsia="Arial" w:hAnsi="Arial"/>
                <w:sz w:val="18"/>
                <w:szCs w:val="18"/>
                <w:color w:val="auto"/>
              </w:rPr>
              <w:t>Proceeds from issuance of common stock pursuant to the initial public offering, net of</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7"/>
        </w:trPr>
        <w:tc>
          <w:tcPr>
            <w:tcW w:w="7340" w:type="dxa"/>
            <w:vAlign w:val="bottom"/>
          </w:tcPr>
          <w:p>
            <w:pPr>
              <w:ind w:left="340"/>
              <w:spacing w:after="0"/>
              <w:rPr>
                <w:sz w:val="20"/>
                <w:szCs w:val="20"/>
                <w:color w:val="auto"/>
              </w:rPr>
            </w:pPr>
            <w:r>
              <w:rPr>
                <w:rFonts w:ascii="Arial" w:cs="Arial" w:eastAsia="Arial" w:hAnsi="Arial"/>
                <w:sz w:val="18"/>
                <w:szCs w:val="18"/>
                <w:color w:val="auto"/>
              </w:rPr>
              <w:t>issuance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254,868</w:t>
            </w:r>
          </w:p>
        </w:tc>
      </w:tr>
      <w:tr>
        <w:trPr>
          <w:trHeight w:val="188"/>
        </w:trPr>
        <w:tc>
          <w:tcPr>
            <w:tcW w:w="734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Proceeds from issuance of common stock pursuant to the secondary public offering, net</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issuance costs</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37,937</w:t>
            </w:r>
          </w:p>
        </w:tc>
      </w:tr>
      <w:tr>
        <w:trPr>
          <w:trHeight w:val="229"/>
        </w:trPr>
        <w:tc>
          <w:tcPr>
            <w:tcW w:w="7340" w:type="dxa"/>
            <w:vAlign w:val="bottom"/>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Debt extinguishment costs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revolving credit line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340" w:type="dxa"/>
            <w:vAlign w:val="bottom"/>
          </w:tcPr>
          <w:p>
            <w:pPr>
              <w:ind w:left="180"/>
              <w:spacing w:after="0"/>
              <w:rPr>
                <w:sz w:val="20"/>
                <w:szCs w:val="20"/>
                <w:color w:val="auto"/>
              </w:rPr>
            </w:pPr>
            <w:r>
              <w:rPr>
                <w:rFonts w:ascii="Arial" w:cs="Arial" w:eastAsia="Arial" w:hAnsi="Arial"/>
                <w:sz w:val="18"/>
                <w:szCs w:val="18"/>
                <w:color w:val="auto"/>
              </w:rPr>
              <w:t>Repayment of term loan</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equipment loan</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Principal payments under finance lease obligations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340" w:type="dxa"/>
            <w:vAlign w:val="bottom"/>
            <w:shd w:val="clear" w:color="auto" w:fill="CCEEFF"/>
          </w:tcPr>
          <w:p>
            <w:pPr>
              <w:ind w:left="4320"/>
              <w:spacing w:after="0"/>
              <w:rPr>
                <w:sz w:val="20"/>
                <w:szCs w:val="20"/>
                <w:color w:val="auto"/>
              </w:rPr>
            </w:pPr>
            <w:r>
              <w:rPr>
                <w:rFonts w:ascii="Arial" w:cs="Arial" w:eastAsia="Arial" w:hAnsi="Arial"/>
                <w:sz w:val="18"/>
                <w:szCs w:val="18"/>
                <w:color w:val="auto"/>
              </w:rPr>
              <w:t>(continued on the next page)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177800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80" w:top="1143" w:right="479" w:bottom="1440" w:gutter="0" w:footer="0" w:header="0"/>
        </w:sectPr>
      </w:pPr>
    </w:p>
    <w:bookmarkStart w:id="12" w:name="page13"/>
    <w:bookmarkEnd w:id="12"/>
    <w:p>
      <w:pPr>
        <w:ind w:left="4740"/>
        <w:spacing w:after="0"/>
        <w:rPr>
          <w:sz w:val="20"/>
          <w:szCs w:val="20"/>
          <w:color w:val="auto"/>
        </w:rPr>
      </w:pPr>
      <w:r>
        <w:rPr>
          <w:rFonts w:ascii="Arial" w:cs="Arial" w:eastAsia="Arial" w:hAnsi="Arial"/>
          <w:sz w:val="18"/>
          <w:szCs w:val="18"/>
          <w:b w:val="1"/>
          <w:bCs w:val="1"/>
          <w:color w:val="auto"/>
        </w:rPr>
        <w:t>BEYOND MEAT,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 thousands)</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7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ind w:left="100"/>
              <w:spacing w:after="0" w:line="156" w:lineRule="exact"/>
              <w:rPr>
                <w:sz w:val="20"/>
                <w:szCs w:val="20"/>
                <w:color w:val="auto"/>
              </w:rPr>
            </w:pPr>
            <w:r>
              <w:rPr>
                <w:rFonts w:ascii="Arial" w:cs="Arial" w:eastAsia="Arial" w:hAnsi="Arial"/>
                <w:sz w:val="16"/>
                <w:szCs w:val="16"/>
                <w:b w:val="1"/>
                <w:bCs w:val="1"/>
                <w:color w:val="auto"/>
              </w:rPr>
              <w:t>September 26,</w:t>
            </w:r>
          </w:p>
        </w:tc>
        <w:tc>
          <w:tcPr>
            <w:tcW w:w="220" w:type="dxa"/>
            <w:vAlign w:val="bottom"/>
          </w:tcPr>
          <w:p>
            <w:pPr>
              <w:spacing w:after="0"/>
              <w:rPr>
                <w:sz w:val="13"/>
                <w:szCs w:val="13"/>
                <w:color w:val="auto"/>
              </w:rPr>
            </w:pPr>
          </w:p>
        </w:tc>
        <w:tc>
          <w:tcPr>
            <w:tcW w:w="1540" w:type="dxa"/>
            <w:vAlign w:val="bottom"/>
          </w:tcPr>
          <w:p>
            <w:pPr>
              <w:jc w:val="right"/>
              <w:ind w:right="251"/>
              <w:spacing w:after="0" w:line="156" w:lineRule="exact"/>
              <w:rPr>
                <w:sz w:val="20"/>
                <w:szCs w:val="20"/>
                <w:color w:val="auto"/>
              </w:rPr>
            </w:pPr>
            <w:r>
              <w:rPr>
                <w:rFonts w:ascii="Arial" w:cs="Arial" w:eastAsia="Arial" w:hAnsi="Arial"/>
                <w:sz w:val="16"/>
                <w:szCs w:val="16"/>
                <w:b w:val="1"/>
                <w:bCs w:val="1"/>
                <w:color w:val="auto"/>
              </w:rPr>
              <w:t>September 28,</w:t>
            </w:r>
          </w:p>
        </w:tc>
      </w:tr>
      <w:tr>
        <w:trPr>
          <w:trHeight w:val="215"/>
        </w:trPr>
        <w:tc>
          <w:tcPr>
            <w:tcW w:w="7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2019</w:t>
            </w:r>
          </w:p>
        </w:tc>
      </w:tr>
      <w:tr>
        <w:trPr>
          <w:trHeight w:val="224"/>
        </w:trPr>
        <w:tc>
          <w:tcPr>
            <w:tcW w:w="734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898</w:t>
            </w:r>
          </w:p>
        </w:tc>
      </w:tr>
      <w:tr>
        <w:trPr>
          <w:trHeight w:val="23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minimum withholding taxes on net share settlement of equity awards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3"/>
        </w:trPr>
        <w:tc>
          <w:tcPr>
            <w:tcW w:w="7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293,672</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258,180</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54,271</w:t>
            </w: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Cash and cash equivalents at the end of the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312,451</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3"/>
        </w:trPr>
        <w:tc>
          <w:tcPr>
            <w:tcW w:w="7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period for:</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34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2,261</w:t>
            </w:r>
          </w:p>
        </w:tc>
      </w:tr>
      <w:tr>
        <w:trPr>
          <w:trHeight w:val="229"/>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29"/>
        </w:trPr>
        <w:tc>
          <w:tcPr>
            <w:tcW w:w="7340" w:type="dxa"/>
            <w:vAlign w:val="bottom"/>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additions to property, plant and equipment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1,280</w:t>
            </w:r>
          </w:p>
        </w:tc>
      </w:tr>
      <w:tr>
        <w:trPr>
          <w:trHeight w:val="229"/>
        </w:trPr>
        <w:tc>
          <w:tcPr>
            <w:tcW w:w="7340" w:type="dxa"/>
            <w:vAlign w:val="bottom"/>
          </w:tcPr>
          <w:p>
            <w:pPr>
              <w:ind w:left="340"/>
              <w:spacing w:after="0"/>
              <w:rPr>
                <w:sz w:val="20"/>
                <w:szCs w:val="20"/>
                <w:color w:val="auto"/>
              </w:rPr>
            </w:pPr>
            <w:r>
              <w:rPr>
                <w:rFonts w:ascii="Arial" w:cs="Arial" w:eastAsia="Arial" w:hAnsi="Arial"/>
                <w:sz w:val="18"/>
                <w:szCs w:val="18"/>
                <w:color w:val="auto"/>
              </w:rPr>
              <w:t>Offering costs, accrued not yet paid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487</w:t>
            </w:r>
          </w:p>
        </w:tc>
      </w:tr>
      <w:tr>
        <w:trPr>
          <w:trHeight w:val="229"/>
        </w:trPr>
        <w:tc>
          <w:tcPr>
            <w:tcW w:w="7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additions to property, plant and equipment held for sale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r>
      <w:tr>
        <w:trPr>
          <w:trHeight w:val="230"/>
        </w:trPr>
        <w:tc>
          <w:tcPr>
            <w:tcW w:w="7340" w:type="dxa"/>
            <w:vAlign w:val="bottom"/>
          </w:tcPr>
          <w:p>
            <w:pPr>
              <w:ind w:left="340"/>
              <w:spacing w:after="0"/>
              <w:rPr>
                <w:sz w:val="20"/>
                <w:szCs w:val="20"/>
                <w:color w:val="auto"/>
              </w:rPr>
            </w:pPr>
            <w:r>
              <w:rPr>
                <w:rFonts w:ascii="Arial" w:cs="Arial" w:eastAsia="Arial" w:hAnsi="Arial"/>
                <w:sz w:val="18"/>
                <w:szCs w:val="18"/>
                <w:color w:val="auto"/>
              </w:rPr>
              <w:t>Operating lease right-of-use assets obtained in exchange for lease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188"/>
        </w:trPr>
        <w:tc>
          <w:tcPr>
            <w:tcW w:w="734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Reclassification of warrant liability to additional paid-in capital in connection with the</w:t>
            </w: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17"/>
        </w:trPr>
        <w:tc>
          <w:tcPr>
            <w:tcW w:w="7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initial public offering</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14,421</w:t>
            </w:r>
          </w:p>
        </w:tc>
      </w:tr>
      <w:tr>
        <w:trPr>
          <w:trHeight w:val="229"/>
        </w:trPr>
        <w:tc>
          <w:tcPr>
            <w:tcW w:w="7340" w:type="dxa"/>
            <w:vAlign w:val="bottom"/>
          </w:tcPr>
          <w:p>
            <w:pPr>
              <w:ind w:left="340"/>
              <w:spacing w:after="0"/>
              <w:rPr>
                <w:sz w:val="20"/>
                <w:szCs w:val="20"/>
                <w:color w:val="auto"/>
              </w:rPr>
            </w:pPr>
            <w:r>
              <w:rPr>
                <w:rFonts w:ascii="Arial" w:cs="Arial" w:eastAsia="Arial" w:hAnsi="Arial"/>
                <w:sz w:val="18"/>
                <w:szCs w:val="18"/>
                <w:color w:val="auto"/>
              </w:rPr>
              <w:t>Conversion of convertible preferred stock to common stock upon initial public offering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199,540</w:t>
            </w:r>
          </w:p>
        </w:tc>
      </w:tr>
      <w:tr>
        <w:trPr>
          <w:trHeight w:val="230"/>
        </w:trPr>
        <w:tc>
          <w:tcPr>
            <w:tcW w:w="7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Note receivable from sale of assets held for sale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4840"/>
              <w:spacing w:after="0"/>
              <w:rPr>
                <w:sz w:val="20"/>
                <w:szCs w:val="20"/>
                <w:color w:val="auto"/>
              </w:rPr>
            </w:pPr>
            <w:r>
              <w:rPr>
                <w:rFonts w:ascii="Arial" w:cs="Arial" w:eastAsia="Arial" w:hAnsi="Arial"/>
                <w:sz w:val="18"/>
                <w:szCs w:val="18"/>
                <w:color w:val="auto"/>
              </w:rPr>
              <w:t>(concluded)</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43" w:right="4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Introduction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Beyond Meat, Inc., a Delaware corporation (including its consolidated subsidiaries unless the context otherwise requires, the “Company”), is one of the fastest growing food companies in the United States, offering a portfolio of revolutionary plant-based meats. The Company builds meat directly from plants, an innovation that enables consumers to experience the taste, texture and other sensory attributes of popular animal-based meat products while enjoying the nutritional and environmental benefits of eating the Company’s plant-based meat products.</w:t>
      </w:r>
    </w:p>
    <w:p>
      <w:pPr>
        <w:spacing w:after="0" w:line="151" w:lineRule="exact"/>
        <w:rPr>
          <w:sz w:val="20"/>
          <w:szCs w:val="20"/>
          <w:color w:val="auto"/>
        </w:rPr>
      </w:pPr>
    </w:p>
    <w:p>
      <w:pPr>
        <w:ind w:right="500" w:firstLine="324"/>
        <w:spacing w:after="0" w:line="261" w:lineRule="auto"/>
        <w:rPr>
          <w:sz w:val="20"/>
          <w:szCs w:val="20"/>
          <w:color w:val="auto"/>
        </w:rPr>
      </w:pPr>
      <w:r>
        <w:rPr>
          <w:rFonts w:ascii="Arial" w:cs="Arial" w:eastAsia="Arial" w:hAnsi="Arial"/>
          <w:sz w:val="18"/>
          <w:szCs w:val="18"/>
          <w:color w:val="auto"/>
        </w:rPr>
        <w:t>On January 14, 2020, the Company registered its new subsidiary, Beyond Meat EU B.V., in the Netherlands. On April 28, 2020, the Company registered its new subsidiary, Beyond Meat (Jiaxing) Food Co., Ltd. (“BYND JX”), in the Zhejiang Province in China.</w:t>
      </w:r>
    </w:p>
    <w:p>
      <w:pPr>
        <w:spacing w:after="0" w:line="14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The Company’s primary production facilities are located in Columbia, Missouri, and research and development and administrative offices are located in El Segundo, California. In addition to its own production facilities, the Company uses co-manufacturers in various locations in the United States, Canada and the Netherlands. In the second quarter of 2020, the Company acquired its first manufacturing facility in Europe located in Enschede, the Netherlands. This facility is expected to be operational by the end of 2020. In addition, in June 2020 the Company announced the official opening of a new co-manufacturing facility to be used for Beyond Meat production built by the Company’s distributor in the Netherlands. In the third quarter of 2020, the Company and BYND JX entered into an investment agreement and related factory leasing contract to design and develop manufacturing facilities in the Jiaxing Economic &amp; Technological Development Zone to manufacture plant-based meat products under the Beyond Meat brand in China. Renovations in the leased facility have commenced, with trial production expected by the end of 2020 and full-scale production expected in early 2021.</w:t>
      </w:r>
    </w:p>
    <w:p>
      <w:pPr>
        <w:spacing w:after="0" w:line="158"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Subsequent to the quarter ended September 26, 2020, on October 30, 2020, the Company acquired certain assets including land, building, vehicles, machinery and equipment and certain workforce from one of its co-manufacturers for cash consideration of $ 14.5 million, subject to adjustment for customary prorations, transfer taxes, escrow holdbacks and other adjustments. The Company intends to use this manufacturing facility for the production of its finished goods.</w:t>
      </w:r>
    </w:p>
    <w:p>
      <w:pPr>
        <w:spacing w:after="0" w:line="15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Company sells to a variety of customers in the retail and foodservice channels throughout the United States and internationally primarily through distributors who purchase, store, sell, and deliver the Company’s products. In addition, the Company sells directly to customers in the retail and foodservice channels who handle their own distribution. In the third quarter of 2020, the Company launched an e-commerce site to sell its products direct to consumers.</w:t>
      </w:r>
    </w:p>
    <w:p>
      <w:pPr>
        <w:spacing w:after="0" w:line="150" w:lineRule="exact"/>
        <w:rPr>
          <w:sz w:val="20"/>
          <w:szCs w:val="20"/>
          <w:color w:val="auto"/>
        </w:rPr>
      </w:pPr>
    </w:p>
    <w:p>
      <w:pPr>
        <w:ind w:left="340" w:right="1600"/>
        <w:spacing w:after="0" w:line="438" w:lineRule="auto"/>
        <w:rPr>
          <w:sz w:val="20"/>
          <w:szCs w:val="20"/>
          <w:color w:val="auto"/>
        </w:rPr>
      </w:pPr>
      <w:r>
        <w:rPr>
          <w:rFonts w:ascii="Arial" w:cs="Arial" w:eastAsia="Arial" w:hAnsi="Arial"/>
          <w:sz w:val="18"/>
          <w:szCs w:val="18"/>
          <w:color w:val="auto"/>
        </w:rPr>
        <w:t xml:space="preserve">As of September 26, 2020, approximately 96% of the Company’s long-lived assets were located in the United States. </w:t>
      </w:r>
      <w:r>
        <w:rPr>
          <w:rFonts w:ascii="Arial" w:cs="Arial" w:eastAsia="Arial" w:hAnsi="Arial"/>
          <w:sz w:val="18"/>
          <w:szCs w:val="18"/>
          <w:b w:val="1"/>
          <w:bCs w:val="1"/>
          <w:i w:val="1"/>
          <w:iCs w:val="1"/>
          <w:color w:val="auto"/>
        </w:rPr>
        <w:t>COVID-19 Pandemic</w:t>
      </w:r>
    </w:p>
    <w:p>
      <w:pPr>
        <w:spacing w:after="0" w:line="1"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On March 11, 2020, the World Health Organization declared COVID-19 a pandemic. The global spread and unprecedented impact of COVID-19 continues to create significant volatility, uncertainty and economic disruption. In the second and third quarters of 2020, the Company’s operations and its financial results including net revenues, gross profit, gross margin and operating expenses were negatively impacted by COVID-19. The extent of COVID-19’s effect on the Company’s operational and financial performance will depend on future developments, including the duration, spread and intensity of the pandemic and the level of social and economic restrictions imposed in the United States and abroad in an effort to curb the spread of the virus, all of which are uncertain and difficult to predict considering the rapidly evolving landscape. As a result, it is not currently possible to ascertain the overall impact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COVID-19 on the Company’s business, results of operations, financial condition, or liquidity. While the ultimate health and economic impact of the COVID-19 pandemic is highly uncertain, the Company expects that its business operations and results of operations, including its net revenues, gross profit, gross margin, earnings and cash flows, will be adversely impacted through at least the remainder of 2020, and likely into 2021. Future events and effects related to the COVID-19 pandemic cannot be determined with precision and actual results could significantly differ from estimates or forecasts.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applicable rules and regulations of the Securities and Exchange Commission (“SEC”) regarding interim financial reporting. Certain information and note disclosures normally included in financial statements prepared in accordance with GAAP have been condensed or omitted pursuant to such rules and regulations.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These interim results are not necessarily indicative of the results to be expected for the fiscal year ending December 31, 2020 or for any other interim period or for any other future fiscal year. These condensed consolidated financial statements should be read in conjunction with the Company's audited financial statements and notes thereto included in the Company’s Annual Report on Form 10-K for the fiscal year ended December 31, 2019 filed with the SEC on March 19, 2020 (the “2019 10-K”). The condensed balance sheet as of December 31, 2019 has been derived from the audited financial statements at that date. There have been no material changes in the Company’s significant accounting policies from those that were disclosed in the 2019 10-K, except as noted below.</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3"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 condensed consolidated financial statements for the periods ended September 26, 2020 include the accounts of the Company and its subsidiaries. All inter-company balances and transactions have been eliminated.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Use of Estimates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Significant accounting estimates made by the Company include trade promotion accruals; useful lives of property, plant and equipment; valuation of deferred tax assets; valuation of inventory; incremental borrowing rate used to determine operating lease right-of-use assets and operating lease liabilities; assessment of contract-based factors, asset-based factors, entity-based factors and market-based factors to determine the lease term impacting right-of-use assets and lease liabilities; and the valuation of the fair value of stock options used to determine share-based compensation expense.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 and such differences may be material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9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Property, plant and equipment are carried at cost less accumulated depreciation and are depreciated using the straight-line method over the following estimated useful lives: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6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Not amortized</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Buildings</w:t>
            </w:r>
          </w:p>
        </w:tc>
        <w:tc>
          <w:tcPr>
            <w:tcW w:w="6720" w:type="dxa"/>
            <w:vAlign w:val="bottom"/>
          </w:tcPr>
          <w:p>
            <w:pPr>
              <w:ind w:left="1400"/>
              <w:spacing w:after="0"/>
              <w:rPr>
                <w:sz w:val="20"/>
                <w:szCs w:val="20"/>
                <w:color w:val="auto"/>
              </w:rPr>
            </w:pPr>
            <w:r>
              <w:rPr>
                <w:rFonts w:ascii="Arial" w:cs="Arial" w:eastAsia="Arial" w:hAnsi="Arial"/>
                <w:sz w:val="18"/>
                <w:szCs w:val="18"/>
                <w:color w:val="auto"/>
              </w:rPr>
              <w:t>30 years</w:t>
            </w: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Shorter of lease term or estimated useful life</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6720" w:type="dxa"/>
            <w:vAlign w:val="bottom"/>
          </w:tcPr>
          <w:p>
            <w:pPr>
              <w:ind w:left="1400"/>
              <w:spacing w:after="0"/>
              <w:rPr>
                <w:sz w:val="20"/>
                <w:szCs w:val="20"/>
                <w:color w:val="auto"/>
              </w:rPr>
            </w:pPr>
            <w:r>
              <w:rPr>
                <w:rFonts w:ascii="Arial" w:cs="Arial" w:eastAsia="Arial" w:hAnsi="Arial"/>
                <w:sz w:val="18"/>
                <w:szCs w:val="18"/>
                <w:color w:val="auto"/>
              </w:rPr>
              <w:t>3 years</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equipment</w:t>
            </w:r>
          </w:p>
        </w:tc>
        <w:tc>
          <w:tcPr>
            <w:tcW w:w="6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5 to 10 years</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Research and development equipment</w:t>
            </w:r>
          </w:p>
        </w:tc>
        <w:tc>
          <w:tcPr>
            <w:tcW w:w="6720" w:type="dxa"/>
            <w:vAlign w:val="bottom"/>
          </w:tcPr>
          <w:p>
            <w:pPr>
              <w:ind w:left="1400"/>
              <w:spacing w:after="0"/>
              <w:rPr>
                <w:sz w:val="20"/>
                <w:szCs w:val="20"/>
                <w:color w:val="auto"/>
              </w:rPr>
            </w:pPr>
            <w:r>
              <w:rPr>
                <w:rFonts w:ascii="Arial" w:cs="Arial" w:eastAsia="Arial" w:hAnsi="Arial"/>
                <w:sz w:val="18"/>
                <w:szCs w:val="18"/>
                <w:color w:val="auto"/>
              </w:rPr>
              <w:t>5 to 10 years</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and computer equipment</w:t>
            </w:r>
          </w:p>
        </w:tc>
        <w:tc>
          <w:tcPr>
            <w:tcW w:w="672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3 years</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Vehicles</w:t>
            </w:r>
          </w:p>
        </w:tc>
        <w:tc>
          <w:tcPr>
            <w:tcW w:w="6720" w:type="dxa"/>
            <w:vAlign w:val="bottom"/>
          </w:tcPr>
          <w:p>
            <w:pPr>
              <w:ind w:left="1400"/>
              <w:spacing w:after="0"/>
              <w:rPr>
                <w:sz w:val="20"/>
                <w:szCs w:val="20"/>
                <w:color w:val="auto"/>
              </w:rPr>
            </w:pPr>
            <w:r>
              <w:rPr>
                <w:rFonts w:ascii="Arial" w:cs="Arial" w:eastAsia="Arial" w:hAnsi="Arial"/>
                <w:sz w:val="18"/>
                <w:szCs w:val="18"/>
                <w:color w:val="auto"/>
              </w:rPr>
              <w:t>5 years</w:t>
            </w:r>
          </w:p>
        </w:tc>
      </w:tr>
    </w:tbl>
    <w:p>
      <w:pPr>
        <w:spacing w:after="0" w:line="323" w:lineRule="exact"/>
        <w:rPr>
          <w:sz w:val="20"/>
          <w:szCs w:val="20"/>
          <w:color w:val="auto"/>
        </w:rPr>
      </w:pPr>
    </w:p>
    <w:p>
      <w:pPr>
        <w:ind w:right="40" w:firstLine="324"/>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Leasehold improvements are depreciated on a straight-line basis over the lesser of the estimated useful life of the asset or the remaining lease term. When assets are sold or retired, the asset and related accumulated depreciation are removed from the respective account balances and any gain or loss on disposal is included in loss from operations. Expenditures for repairs and maintenance are charged directly to expense when incurred. See </w:t>
      </w:r>
      <w:hyperlink w:anchor="page24">
        <w:r>
          <w:rPr>
            <w:rFonts w:ascii="Arial" w:cs="Arial" w:eastAsia="Arial" w:hAnsi="Arial"/>
            <w:sz w:val="18"/>
            <w:szCs w:val="18"/>
            <w:u w:val="single" w:color="auto"/>
            <w:color w:val="0000FF"/>
          </w:rPr>
          <w:t>Note 6</w:t>
        </w:r>
      </w:hyperlink>
      <w:r>
        <w:rPr>
          <w:rFonts w:ascii="Arial" w:cs="Arial" w:eastAsia="Arial" w:hAnsi="Arial"/>
          <w:sz w:val="18"/>
          <w:szCs w:val="18"/>
          <w:color w:val="auto"/>
        </w:rPr>
        <w: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Company’s foreign entities use their local currency as the functional currency. For these entities, the Company translates net assets into U.S. dollars at period end exchange rates, while revenue and expense accounts are translated at average exchange rates prevailing during the periods being reported. Resulting currency translation adjustments are included in accumulated other comprehensive income and foreign currency transaction gains and losses are included in other, net. Transaction gains and losses on long-term intra-entity transactions are recorded as a component of other comprehensive income. Transactions denominated in a currency other than the reporting entity’s functional currency may give rise to transaction gains and losses that impact the Company’s results of operations.</w:t>
      </w:r>
    </w:p>
    <w:p>
      <w:pPr>
        <w:spacing w:after="0" w:line="154"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Unrealized translation gains, net of tax, reported as cumulative translation adjustments through other comprehensive income were $0.5 million as of September 26, 2020. Foreign currency transaction (losses) gains included in other, net were $(15,000) and $0.1 million during the three and nine months ended September 26, 2020,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The fair value measurement accounting guidance creates a fair value hierarchy to prioritize the inputs used to measure fair value into three categories. A financial instrument’s level within the fair value hierarchy is based on the lowest level of input significant to the fair value measurement, where Level 1 is the highest and Level 3 is the lowest.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are defined as follows:</w:t>
      </w:r>
    </w:p>
    <w:p>
      <w:pPr>
        <w:spacing w:after="0" w:line="171" w:lineRule="exact"/>
        <w:rPr>
          <w:sz w:val="20"/>
          <w:szCs w:val="20"/>
          <w:color w:val="auto"/>
        </w:rPr>
      </w:pPr>
    </w:p>
    <w:p>
      <w:pPr>
        <w:ind w:left="660" w:right="64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accessible by the reporting entity for identical assets or liabilities. Active markets are those in which transactions for the asset or liability occur with sufficient frequency and volume to provide pricing information on an ongoing basis.</w:t>
      </w:r>
    </w:p>
    <w:p>
      <w:pPr>
        <w:spacing w:after="0" w:line="39"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significant value drivers are observable.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significant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Company’s financial instruments include cash equivalents, accounts receivable, accounts payable, and accrued expenses, for which the carrying amounts approximate fair value due to the short-term maturity of these financial instruments. Based on the borrowing rates currently available to the Company for debt with similar terms, the carrying value of the Company’s revolving credit facility approximates fair value as well.</w:t>
      </w:r>
    </w:p>
    <w:p>
      <w:pPr>
        <w:spacing w:after="0" w:line="150" w:lineRule="exact"/>
        <w:rPr>
          <w:sz w:val="20"/>
          <w:szCs w:val="20"/>
          <w:color w:val="auto"/>
        </w:rPr>
      </w:pPr>
    </w:p>
    <w:p>
      <w:pPr>
        <w:ind w:right="40" w:firstLine="324"/>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Company had no financial instruments measured at fair value on a recurring basis as of September 26, 2020 and December 31, 2019, other than the liability classified share-settled obligation to one of the Company’s executive officers as discussed in </w:t>
      </w:r>
      <w:hyperlink w:anchor="page28">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which represents a Level 1 financial instrument. There was no change in the fair value of the liability-classified share-settled obligation in the three and nine months ended September 26, 2020. There were no transfers of financial assets or liabilities into or out of Level 1, Level 2 or Level 3 for the three and nine months ended September 26, 2020.</w:t>
      </w:r>
    </w:p>
    <w:p>
      <w:pPr>
        <w:spacing w:after="0" w:line="151"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Prior to the IPO, the stock warrant liability was measured at fair value using Level 3 inputs upon issuance and at each reporting date. Inputs used to determine the estimated fair value of the warrant liability as of the valuation date included expected term of the warrants, the risk-free interest rate, volatility, and the fair value of underlying shares.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the changes in the fair value of the preferred and common stock warrant liabilities: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6"/>
                <w:szCs w:val="16"/>
                <w:b w:val="1"/>
                <w:bCs w:val="1"/>
                <w:color w:val="auto"/>
              </w:rPr>
              <w:t>Nine Months Ended</w:t>
            </w:r>
          </w:p>
        </w:tc>
        <w:tc>
          <w:tcPr>
            <w:tcW w:w="820" w:type="dxa"/>
            <w:vAlign w:val="bottom"/>
            <w:tcBorders>
              <w:bottom w:val="single" w:sz="8" w:color="auto"/>
            </w:tcBorders>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78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1780" w:type="dxa"/>
            <w:vAlign w:val="bottom"/>
            <w:gridSpan w:val="3"/>
          </w:tcPr>
          <w:p>
            <w:pPr>
              <w:jc w:val="right"/>
              <w:ind w:right="180"/>
              <w:spacing w:after="0" w:line="175" w:lineRule="exact"/>
              <w:rPr>
                <w:sz w:val="20"/>
                <w:szCs w:val="20"/>
                <w:color w:val="auto"/>
              </w:rPr>
            </w:pPr>
            <w:r>
              <w:rPr>
                <w:rFonts w:ascii="Arial" w:cs="Arial" w:eastAsia="Arial" w:hAnsi="Arial"/>
                <w:sz w:val="16"/>
                <w:szCs w:val="16"/>
                <w:b w:val="1"/>
                <w:bCs w:val="1"/>
                <w:color w:val="auto"/>
              </w:rPr>
              <w:t>September 26, 2020</w:t>
            </w:r>
          </w:p>
        </w:tc>
        <w:tc>
          <w:tcPr>
            <w:tcW w:w="1640" w:type="dxa"/>
            <w:vAlign w:val="bottom"/>
            <w:gridSpan w:val="2"/>
          </w:tcPr>
          <w:p>
            <w:pPr>
              <w:jc w:val="right"/>
              <w:spacing w:after="0" w:line="175" w:lineRule="exact"/>
              <w:rPr>
                <w:sz w:val="20"/>
                <w:szCs w:val="20"/>
                <w:color w:val="auto"/>
              </w:rPr>
            </w:pPr>
            <w:r>
              <w:rPr>
                <w:rFonts w:ascii="Arial" w:cs="Arial" w:eastAsia="Arial" w:hAnsi="Arial"/>
                <w:sz w:val="16"/>
                <w:szCs w:val="16"/>
                <w:b w:val="1"/>
                <w:bCs w:val="1"/>
                <w:color w:val="auto"/>
              </w:rPr>
              <w:t>September 28, 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r>
      <w:tr>
        <w:trPr>
          <w:trHeight w:val="229"/>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Fair value of warrants issued during the period</w:t>
            </w:r>
          </w:p>
        </w:tc>
        <w:tc>
          <w:tcPr>
            <w:tcW w:w="5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5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w:t>
            </w:r>
          </w:p>
        </w:tc>
      </w:tr>
      <w:tr>
        <w:trPr>
          <w:trHeight w:val="230"/>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Reclassification of warrant liability to additional paid-in capital in connection with the IPO</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(14,421)</w:t>
            </w:r>
          </w:p>
        </w:tc>
      </w:tr>
      <w:tr>
        <w:trPr>
          <w:trHeight w:val="243"/>
        </w:trPr>
        <w:tc>
          <w:tcPr>
            <w:tcW w:w="20" w:type="dxa"/>
            <w:vAlign w:val="bottom"/>
            <w:shd w:val="clear" w:color="auto" w:fill="CCEEFF"/>
          </w:tcPr>
          <w:p>
            <w:pPr>
              <w:spacing w:after="0"/>
              <w:rPr>
                <w:sz w:val="21"/>
                <w:szCs w:val="21"/>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The Company remeasured and reclassified the common stock warrant liability to additional paid-in-capital in connection with the IPO. The final re-measurement of the preferred stock warrant was based upon the publicly available stock price on the conversion date. Subsequent to the closing of the IPO, all outstanding warrants to purchase shares of common stock were cashless exercised and no warrants were outstanding as of September 28, 2019.</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Revenue is recognized at the point in which the performance obligation under the terms of a contract with the customer have been satisfied and control has transferred. The Company’s performance obligation is typically defined as the accepted purchase order, or the contract, with the customer which requires the Company to deliver the requested products at agreed upon prices at the time and location of the customer’s choice. The Company does not offer warranties or a right to return on the products it sells except in the instance of a product recall.</w:t>
      </w:r>
    </w:p>
    <w:p>
      <w:pPr>
        <w:spacing w:after="0" w:line="151" w:lineRule="exact"/>
        <w:rPr>
          <w:sz w:val="20"/>
          <w:szCs w:val="20"/>
          <w:color w:val="auto"/>
        </w:rPr>
      </w:pPr>
    </w:p>
    <w:p>
      <w:pPr>
        <w:ind w:right="420" w:firstLine="324"/>
        <w:spacing w:after="0" w:line="253" w:lineRule="auto"/>
        <w:rPr>
          <w:sz w:val="20"/>
          <w:szCs w:val="20"/>
          <w:color w:val="auto"/>
        </w:rPr>
      </w:pPr>
      <w:r>
        <w:rPr>
          <w:rFonts w:ascii="Arial" w:cs="Arial" w:eastAsia="Arial" w:hAnsi="Arial"/>
          <w:sz w:val="18"/>
          <w:szCs w:val="18"/>
          <w:color w:val="auto"/>
        </w:rPr>
        <w:t>Revenue is measured as the amount of consideration the Company expects to receive in exchange for fulfilling the performance obligation. Sales and other taxes the Company collects concurrent with the sale of products are excluded from revenue. The Company's normal payment terms vary by the type and location of its customers and the products offered. The time between invoicing and when payment is due is not significant. None of the Company's customer contracts as of September 26, 2020 contains a significant financing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routinely offers sales discounts and promotions through various programs to its customers and consumers. These programs include rebates, temporary on shelf price reductions, buy-one-get-one-free programs, off invoice discounts, retailer advertisements, product coupons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which totaled $3.3 million and $ 1.6 million as of September 26, 2020 and December 31, 2019, respectively. The offsetting charge is recorded as a reduction of revenues in the same period when the expense is incurred.</w:t>
      </w:r>
    </w:p>
    <w:p>
      <w:pPr>
        <w:spacing w:after="0" w:line="154"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The Company recognizes the incremental costs of obtaining contracts as an expense when incurred if the amortization period of the assets that the Company otherwise would have recognized is one year or less. The incremental cost to obtain contracts was not material.</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Presentation of Net Revenues by Channel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January 1, 2020, the Company began presenting net revenues by geography and distribution channel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Distribution Channel</w:t>
            </w:r>
          </w:p>
        </w:tc>
        <w:tc>
          <w:tcPr>
            <w:tcW w:w="120" w:type="dxa"/>
            <w:vAlign w:val="bottom"/>
            <w:tcBorders>
              <w:bottom w:val="single" w:sz="8" w:color="CCEEFF"/>
            </w:tcBorders>
          </w:tcPr>
          <w:p>
            <w:pPr>
              <w:spacing w:after="0"/>
              <w:rPr>
                <w:sz w:val="18"/>
                <w:szCs w:val="18"/>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Description</w:t>
            </w:r>
          </w:p>
        </w:tc>
      </w:tr>
      <w:tr>
        <w:trPr>
          <w:trHeight w:val="22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Retail</w:t>
            </w: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revenues from retail sales to the U.S. market</w:t>
            </w: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U.S. Foodservice</w:t>
            </w:r>
          </w:p>
        </w:tc>
        <w:tc>
          <w:tcPr>
            <w:tcW w:w="7940" w:type="dxa"/>
            <w:vAlign w:val="bottom"/>
          </w:tcPr>
          <w:p>
            <w:pPr>
              <w:spacing w:after="0"/>
              <w:rPr>
                <w:sz w:val="20"/>
                <w:szCs w:val="20"/>
                <w:color w:val="auto"/>
              </w:rPr>
            </w:pPr>
            <w:r>
              <w:rPr>
                <w:rFonts w:ascii="Arial" w:cs="Arial" w:eastAsia="Arial" w:hAnsi="Arial"/>
                <w:sz w:val="18"/>
                <w:szCs w:val="18"/>
                <w:color w:val="auto"/>
              </w:rPr>
              <w:t>Net revenues from restaurant and foodservice sales to the U.S. market</w:t>
            </w:r>
          </w:p>
        </w:tc>
      </w:tr>
      <w:tr>
        <w:trPr>
          <w:trHeight w:val="230"/>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International Retail</w:t>
            </w: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revenues from retail sales to international markets, including Canada</w:t>
            </w: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International Foodservice</w:t>
            </w:r>
          </w:p>
        </w:tc>
        <w:tc>
          <w:tcPr>
            <w:tcW w:w="7940" w:type="dxa"/>
            <w:vAlign w:val="bottom"/>
          </w:tcPr>
          <w:p>
            <w:pPr>
              <w:spacing w:after="0"/>
              <w:rPr>
                <w:sz w:val="20"/>
                <w:szCs w:val="20"/>
                <w:color w:val="auto"/>
              </w:rPr>
            </w:pPr>
            <w:r>
              <w:rPr>
                <w:rFonts w:ascii="Arial" w:cs="Arial" w:eastAsia="Arial" w:hAnsi="Arial"/>
                <w:sz w:val="18"/>
                <w:szCs w:val="18"/>
                <w:color w:val="auto"/>
              </w:rPr>
              <w:t>Net revenues from restaurant and foodservice sales to international markets, including Canada</w:t>
            </w:r>
          </w:p>
        </w:tc>
      </w:tr>
    </w:tbl>
    <w:p>
      <w:pPr>
        <w:spacing w:after="0" w:line="215" w:lineRule="exact"/>
        <w:rPr>
          <w:sz w:val="20"/>
          <w:szCs w:val="20"/>
          <w:color w:val="auto"/>
        </w:rPr>
      </w:pPr>
    </w:p>
    <w:p>
      <w:pPr>
        <w:ind w:right="620" w:firstLine="324"/>
        <w:spacing w:after="0" w:line="256" w:lineRule="auto"/>
        <w:rPr>
          <w:sz w:val="20"/>
          <w:szCs w:val="20"/>
          <w:color w:val="auto"/>
        </w:rPr>
      </w:pPr>
      <w:r>
        <w:rPr>
          <w:rFonts w:ascii="Arial" w:cs="Arial" w:eastAsia="Arial" w:hAnsi="Arial"/>
          <w:sz w:val="18"/>
          <w:szCs w:val="18"/>
          <w:color w:val="auto"/>
        </w:rPr>
        <w:t>Net revenues from sales to the Canadian market, previously included with net revenues from sales to the U.S. market, have been reclassified to International net revenues. Prior period amounts have been recast to conform to the current period presentation. The foregoing change in presentation had no impact on the Company’s net revenues, results of operations or cash flows.</w:t>
      </w:r>
    </w:p>
    <w:p>
      <w:pPr>
        <w:spacing w:after="0" w:line="14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Effective January 1, 2020, the Company also eliminated the presentation of net revenues by platform as it is no longer material to an understanding of the Company's financial results. Previously, the Company presented net revenues by platform for its “ready-to-cook” or fresh platform, and “ready-to-heat” or frozen platform. Gross revenues from sales of products in the Company's frozen platform were 5.5% of gross revenues in the year ended December 31, 2019, as compared to 16.3% of gross revenues in the year ended December 31, 2018.</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net revenues by channel: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700" w:type="dxa"/>
            <w:vAlign w:val="bottom"/>
            <w:gridSpan w:val="4"/>
          </w:tcPr>
          <w:p>
            <w:pPr>
              <w:jc w:val="right"/>
              <w:ind w:right="113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26,</w:t>
            </w: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right"/>
              <w:ind w:right="312"/>
              <w:spacing w:after="0" w:line="158" w:lineRule="exact"/>
              <w:rPr>
                <w:sz w:val="20"/>
                <w:szCs w:val="20"/>
                <w:color w:val="auto"/>
              </w:rPr>
            </w:pPr>
            <w:r>
              <w:rPr>
                <w:rFonts w:ascii="Arial" w:cs="Arial" w:eastAsia="Arial" w:hAnsi="Arial"/>
                <w:sz w:val="16"/>
                <w:szCs w:val="16"/>
                <w:b w:val="1"/>
                <w:bCs w:val="1"/>
                <w:color w:val="auto"/>
              </w:rPr>
              <w:t>September 28,</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2"/>
          </w:tcPr>
          <w:p>
            <w:pPr>
              <w:ind w:left="140"/>
              <w:spacing w:after="0" w:line="158" w:lineRule="exact"/>
              <w:rPr>
                <w:sz w:val="20"/>
                <w:szCs w:val="20"/>
                <w:color w:val="auto"/>
              </w:rPr>
            </w:pPr>
            <w:r>
              <w:rPr>
                <w:rFonts w:ascii="Arial" w:cs="Arial" w:eastAsia="Arial" w:hAnsi="Arial"/>
                <w:sz w:val="16"/>
                <w:szCs w:val="16"/>
                <w:b w:val="1"/>
                <w:bCs w:val="1"/>
                <w:color w:val="auto"/>
              </w:rPr>
              <w:t>September 26,</w:t>
            </w:r>
          </w:p>
        </w:tc>
        <w:tc>
          <w:tcPr>
            <w:tcW w:w="2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right"/>
              <w:ind w:right="312"/>
              <w:spacing w:after="0" w:line="158" w:lineRule="exact"/>
              <w:rPr>
                <w:sz w:val="20"/>
                <w:szCs w:val="20"/>
                <w:color w:val="auto"/>
              </w:rPr>
            </w:pPr>
            <w:r>
              <w:rPr>
                <w:rFonts w:ascii="Arial" w:cs="Arial" w:eastAsia="Arial" w:hAnsi="Arial"/>
                <w:sz w:val="16"/>
                <w:szCs w:val="16"/>
                <w:b w:val="1"/>
                <w:bCs w:val="1"/>
                <w:color w:val="auto"/>
              </w:rPr>
              <w:t>September 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593"/>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jc w:val="right"/>
              <w:ind w:right="672"/>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ind w:right="693"/>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ind w:right="692"/>
              <w:spacing w:after="0" w:line="175"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2"/>
          </w:tcPr>
          <w:p>
            <w:pPr>
              <w:ind w:left="280"/>
              <w:spacing w:after="0"/>
              <w:rPr>
                <w:sz w:val="20"/>
                <w:szCs w:val="20"/>
                <w:color w:val="auto"/>
              </w:rPr>
            </w:pPr>
            <w:r>
              <w:rPr>
                <w:rFonts w:ascii="Arial" w:cs="Arial" w:eastAsia="Arial" w:hAnsi="Arial"/>
                <w:sz w:val="18"/>
                <w:szCs w:val="18"/>
                <w:color w:val="auto"/>
              </w:rPr>
              <w:t>U.S.:</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Foodservice</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 net revenues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tcPr>
          <w:p>
            <w:pPr>
              <w:ind w:left="28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Foodservice</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International net revenues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94,436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304,848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One distributor accounted for approximately 11% of the Company’s gross revenues in the three months ended September 26, 2020; and two distributors accounted for approximately 17% and 15%, respectively, of the Company’s gross revenues in the three months ended September 28, 2019. One distributor accounted for approximately 13% of the Company’s gross revenues in the nine months ended September 26, 2020; and two distributors accounted for approximately 18% and 19%, respectively, of the Company’s gross revenues in the nine months ended September 28, 2019. No other distributor or customer accounted for more than 10% of the Company’s gross revenues in the three and nine months ended September 26, 2020 and September 28, 2019.</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93" w:lineRule="exact"/>
        <w:rPr>
          <w:sz w:val="20"/>
          <w:szCs w:val="20"/>
          <w:color w:val="auto"/>
        </w:rPr>
      </w:pPr>
    </w:p>
    <w:p>
      <w:pPr>
        <w:ind w:right="380" w:firstLine="324"/>
        <w:spacing w:after="0" w:line="254" w:lineRule="auto"/>
        <w:rPr>
          <w:sz w:val="20"/>
          <w:szCs w:val="20"/>
          <w:color w:val="auto"/>
        </w:rPr>
      </w:pPr>
      <w:r>
        <w:rPr>
          <w:rFonts w:ascii="Arial" w:cs="Arial" w:eastAsia="Arial" w:hAnsi="Arial"/>
          <w:sz w:val="18"/>
          <w:szCs w:val="18"/>
          <w:color w:val="auto"/>
        </w:rPr>
        <w:t>Outbound shipping and handling costs included in selling, general and administrative (“SG&amp;A”) expenses in the three months ended September 26, 2020 and September 28, 2019 were $3.3 million and $ 3.4 million, respectively. Outbound shipping and handling costs included in SG&amp;A expenses in the nine months ended September 26, 2020 and September 28, 2019 were $8.1 million and $7.4 million, respectively.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As an “emerging growth company” (“EGC”), the Jumpstart Our Business Startups Act (the “JOBS Act”) allows the Company to delay adoption of new or revised accounting pronouncements applicable to public companies until such pronouncements are made applicable to private companies. The Company will no longer qualify as an EGC as of the end of the fiscal year ending December 31, 2020, when it becomes a Large Accelerated Filer under Rule 12b-2 of the Securities Exchange Act of 1934, as amended (the “Exchange Act”). Therefore, the Company has elected to use the adoption dates applicable to public companies beginning in the first quarter of 2020 and the adoption dates for the new accounting pronouncements disclosed below have been evaluated under such premise.</w:t>
      </w:r>
    </w:p>
    <w:p>
      <w:pPr>
        <w:spacing w:after="0" w:line="15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No. 2016-02, “Leases” (Topic 842) (“ASU 2016-02”), which requires lessees to record most leases on their balance sheets but recognize the expenses on their income statements in a manner similar to Accounting Standards Codification (“ASC”) 840, “Leases” (“ASC 840”). ASU 2016 -02 requires that a lessee recognize a lease liability for the obligation to make lease payments and a right-of-use asset for the right to use the underlying asset for the lease term.</w:t>
      </w:r>
    </w:p>
    <w:p>
      <w:pPr>
        <w:spacing w:after="0" w:line="151" w:lineRule="exact"/>
        <w:rPr>
          <w:sz w:val="20"/>
          <w:szCs w:val="20"/>
          <w:color w:val="auto"/>
        </w:rPr>
      </w:pPr>
    </w:p>
    <w:p>
      <w:pPr>
        <w:ind w:firstLine="324"/>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On January 1, 2020, the Company adopted ASU 2016-02 using the modified retrospective approach, which permits application of this new guidance at the beginning of the period of adoption, with comparative periods continuing to be reported under ASC 840. The Company also elected the package of practical expedients permitted under the transition guidance within ASU 2016-02, which among other things, permits the Company to not reassess under the new standard the Company’s prior conclusions about lease identification, lease classification and initial direct costs. The Company did not elect the use-of-hindsight practical expedient or the practical expedient pertaining to land easements, the latter not being applicable to the Company. As part of this adoption, the Company elected not to record operating right-of-use assets or operating lease liabilities for leases with an initial term of 12 months or less. Payments on those leases will be recognized on a straight-line basis through the Company’s condensed consolidated statements of operations over the lease term. The Company elected to separate the lease and non-lease components on all new or modified operating leases for the co-manufacturing class of assets for the purpose of recording operating lease right-of-use assets and operating lease liabilities and to combine lease and non-lease components on all new or modified operating leases into a single lease component for all other classes of assets. See </w:t>
      </w:r>
      <w:hyperlink w:anchor="page20">
        <w:r>
          <w:rPr>
            <w:rFonts w:ascii="Arial" w:cs="Arial" w:eastAsia="Arial" w:hAnsi="Arial"/>
            <w:sz w:val="18"/>
            <w:szCs w:val="18"/>
            <w:u w:val="single" w:color="auto"/>
            <w:color w:val="0000FF"/>
          </w:rPr>
          <w:t>Note 4</w:t>
        </w:r>
      </w:hyperlink>
      <w:r>
        <w:rPr>
          <w:rFonts w:ascii="Arial" w:cs="Arial" w:eastAsia="Arial" w:hAnsi="Arial"/>
          <w:sz w:val="18"/>
          <w:szCs w:val="18"/>
          <w:color w:val="auto"/>
        </w:rPr>
        <w:t>.</w:t>
      </w:r>
    </w:p>
    <w:p>
      <w:pPr>
        <w:spacing w:after="0" w:line="15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On March 12, 2020, the FASB issued ASU 2020-04, “Reference Rate Reform (Topic 848): Facilitation of the Effects of Reference Rate Reform on Financial Reporting” (“ASU 2020-04”). The amendments in ASU 2020-04 provide temporary optional expedients and exceptions for applying GAAP to contract modifications, hedging relationships and other transactions to ease the potential accounting and financial reporting burden associated with transitioning away from reference rates that are expected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discontinued, including the London Interbank Offered Rate (LIBOR). ASU 2020-04 is effective for the Company as of March 12, 2020 through December 31, 2022. The adoption of ASU 2020-04 has not had and is not expected to have a material impact on the Company’s financial position, results of operations, or cash flows.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On December 18, 2019, the FASB issued ASU No. 2019-12, “Simplifying the Accounting for Income Taxes (Topic 740)” (“ASU 2019-12”). ASU 2019-12 eliminates the need for an organization to analyze whether the following apply in a given period (1) exceptions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For public business entities, the amendments in ASU 2019-12 are effective for fiscal years, and interim periods within those fiscal years, beginning after December 15, 2020. Early adoption of the amendments is permitted, including adoption in any interim period for public business entities for periods for which financial statements have not yet been issued. An entity that elects to early adopt the amendments in an interim period should reflect any adjustments as of the beginning of the annual period that includes that interim period. Additionally, an entity that elects early adoption must adopt all the amendments in the same period. ASU 2019-12 is effective for the Company beginning on January 1, 2021. Adoption of ASU 2019-12 is not expected to result in any material changes to the way the tax provision is prepared and is not expected to have a material impact on the Company’s financial position, results of operations, or cash flows.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w:t>
      </w:r>
    </w:p>
    <w:p>
      <w:pPr>
        <w:spacing w:after="0" w:line="193" w:lineRule="exact"/>
        <w:rPr>
          <w:sz w:val="20"/>
          <w:szCs w:val="20"/>
          <w:color w:val="auto"/>
        </w:rPr>
      </w:pPr>
    </w:p>
    <w:p>
      <w:pPr>
        <w:ind w:right="12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In May 2017, management approved a plan to terminate the Company’s exclusive supply agreement (the “Agreement”) with one of its co-manufacturers, due to non-performance under the Agreement and on May 23, 2017, the Company notified the co-manufacturer of its decision to terminate the Agreement. In the three months ended September 26, 2020 and September 28, 2019, the Company recorded $2.1 million and $2.3 million, respectively, in restructuring expenses related to this dispute, which consisted primarily of legal and other expenses. In the nine months ended September 26, 2020 and September 28, 2019, the Company recorded $6.0 million and $3.6 million, respectively, in restructuring expenses related to this dispute, which consisted primarily of legal and other expenses. See </w:t>
      </w:r>
      <w:hyperlink w:anchor="page31">
        <w:r>
          <w:rPr>
            <w:rFonts w:ascii="Arial" w:cs="Arial" w:eastAsia="Arial" w:hAnsi="Arial"/>
            <w:sz w:val="18"/>
            <w:szCs w:val="18"/>
            <w:u w:val="single" w:color="auto"/>
            <w:color w:val="0000FF"/>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 As of September 26, 2020 and December 31, 2019, the Company had $1.1 million in accrued and unpaid restructuring expenses.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Leases are classified as either finance leases or operating leases based on criteria in ASC 842. The Company has operating leases for its corporate offices including its Manhattan Beach Innovation Center where the Company’s research and development facility is located, its manufacturing facilities, warehouses and vehicles, and finance leases for certain of the Company’s equipment. Such leases generally have original lease terms between two and 11 years, and often include one or more options to renew. Some leases also include early termination options, which can be exercised under specific conditions. The Company includes options to extend the lease term if the options are reasonably certain of being exercised. The Company currently considers its renewal options to be reasonably certain to be exercised. The Company does not have residual value guarantees or material restrictive covenants associated with its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On January 1, 2020, the Company adopted ASU 2016-02 using the modified retrospective approach, which permits application of this new guidance at the beginning of the period of adoption, with comparative periods continuing to be reported under ASC 840.</w:t>
      </w:r>
    </w:p>
    <w:p>
      <w:pPr>
        <w:spacing w:after="0" w:line="14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Operating lease assets represent the right to use an underlying asset for the lease term, and operating lease liabilities represent the obligation to make lease payments arising from the lease. Operating lease right-of-use assets and operating lease liabilities are recognized based on the present value of future minimum lease payments at lease commencement. The Company calculates the present value of its operating leases using an estimated incremental borrowing rate, which requires judgment. The Company estimates the incremental borrowing rate for each operating lease based on prevailing market rates for collateralized debt in a similar economic environment with similar payment terms and maturity dates commensurate with the terms of the lease. Certain leases contain variable payments, which are expensed as incurred and not included in the Company’s operating lease right-of-use assets and operating lease liabilities. These amounts primarily include payments for maintenance, utilities, taxes, and insurance on the Company’s corporate, research and development, and manufacturing facilities and warehouse leases and are excluded from the present value of the Company’s lease obligations.</w:t>
      </w:r>
    </w:p>
    <w:p>
      <w:pPr>
        <w:spacing w:after="0" w:line="141"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Previously designated capital leases under ASC 840 are now considered finance leases under ASC 842. The Company calculates the present value of its finance leases using the interest rate implicit in the lease agreement.</w:t>
      </w:r>
    </w:p>
    <w:p>
      <w:pPr>
        <w:spacing w:after="0" w:line="14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Upon adoption of ASU 2016-02, the Company recognized operating lease right-of-use assets of $11.9 million adjusted for $0.3 million previously recorded as deferred rent and $0.2 million previously recorded as prepaid rent on the Company’s condensed consolidated balance sheets. The Company also recorded $1.4 million in current operating lease liabilities and $10.6 million in operating lease liabilities, net of current portion.</w:t>
      </w:r>
    </w:p>
    <w:p>
      <w:pPr>
        <w:spacing w:after="0" w:line="15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As part of this adoption, the Company elected to not record operating lease right-of-use assets or operating lease liabilities for leases with an initial term of 12 months or less. The Company elected to separate the lease and non-lease components on all new or modified operating leases for the co-manufacturing class of assets for the purpose of recording operating lease right-of-use assets and operating lease liabilities and to combine lease and non-lease components on all new or modified operating leases into a single lease component for all other classes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70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Nine Months Ended</w:t>
            </w:r>
          </w:p>
        </w:tc>
      </w:tr>
      <w:tr>
        <w:trPr>
          <w:trHeight w:val="181"/>
        </w:trPr>
        <w:tc>
          <w:tcPr>
            <w:tcW w:w="20" w:type="dxa"/>
            <w:vAlign w:val="bottom"/>
          </w:tcPr>
          <w:p>
            <w:pPr>
              <w:spacing w:after="0"/>
              <w:rPr>
                <w:sz w:val="15"/>
                <w:szCs w:val="15"/>
                <w:color w:val="auto"/>
              </w:rPr>
            </w:pPr>
          </w:p>
        </w:tc>
        <w:tc>
          <w:tcPr>
            <w:tcW w:w="3220" w:type="dxa"/>
            <w:vAlign w:val="bottom"/>
            <w:gridSpan w:val="4"/>
          </w:tcPr>
          <w:p>
            <w:pPr>
              <w:spacing w:after="0" w:line="181" w:lineRule="exact"/>
              <w:rPr>
                <w:sz w:val="20"/>
                <w:szCs w:val="20"/>
                <w:color w:val="auto"/>
              </w:rPr>
            </w:pPr>
            <w:r>
              <w:rPr>
                <w:rFonts w:ascii="Arial" w:cs="Arial" w:eastAsia="Arial" w:hAnsi="Arial"/>
                <w:sz w:val="16"/>
                <w:szCs w:val="16"/>
                <w:b w:val="1"/>
                <w:bCs w:val="1"/>
                <w:color w:val="auto"/>
              </w:rPr>
              <w:t>(in thousands)</w:t>
            </w:r>
          </w:p>
        </w:tc>
        <w:tc>
          <w:tcPr>
            <w:tcW w:w="4280" w:type="dxa"/>
            <w:vAlign w:val="bottom"/>
            <w:gridSpan w:val="2"/>
          </w:tcPr>
          <w:p>
            <w:pPr>
              <w:ind w:left="20"/>
              <w:spacing w:after="0" w:line="181" w:lineRule="exact"/>
              <w:rPr>
                <w:sz w:val="20"/>
                <w:szCs w:val="20"/>
                <w:color w:val="auto"/>
              </w:rPr>
            </w:pPr>
            <w:r>
              <w:rPr>
                <w:rFonts w:ascii="Arial" w:cs="Arial" w:eastAsia="Arial" w:hAnsi="Arial"/>
                <w:sz w:val="16"/>
                <w:szCs w:val="16"/>
                <w:b w:val="1"/>
                <w:bCs w:val="1"/>
                <w:color w:val="auto"/>
              </w:rPr>
              <w:t>Statement of Operations Location</w:t>
            </w:r>
          </w:p>
        </w:tc>
        <w:tc>
          <w:tcPr>
            <w:tcW w:w="1800" w:type="dxa"/>
            <w:vAlign w:val="bottom"/>
            <w:gridSpan w:val="3"/>
          </w:tcPr>
          <w:p>
            <w:pPr>
              <w:ind w:left="80"/>
              <w:spacing w:after="0" w:line="181" w:lineRule="exact"/>
              <w:rPr>
                <w:sz w:val="20"/>
                <w:szCs w:val="20"/>
                <w:color w:val="auto"/>
              </w:rPr>
            </w:pPr>
            <w:r>
              <w:rPr>
                <w:rFonts w:ascii="Arial" w:cs="Arial" w:eastAsia="Arial" w:hAnsi="Arial"/>
                <w:sz w:val="16"/>
                <w:szCs w:val="16"/>
                <w:b w:val="1"/>
                <w:bCs w:val="1"/>
                <w:color w:val="auto"/>
              </w:rPr>
              <w:t>September 26, 2020</w:t>
            </w:r>
          </w:p>
        </w:tc>
        <w:tc>
          <w:tcPr>
            <w:tcW w:w="1700" w:type="dxa"/>
            <w:vAlign w:val="bottom"/>
            <w:gridSpan w:val="2"/>
          </w:tcPr>
          <w:p>
            <w:pPr>
              <w:jc w:val="right"/>
              <w:ind w:right="10"/>
              <w:spacing w:after="0" w:line="181" w:lineRule="exact"/>
              <w:rPr>
                <w:sz w:val="20"/>
                <w:szCs w:val="20"/>
                <w:color w:val="auto"/>
              </w:rPr>
            </w:pPr>
            <w:r>
              <w:rPr>
                <w:rFonts w:ascii="Arial" w:cs="Arial" w:eastAsia="Arial" w:hAnsi="Arial"/>
                <w:sz w:val="16"/>
                <w:szCs w:val="16"/>
                <w:b w:val="1"/>
                <w:bCs w:val="1"/>
                <w:color w:val="auto"/>
              </w:rPr>
              <w:t>September 26,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2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Operating lease cost:</w:t>
            </w:r>
          </w:p>
        </w:tc>
        <w:tc>
          <w:tcPr>
            <w:tcW w:w="4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70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Lease cost</w:t>
            </w:r>
          </w:p>
        </w:tc>
        <w:tc>
          <w:tcPr>
            <w:tcW w:w="1520" w:type="dxa"/>
            <w:vAlign w:val="bottom"/>
            <w:tcBorders>
              <w:top w:val="single" w:sz="8" w:color="CCEEFF"/>
            </w:tcBorders>
          </w:tcPr>
          <w:p>
            <w:pPr>
              <w:spacing w:after="0"/>
              <w:rPr>
                <w:sz w:val="19"/>
                <w:szCs w:val="19"/>
                <w:color w:val="auto"/>
              </w:rPr>
            </w:pPr>
          </w:p>
        </w:tc>
        <w:tc>
          <w:tcPr>
            <w:tcW w:w="42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Cost of goods sold</w:t>
            </w:r>
          </w:p>
        </w:tc>
        <w:tc>
          <w:tcPr>
            <w:tcW w:w="7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jc w:val="right"/>
              <w:ind w:right="43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993</w:t>
            </w:r>
          </w:p>
        </w:tc>
      </w:tr>
      <w:tr>
        <w:trPr>
          <w:trHeight w:val="230"/>
        </w:trPr>
        <w:tc>
          <w:tcPr>
            <w:tcW w:w="20" w:type="dxa"/>
            <w:vAlign w:val="bottom"/>
            <w:shd w:val="clear" w:color="auto" w:fill="CCEEFF"/>
          </w:tcPr>
          <w:p>
            <w:pPr>
              <w:spacing w:after="0"/>
              <w:rPr>
                <w:sz w:val="19"/>
                <w:szCs w:val="19"/>
                <w:color w:val="auto"/>
              </w:rPr>
            </w:pPr>
          </w:p>
        </w:tc>
        <w:tc>
          <w:tcPr>
            <w:tcW w:w="32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Lease cost</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20" w:type="dxa"/>
            <w:vAlign w:val="bottom"/>
          </w:tcPr>
          <w:p>
            <w:pPr>
              <w:spacing w:after="0"/>
              <w:rPr>
                <w:sz w:val="19"/>
                <w:szCs w:val="19"/>
                <w:color w:val="auto"/>
              </w:rPr>
            </w:pPr>
          </w:p>
        </w:tc>
        <w:tc>
          <w:tcPr>
            <w:tcW w:w="3220" w:type="dxa"/>
            <w:vAlign w:val="bottom"/>
            <w:gridSpan w:val="4"/>
          </w:tcPr>
          <w:p>
            <w:pPr>
              <w:ind w:left="160"/>
              <w:spacing w:after="0"/>
              <w:rPr>
                <w:sz w:val="20"/>
                <w:szCs w:val="20"/>
                <w:color w:val="auto"/>
              </w:rPr>
            </w:pPr>
            <w:r>
              <w:rPr>
                <w:rFonts w:ascii="Arial" w:cs="Arial" w:eastAsia="Arial" w:hAnsi="Arial"/>
                <w:sz w:val="18"/>
                <w:szCs w:val="18"/>
                <w:color w:val="auto"/>
              </w:rPr>
              <w:t>Lease cost</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57"/>
        </w:trPr>
        <w:tc>
          <w:tcPr>
            <w:tcW w:w="20" w:type="dxa"/>
            <w:vAlign w:val="bottom"/>
            <w:shd w:val="clear" w:color="auto" w:fill="CCEEFF"/>
          </w:tcPr>
          <w:p>
            <w:pPr>
              <w:spacing w:after="0"/>
              <w:rPr>
                <w:sz w:val="22"/>
                <w:szCs w:val="22"/>
                <w:color w:val="auto"/>
              </w:rPr>
            </w:pPr>
          </w:p>
        </w:tc>
        <w:tc>
          <w:tcPr>
            <w:tcW w:w="32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(1)</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7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Operating lease cost</w:t>
            </w:r>
          </w:p>
        </w:tc>
        <w:tc>
          <w:tcPr>
            <w:tcW w:w="4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w:t>
            </w: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189"/>
        </w:trPr>
        <w:tc>
          <w:tcPr>
            <w:tcW w:w="20" w:type="dxa"/>
            <w:vAlign w:val="bottom"/>
          </w:tcPr>
          <w:p>
            <w:pPr>
              <w:spacing w:after="0"/>
              <w:rPr>
                <w:sz w:val="16"/>
                <w:szCs w:val="16"/>
                <w:color w:val="auto"/>
              </w:rPr>
            </w:pPr>
          </w:p>
        </w:tc>
        <w:tc>
          <w:tcPr>
            <w:tcW w:w="3220" w:type="dxa"/>
            <w:vAlign w:val="bottom"/>
            <w:gridSpan w:val="4"/>
          </w:tcPr>
          <w:p>
            <w:pPr>
              <w:spacing w:after="0" w:line="189" w:lineRule="exact"/>
              <w:rPr>
                <w:sz w:val="20"/>
                <w:szCs w:val="20"/>
                <w:color w:val="auto"/>
              </w:rPr>
            </w:pPr>
            <w:r>
              <w:rPr>
                <w:rFonts w:ascii="Arial" w:cs="Arial" w:eastAsia="Arial" w:hAnsi="Arial"/>
                <w:sz w:val="18"/>
                <w:szCs w:val="18"/>
                <w:color w:val="auto"/>
              </w:rPr>
              <w:t>Finance lease cost:</w:t>
            </w: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Amortization of right-of use assets</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2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Interest on lease liabilities</w:t>
            </w:r>
          </w:p>
        </w:tc>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shd w:val="clear" w:color="auto" w:fill="CCEEFF"/>
          </w:tcPr>
          <w:p>
            <w:pPr>
              <w:spacing w:after="0"/>
              <w:rPr>
                <w:sz w:val="19"/>
                <w:szCs w:val="19"/>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4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20" w:type="dxa"/>
            <w:vAlign w:val="bottom"/>
          </w:tcPr>
          <w:p>
            <w:pPr>
              <w:spacing w:after="0"/>
              <w:rPr>
                <w:sz w:val="19"/>
                <w:szCs w:val="19"/>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auto"/>
              </w:rPr>
              <w:t>Total lease cost</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5"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Variable lease cost primarily consists of common area maintenance, such as cleaning and repairs.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as of September 26, 2020 related to leases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524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280" w:type="dxa"/>
            <w:vAlign w:val="bottom"/>
          </w:tcPr>
          <w:p>
            <w:pPr>
              <w:spacing w:after="0"/>
              <w:rPr>
                <w:sz w:val="16"/>
                <w:szCs w:val="16"/>
                <w:color w:val="auto"/>
              </w:rPr>
            </w:pPr>
          </w:p>
        </w:tc>
        <w:tc>
          <w:tcPr>
            <w:tcW w:w="2120" w:type="dxa"/>
            <w:vAlign w:val="bottom"/>
          </w:tcPr>
          <w:p>
            <w:pPr>
              <w:jc w:val="right"/>
              <w:ind w:right="351"/>
              <w:spacing w:after="0"/>
              <w:rPr>
                <w:sz w:val="20"/>
                <w:szCs w:val="20"/>
                <w:color w:val="auto"/>
              </w:rPr>
            </w:pPr>
            <w:r>
              <w:rPr>
                <w:rFonts w:ascii="Arial" w:cs="Arial" w:eastAsia="Arial" w:hAnsi="Arial"/>
                <w:sz w:val="16"/>
                <w:szCs w:val="16"/>
                <w:b w:val="1"/>
                <w:bCs w:val="1"/>
                <w:color w:val="auto"/>
              </w:rPr>
              <w:t>September 26, 2020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Assets</w:t>
            </w:r>
          </w:p>
        </w:tc>
        <w:tc>
          <w:tcPr>
            <w:tcW w:w="2320" w:type="dxa"/>
            <w:vAlign w:val="bottom"/>
            <w:vMerge w:val="restart"/>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leases, net</w:t>
            </w:r>
          </w:p>
        </w:tc>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assets</w:t>
            </w:r>
          </w:p>
        </w:tc>
        <w:tc>
          <w:tcPr>
            <w:tcW w:w="5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5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Finance lease liabilities</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Current portion of finance lease liabilities</w:t>
            </w: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w:t>
            </w:r>
          </w:p>
        </w:tc>
        <w:tc>
          <w:tcPr>
            <w:tcW w:w="5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11,413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obligations and 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is a schedule by year of the maturities of lease liabilities with original terms in excess of one year, as of September 26, 2020:</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7"/>
          </w:tcPr>
          <w:p>
            <w:pPr>
              <w:ind w:left="840"/>
              <w:spacing w:after="0"/>
              <w:rPr>
                <w:sz w:val="20"/>
                <w:szCs w:val="20"/>
                <w:color w:val="auto"/>
              </w:rPr>
            </w:pPr>
            <w:r>
              <w:rPr>
                <w:rFonts w:ascii="Arial" w:cs="Arial" w:eastAsia="Arial" w:hAnsi="Arial"/>
                <w:sz w:val="16"/>
                <w:szCs w:val="16"/>
                <w:b w:val="1"/>
                <w:bCs w:val="1"/>
                <w:color w:val="auto"/>
              </w:rPr>
              <w:t>September 26, 2020</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73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5"/>
                <w:szCs w:val="15"/>
                <w:color w:val="auto"/>
              </w:rPr>
            </w:pPr>
          </w:p>
        </w:tc>
        <w:tc>
          <w:tcPr>
            <w:tcW w:w="1640" w:type="dxa"/>
            <w:vAlign w:val="bottom"/>
            <w:gridSpan w:val="4"/>
          </w:tcPr>
          <w:p>
            <w:pPr>
              <w:ind w:left="20"/>
              <w:spacing w:after="0" w:line="175" w:lineRule="exact"/>
              <w:rPr>
                <w:sz w:val="20"/>
                <w:szCs w:val="20"/>
                <w:color w:val="auto"/>
              </w:rPr>
            </w:pPr>
            <w:r>
              <w:rPr>
                <w:rFonts w:ascii="Arial" w:cs="Arial" w:eastAsia="Arial" w:hAnsi="Arial"/>
                <w:sz w:val="16"/>
                <w:szCs w:val="16"/>
                <w:b w:val="1"/>
                <w:bCs w:val="1"/>
                <w:color w:val="auto"/>
              </w:rPr>
              <w:t>Operating Leases</w:t>
            </w:r>
          </w:p>
        </w:tc>
        <w:tc>
          <w:tcPr>
            <w:tcW w:w="180" w:type="dxa"/>
            <w:vAlign w:val="bottom"/>
          </w:tcPr>
          <w:p>
            <w:pPr>
              <w:spacing w:after="0"/>
              <w:rPr>
                <w:sz w:val="15"/>
                <w:szCs w:val="15"/>
                <w:color w:val="auto"/>
              </w:rPr>
            </w:pPr>
          </w:p>
        </w:tc>
        <w:tc>
          <w:tcPr>
            <w:tcW w:w="150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Finance Leases</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ind w:left="80"/>
              <w:spacing w:after="0"/>
              <w:rPr>
                <w:sz w:val="20"/>
                <w:szCs w:val="20"/>
                <w:color w:val="auto"/>
              </w:rPr>
            </w:pPr>
            <w:r>
              <w:rPr>
                <w:rFonts w:ascii="Arial" w:cs="Arial" w:eastAsia="Arial" w:hAnsi="Arial"/>
                <w:sz w:val="18"/>
                <w:szCs w:val="18"/>
                <w:color w:val="auto"/>
              </w:rPr>
              <w:t>2021</w:t>
            </w:r>
          </w:p>
        </w:tc>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ind w:left="80"/>
              <w:spacing w:after="0"/>
              <w:rPr>
                <w:sz w:val="20"/>
                <w:szCs w:val="20"/>
                <w:color w:val="auto"/>
              </w:rPr>
            </w:pPr>
            <w:r>
              <w:rPr>
                <w:rFonts w:ascii="Arial" w:cs="Arial" w:eastAsia="Arial" w:hAnsi="Arial"/>
                <w:sz w:val="18"/>
                <w:szCs w:val="18"/>
                <w:color w:val="auto"/>
              </w:rPr>
              <w:t>2023</w:t>
            </w:r>
          </w:p>
        </w:tc>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ind w:left="80"/>
              <w:spacing w:after="0"/>
              <w:rPr>
                <w:sz w:val="20"/>
                <w:szCs w:val="20"/>
                <w:color w:val="auto"/>
              </w:rPr>
            </w:pPr>
            <w:r>
              <w:rPr>
                <w:rFonts w:ascii="Arial" w:cs="Arial" w:eastAsia="Arial" w:hAnsi="Arial"/>
                <w:sz w:val="18"/>
                <w:szCs w:val="18"/>
                <w:color w:val="auto"/>
              </w:rPr>
              <w:t>2025</w:t>
            </w:r>
          </w:p>
        </w:tc>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Total undiscounted future minimum lease payments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15,401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Total discounted future minimum lease payments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360" w:type="dxa"/>
            <w:vAlign w:val="bottom"/>
            <w:gridSpan w:val="3"/>
            <w:vMerge w:val="restart"/>
          </w:tcPr>
          <w:p>
            <w:pPr>
              <w:ind w:left="40"/>
              <w:spacing w:after="0"/>
              <w:rPr>
                <w:sz w:val="20"/>
                <w:szCs w:val="20"/>
                <w:color w:val="auto"/>
              </w:rPr>
            </w:pPr>
            <w:r>
              <w:rPr>
                <w:rFonts w:ascii="Arial" w:cs="Arial" w:eastAsia="Arial" w:hAnsi="Arial"/>
                <w:sz w:val="18"/>
                <w:szCs w:val="18"/>
                <w:color w:val="auto"/>
              </w:rPr>
              <w:t>Weighted average remaining lease terms and weighted average discount rates were:</w:t>
            </w: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0" w:type="dxa"/>
            <w:vAlign w:val="bottom"/>
          </w:tcPr>
          <w:p>
            <w:pPr>
              <w:spacing w:after="0"/>
              <w:rPr>
                <w:sz w:val="24"/>
                <w:szCs w:val="24"/>
                <w:color w:val="auto"/>
              </w:rPr>
            </w:pPr>
          </w:p>
        </w:tc>
        <w:tc>
          <w:tcPr>
            <w:tcW w:w="73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7"/>
          </w:tcPr>
          <w:p>
            <w:pPr>
              <w:ind w:left="740"/>
              <w:spacing w:after="0"/>
              <w:rPr>
                <w:sz w:val="20"/>
                <w:szCs w:val="20"/>
                <w:color w:val="auto"/>
              </w:rPr>
            </w:pPr>
            <w:r>
              <w:rPr>
                <w:rFonts w:ascii="Arial" w:cs="Arial" w:eastAsia="Arial" w:hAnsi="Arial"/>
                <w:sz w:val="16"/>
                <w:szCs w:val="16"/>
                <w:b w:val="1"/>
                <w:bCs w:val="1"/>
                <w:color w:val="auto"/>
              </w:rPr>
              <w:t>September 26, 2020</w:t>
            </w:r>
          </w:p>
        </w:tc>
        <w:tc>
          <w:tcPr>
            <w:tcW w:w="0" w:type="dxa"/>
            <w:vAlign w:val="bottom"/>
          </w:tcPr>
          <w:p>
            <w:pPr>
              <w:spacing w:after="0"/>
              <w:rPr>
                <w:sz w:val="1"/>
                <w:szCs w:val="1"/>
                <w:color w:val="auto"/>
              </w:rPr>
            </w:pPr>
          </w:p>
        </w:tc>
      </w:tr>
      <w:tr>
        <w:trPr>
          <w:trHeight w:val="212"/>
        </w:trPr>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60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Operating Leases</w:t>
            </w:r>
          </w:p>
        </w:tc>
        <w:tc>
          <w:tcPr>
            <w:tcW w:w="120" w:type="dxa"/>
            <w:vAlign w:val="bottom"/>
            <w:tcBorders>
              <w:top w:val="single" w:sz="8" w:color="auto"/>
              <w:bottom w:val="single" w:sz="8" w:color="CCEEFF"/>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Finance Leases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4"/>
          </w:tcPr>
          <w:p>
            <w:pPr>
              <w:ind w:left="20"/>
              <w:spacing w:after="0"/>
              <w:rPr>
                <w:sz w:val="20"/>
                <w:szCs w:val="20"/>
                <w:color w:val="auto"/>
              </w:rPr>
            </w:pPr>
            <w:r>
              <w:rPr>
                <w:rFonts w:ascii="Arial" w:cs="Arial" w:eastAsia="Arial" w:hAnsi="Arial"/>
                <w:sz w:val="18"/>
                <w:szCs w:val="18"/>
                <w:color w:val="auto"/>
              </w:rPr>
              <w:t>Weighted average discount rate</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380" w:firstLine="324"/>
        <w:spacing w:after="0" w:line="256" w:lineRule="auto"/>
        <w:rPr>
          <w:sz w:val="20"/>
          <w:szCs w:val="20"/>
          <w:color w:val="auto"/>
        </w:rPr>
      </w:pPr>
      <w:r>
        <w:rPr>
          <w:rFonts w:ascii="Arial" w:cs="Arial" w:eastAsia="Arial" w:hAnsi="Arial"/>
          <w:sz w:val="18"/>
          <w:szCs w:val="18"/>
          <w:color w:val="221F1F"/>
        </w:rPr>
        <w:t>A schedule of the future minimum rental commitments under the Company’s capital lease agreements and non-cancelable operating lease agreements with an initial or remaining term in excess of one year as of December 31, 2019, in accordance with ASC 840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2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Capital Lease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Operating Lease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20" w:type="dxa"/>
            <w:vAlign w:val="bottom"/>
            <w:gridSpan w:val="4"/>
            <w:vMerge w:val="continue"/>
          </w:tcPr>
          <w:p>
            <w:pPr>
              <w:spacing w:after="0"/>
              <w:rPr>
                <w:sz w:val="15"/>
                <w:szCs w:val="15"/>
                <w:color w:val="auto"/>
              </w:rPr>
            </w:pPr>
          </w:p>
        </w:tc>
        <w:tc>
          <w:tcPr>
            <w:tcW w:w="1540" w:type="dxa"/>
            <w:vAlign w:val="bottom"/>
            <w:gridSpan w:val="2"/>
          </w:tcPr>
          <w:p>
            <w:pPr>
              <w:jc w:val="right"/>
              <w:ind w:right="120"/>
              <w:spacing w:after="0" w:line="175" w:lineRule="exact"/>
              <w:rPr>
                <w:sz w:val="20"/>
                <w:szCs w:val="20"/>
                <w:color w:val="auto"/>
              </w:rPr>
            </w:pPr>
            <w:r>
              <w:rPr>
                <w:rFonts w:ascii="Arial" w:cs="Arial" w:eastAsia="Arial" w:hAnsi="Arial"/>
                <w:sz w:val="16"/>
                <w:szCs w:val="16"/>
                <w:b w:val="1"/>
                <w:bCs w:val="1"/>
                <w:color w:val="auto"/>
              </w:rPr>
              <w:t>Obligations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5"/>
          </w:tcPr>
          <w:p>
            <w:pPr>
              <w:jc w:val="right"/>
              <w:ind w:right="980"/>
              <w:spacing w:after="0" w:line="175" w:lineRule="exact"/>
              <w:rPr>
                <w:sz w:val="20"/>
                <w:szCs w:val="20"/>
                <w:color w:val="auto"/>
              </w:rPr>
            </w:pPr>
            <w:r>
              <w:rPr>
                <w:rFonts w:ascii="Arial" w:cs="Arial" w:eastAsia="Arial" w:hAnsi="Arial"/>
                <w:sz w:val="16"/>
                <w:szCs w:val="16"/>
                <w:b w:val="1"/>
                <w:bCs w:val="1"/>
                <w:color w:val="auto"/>
              </w:rPr>
              <w:t>Obligations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spacing w:after="0"/>
              <w:rPr>
                <w:sz w:val="19"/>
                <w:szCs w:val="19"/>
                <w:color w:val="auto"/>
              </w:rPr>
            </w:pPr>
          </w:p>
        </w:tc>
        <w:tc>
          <w:tcPr>
            <w:tcW w:w="50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60" w:type="dxa"/>
            <w:vAlign w:val="bottom"/>
            <w:gridSpan w:val="2"/>
            <w:shd w:val="clear" w:color="auto" w:fill="CCEEFF"/>
          </w:tcPr>
          <w:p>
            <w:pPr>
              <w:jc w:val="center"/>
              <w:ind w:right="599"/>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gridSpan w:val="4"/>
          </w:tcPr>
          <w:p>
            <w:pPr>
              <w:ind w:left="3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9"/>
                <w:szCs w:val="19"/>
                <w:color w:val="auto"/>
              </w:rPr>
            </w:pPr>
          </w:p>
        </w:tc>
        <w:tc>
          <w:tcPr>
            <w:tcW w:w="50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gridSpan w:val="4"/>
          </w:tcPr>
          <w:p>
            <w:pPr>
              <w:ind w:left="34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9"/>
                <w:szCs w:val="19"/>
                <w:color w:val="auto"/>
              </w:rPr>
            </w:pPr>
          </w:p>
        </w:tc>
        <w:tc>
          <w:tcPr>
            <w:tcW w:w="50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2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Thereafter</w:t>
            </w:r>
          </w:p>
        </w:tc>
        <w:tc>
          <w:tcPr>
            <w:tcW w:w="13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1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center"/>
              <w:ind w:right="599"/>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20" w:type="dxa"/>
            <w:vAlign w:val="bottom"/>
            <w:tcBorders>
              <w:top w:val="single" w:sz="8" w:color="CCEEFF"/>
            </w:tcBorders>
            <w:gridSpan w:val="4"/>
          </w:tcPr>
          <w:p>
            <w:pPr>
              <w:ind w:left="20"/>
              <w:spacing w:after="0" w:line="190" w:lineRule="exact"/>
              <w:rPr>
                <w:sz w:val="20"/>
                <w:szCs w:val="20"/>
                <w:color w:val="auto"/>
              </w:rPr>
            </w:pPr>
            <w:r>
              <w:rPr>
                <w:rFonts w:ascii="Arial" w:cs="Arial" w:eastAsia="Arial" w:hAnsi="Arial"/>
                <w:sz w:val="18"/>
                <w:szCs w:val="18"/>
                <w:color w:val="auto"/>
              </w:rPr>
              <w:t>Total minimum lease payments</w:t>
            </w:r>
          </w:p>
        </w:tc>
        <w:tc>
          <w:tcPr>
            <w:tcW w:w="1320" w:type="dxa"/>
            <w:vAlign w:val="bottom"/>
            <w:tcBorders>
              <w:top w:val="single" w:sz="8" w:color="auto"/>
            </w:tcBorders>
          </w:tcPr>
          <w:p>
            <w:pPr>
              <w:jc w:val="right"/>
              <w:ind w:right="1112"/>
              <w:spacing w:after="0" w:line="190"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325</w:t>
            </w:r>
          </w:p>
        </w:tc>
        <w:tc>
          <w:tcPr>
            <w:tcW w:w="12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Less: imputed interest (4.1% to 15.9%)</w:t>
            </w:r>
          </w:p>
        </w:tc>
        <w:tc>
          <w:tcPr>
            <w:tcW w:w="13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20" w:type="dxa"/>
            <w:vAlign w:val="bottom"/>
            <w:gridSpan w:val="4"/>
          </w:tcPr>
          <w:p>
            <w:pPr>
              <w:ind w:left="20"/>
              <w:spacing w:after="0"/>
              <w:rPr>
                <w:sz w:val="20"/>
                <w:szCs w:val="20"/>
                <w:color w:val="auto"/>
              </w:rPr>
            </w:pPr>
            <w:r>
              <w:rPr>
                <w:rFonts w:ascii="Arial" w:cs="Arial" w:eastAsia="Arial" w:hAnsi="Arial"/>
                <w:sz w:val="18"/>
                <w:szCs w:val="18"/>
                <w:color w:val="auto"/>
              </w:rPr>
              <w:t>Total capital lease obligations</w:t>
            </w:r>
          </w:p>
        </w:tc>
        <w:tc>
          <w:tcPr>
            <w:tcW w:w="1320" w:type="dxa"/>
            <w:vAlign w:val="bottom"/>
          </w:tcPr>
          <w:p>
            <w:pPr>
              <w:jc w:val="right"/>
              <w:ind w:right="111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Less: current portion of capital lease obligations</w:t>
            </w:r>
          </w:p>
        </w:tc>
        <w:tc>
          <w:tcPr>
            <w:tcW w:w="13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20" w:type="dxa"/>
            <w:vAlign w:val="bottom"/>
            <w:gridSpan w:val="4"/>
          </w:tcPr>
          <w:p>
            <w:pPr>
              <w:ind w:left="20"/>
              <w:spacing w:after="0"/>
              <w:rPr>
                <w:sz w:val="20"/>
                <w:szCs w:val="20"/>
                <w:color w:val="auto"/>
              </w:rPr>
            </w:pPr>
            <w:r>
              <w:rPr>
                <w:rFonts w:ascii="Arial" w:cs="Arial" w:eastAsia="Arial" w:hAnsi="Arial"/>
                <w:sz w:val="18"/>
                <w:szCs w:val="18"/>
                <w:color w:val="auto"/>
              </w:rPr>
              <w:t>Long-term capital lease obligations</w:t>
            </w:r>
          </w:p>
        </w:tc>
        <w:tc>
          <w:tcPr>
            <w:tcW w:w="1320" w:type="dxa"/>
            <w:vAlign w:val="bottom"/>
            <w:tcBorders>
              <w:bottom w:val="single" w:sz="8" w:color="auto"/>
            </w:tcBorders>
          </w:tcPr>
          <w:p>
            <w:pPr>
              <w:jc w:val="right"/>
              <w:ind w:right="1112"/>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Note 5. Inventories</w:t>
            </w: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6540" w:type="dxa"/>
            <w:vAlign w:val="bottom"/>
            <w:gridSpan w:val="6"/>
            <w:vMerge w:val="continue"/>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gridSpan w:val="4"/>
          </w:tcPr>
          <w:p>
            <w:pPr>
              <w:ind w:left="20"/>
              <w:spacing w:after="0"/>
              <w:rPr>
                <w:sz w:val="20"/>
                <w:szCs w:val="20"/>
                <w:color w:val="auto"/>
              </w:rPr>
            </w:pPr>
            <w:r>
              <w:rPr>
                <w:rFonts w:ascii="Arial" w:cs="Arial" w:eastAsia="Arial" w:hAnsi="Arial"/>
                <w:sz w:val="18"/>
                <w:szCs w:val="18"/>
                <w:color w:val="auto"/>
              </w:rPr>
              <w:t>Major classes of inventory were as follows:</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52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September 26,</w:t>
            </w:r>
          </w:p>
        </w:tc>
        <w:tc>
          <w:tcPr>
            <w:tcW w:w="20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20" w:type="dxa"/>
            <w:vAlign w:val="bottom"/>
            <w:gridSpan w:val="5"/>
            <w:vMerge w:val="continue"/>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gridSpan w:val="2"/>
          </w:tcPr>
          <w:p>
            <w:pPr>
              <w:jc w:val="center"/>
              <w:ind w:right="579"/>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91"/>
              <w:spacing w:after="0" w:line="175" w:lineRule="exact"/>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5"/>
          </w:tcPr>
          <w:p>
            <w:pPr>
              <w:spacing w:after="0"/>
              <w:rPr>
                <w:sz w:val="20"/>
                <w:szCs w:val="20"/>
                <w:color w:val="auto"/>
              </w:rPr>
            </w:pPr>
            <w:r>
              <w:rPr>
                <w:rFonts w:ascii="Arial" w:cs="Arial" w:eastAsia="Arial" w:hAnsi="Arial"/>
                <w:sz w:val="18"/>
                <w:szCs w:val="18"/>
                <w:color w:val="auto"/>
              </w:rPr>
              <w:t>Raw materials and packaging</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83,636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36,884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17,958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52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Finished goods</w:t>
            </w:r>
          </w:p>
        </w:tc>
        <w:tc>
          <w:tcPr>
            <w:tcW w:w="1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29,995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26,754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132,359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81,596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Plant and Equipment</w:t>
      </w:r>
    </w:p>
    <w:p>
      <w:pPr>
        <w:spacing w:after="0" w:line="19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Property, plant, and equipment are stated at cost and finance lease assets are included. A summary of property, plant, and equipment as of September 26, 2020 and December 31,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26,</w:t>
            </w:r>
          </w:p>
        </w:tc>
        <w:tc>
          <w:tcPr>
            <w:tcW w:w="200" w:type="dxa"/>
            <w:vAlign w:val="bottom"/>
          </w:tcPr>
          <w:p>
            <w:pPr>
              <w:spacing w:after="0"/>
              <w:rPr>
                <w:sz w:val="16"/>
                <w:szCs w:val="16"/>
                <w:color w:val="auto"/>
              </w:rPr>
            </w:pPr>
          </w:p>
        </w:tc>
        <w:tc>
          <w:tcPr>
            <w:tcW w:w="1380" w:type="dxa"/>
            <w:vAlign w:val="bottom"/>
          </w:tcPr>
          <w:p>
            <w:pPr>
              <w:jc w:val="right"/>
              <w:ind w:right="17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ind w:right="571"/>
              <w:spacing w:after="0" w:line="175" w:lineRule="exact"/>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511"/>
              <w:spacing w:after="0" w:line="175"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Manufacturing equipment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56,435</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37,939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equipment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not yet placed in service</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Total property, plant and equipment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106,221</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68,183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Depreciation and amortization expense for the three months ended September 26, 2020 and September 28, 2019, was $ 3.4 million and $2.0 million, respectively. Of the total depreciation and amortization expense in the three months ended September 26, 2020 and September 28, 2019, $2.6 million and $ 1.4 million, respectively, were recorded in cost of goods sold, $0.7 million and $0.6 million, respectively, were recorded in research and development expenses, and $30,000 and $17,000, respectively, were recorded in SG&amp;A expenses in the Company’s condensed consolidated statements of operations.</w:t>
      </w:r>
    </w:p>
    <w:p>
      <w:pPr>
        <w:spacing w:after="0" w:line="205"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Depreciation and amortization expense for the nine months ended September 26, 2020 and September 28, 2019, was $ 9.3 million and $6.0 million, respectively. Of the total depreciation and amortization expense in the nine months ended September 26, 2020 and September 28, 2019, $7.1 million and $ 4.2 million, respectively, were recorded in cost of goods sold, $2.1 million and $1.8 million, respectively, were recorded in research and development expenses, and $0.1 million and $39,000, respectively, were recorded in SG&amp;A expenses, in the Company’s condensed consolidated statements of operations.</w:t>
      </w:r>
    </w:p>
    <w:p>
      <w:pPr>
        <w:spacing w:after="0" w:line="15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Company no longer has any assets that meet the criteria for assets held for sale as of September 26, 2020. Amounts previously classified as assets held for sale were sold for amounts that approximated book value for which a note receivable of $4.6 million, net of payments, was recorded as of September 26, 2020, of which $2.4 million is included in prepaid expenses and other current assets and $2.2 million is included in other non-current assets.</w:t>
      </w:r>
    </w:p>
    <w:p>
      <w:pPr>
        <w:spacing w:after="0" w:line="150" w:lineRule="exact"/>
        <w:rPr>
          <w:sz w:val="20"/>
          <w:szCs w:val="20"/>
          <w:color w:val="auto"/>
        </w:rPr>
      </w:pPr>
    </w:p>
    <w:p>
      <w:pPr>
        <w:ind w:right="580" w:firstLine="324"/>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Subsequent to the quarter ended September 26, 2020, on October 30, 2020, the Company acquired certain assets including land, building, vehicles, machinery and equipment and certain workforce from one of its former co-manufacturers. See </w:t>
      </w:r>
      <w:hyperlink w:anchor="page37">
        <w:r>
          <w:rPr>
            <w:rFonts w:ascii="Arial" w:cs="Arial" w:eastAsia="Arial" w:hAnsi="Arial"/>
            <w:sz w:val="18"/>
            <w:szCs w:val="18"/>
            <w:u w:val="single" w:color="auto"/>
            <w:color w:val="0000FF"/>
          </w:rPr>
          <w:t>Note 13.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On April 21, 2020, the Company entered into a $150 million five-year secured revolving credit agreement (“2020 Credit Agreement”) by and among the Company, the lenders party thereto (the “Lenders”) and JPMorgan Chase Bank, N.A., as the administrative agent (the “Administrative Agent”). JPMorgan Chase Bank, N.A. and Silicon Valley Bank acted as joint bookrunners and joint lead arrangers under the 2020 Credit Agreement. The 2020 Credit Agreement includes an accordion feature for up to an additional $200 million. Capitalized terms used below but not defined have the meanings ascribed to such terms in the 2020 Credit Agreement.</w:t>
      </w:r>
    </w:p>
    <w:p>
      <w:pPr>
        <w:spacing w:after="0" w:line="15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Concurrently with the effectiveness of the 2020 Credit Agreement, on April 21, 2020, the Company terminated the SVB Credit Facilities (a revolving credit facility and a term loan facility with Silicon Valley Bank) and the Equipment Loan Facility (an equipment loan from Structural Capital), and incurred an aggregate of $1.2 million of termination, prepayment, and related fees in connection with such terminations.</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Amounts available under the 2020 Credit Agreement are for working capital needs, for general corporate purposes and to refinance certain existing indebtedness, as the Company deems necessary. Borrowings under the 2020 Credit Agreement will bear interest, at the Company’s option, calculated according to an Alternate Base Rate or LIBO Rate, as the case may be, plus an applicable margin. Until the delivery to the Administrative Agent of the Company’s consolidated financial information for the fiscal quarter ended September 26, 2020, the applicable margin was 1.5% per annum for Alternate Base Rate loans and 2.5% per annum for LIBO Rate loans. Thereafter, the applicable margin for Alternate Base Rate loans will range from 1.25% to 1.75% per annum, and the applicable margin for LIBO Rate loans will range from 2.25% to 2.75% per annum, in each case, based on the Company’s total leverage ratio at the end of each quarter.</w:t>
      </w:r>
    </w:p>
    <w:p>
      <w:pPr>
        <w:spacing w:after="0" w:line="15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Company is required to pay an unused commitment fee of 0.375% per annum, which shall accrue at the applicable rate on the daily amount of the undrawn portion of the commitment of each Lender. Letters of credit issued under the 2020 Credit Agreement are subject to customary letter of credit fees. The Company’s obligations under the 2020 Credit Agreement are secured by substantially all of its assets, subject to customary exceptions set forth in the 2020 Credit Agreement. In addition, to the extent the Company forms or acquires any domestic subsidiaries, such domestic subsidiaries will be required to guarantee the Company’s obligations under the 2020 Credit Agreement and provide a security interest over substantially all of their assets.</w:t>
      </w:r>
    </w:p>
    <w:p>
      <w:pPr>
        <w:spacing w:after="0" w:line="15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2020 Credit Agreement contains customary representations, warranties and covenants for a transaction of this type, including maintenance of (i) a maximum total leverage ratio of 3.00 to 1.00 and (ii) a minimum fixed charge coverage ratio of 1.25 to 1.00, in each case, tested on the last day of each fiscal quarter. The Company is permitted to declare and pay up to $10.0 million per year in dividends on its capital stock (and, subject to meeting certain leverage requirements and minimum liquidity thresholds, additional dividends), provided, among other things, no event of default exists or would result therefrom and the Company is in compliance with certain financial covenants contained in the 2020 Credit Agreement. The 2020 Credit Agreement also provides for customary events of default, including (among others) nonpayment, covenant defaults, breaches of representations or warranties, bankruptcy and insolvency events and a change of control. If an event of default occurs, the Administrative Agent shall, at the request of, or may, with the consent of, the required Lenders, declare the obligations under the 2020 Credit Agreement immediately due and payable and the commitments of the Lenders may be terminated. For certain events of default relating to insolvency, the commitments of the Lenders are automatically terminated and all outstanding obligations become due and payable. The revolving credit facility matures on April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balances are detailed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7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26,</w:t>
            </w:r>
          </w:p>
        </w:tc>
        <w:tc>
          <w:tcPr>
            <w:tcW w:w="180" w:type="dxa"/>
            <w:vAlign w:val="bottom"/>
          </w:tcPr>
          <w:p>
            <w:pPr>
              <w:spacing w:after="0"/>
              <w:rPr>
                <w:sz w:val="16"/>
                <w:szCs w:val="16"/>
                <w:color w:val="auto"/>
              </w:rPr>
            </w:pPr>
          </w:p>
        </w:tc>
        <w:tc>
          <w:tcPr>
            <w:tcW w:w="1400" w:type="dxa"/>
            <w:vAlign w:val="bottom"/>
          </w:tcPr>
          <w:p>
            <w:pPr>
              <w:jc w:val="right"/>
              <w:ind w:right="19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592"/>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532"/>
              <w:spacing w:after="0" w:line="175"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line (SVB)</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Term loan facility</w:t>
            </w:r>
          </w:p>
        </w:tc>
        <w:tc>
          <w:tcPr>
            <w:tcW w:w="20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financing loan</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7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 outstanding</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Company records debt issuance costs on the revolving credit facility in other non-current assets, net in the accompanying condensed consolidated balance sheet as of September 26, 2020. Debt issuance costs on the revolving credit line and term loan, net of amortization, were recorded as a reduction of carrying value of the debt in the accompanying condensed consolidated balance sheet as of December 31, 2019. Debt issuance costs, net of amortization, totaled $1.1 million and $0.4 million as of September 26, 2020 and December 31, 2019, respectively. Debt issuance costs are amortized as interest expense over the term of the loan for which amortization of $0.1 million and $46,000 was recorded during the three months ended September 26, 2020 and September 28, 2019, respectively, and $0.2 million and $0.1 million was recorded in the nine months ended September 26, 2020 and September 28, 2019, respectively.</w:t>
      </w:r>
    </w:p>
    <w:p>
      <w:pPr>
        <w:spacing w:after="0" w:line="20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each of the three months ended September 26, 2020 and September 28, 2019, the Company incurred $ 0.7 million in interest expense related to its bank credit facilities. In the nine months ended September 26, 2020 and September 28, 2019, the Company incurred $1.6 million and $1.9 million, respectively, in interest expense related to its bank credit facilities. In the three months ended September 26, 2020 and September 28, 2019, the Company incurred $0 and $0.1 million, respectively, in interest expense related to the Equipment Loan Facility. In the nine months ended September 26, 2020 and September 28, 2019, the Company recorded $0.2 million and $0.4 million, respectively, in interest expense related to the Equipment Loan Facility.</w:t>
      </w:r>
    </w:p>
    <w:p>
      <w:pPr>
        <w:spacing w:after="0" w:line="20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of September 26, 2020, the Company had outstanding borrowings of $50.0 million and $ 100.0 million in excess availability (excluding the accordion feature) under the revolving credit facility (subject to limitations in order to comply with the Company’s quarterly financial maintenance covenants). The interest rate on outstanding borrowings at September 26, 2020 was 3.5%. The Company was in compliance with the financial covenants in the 2020 Credit Agreement for the fiscal quarter ended September 26, 2020.</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As of September 26, 2020, the Company’s shares consisted of 500,000,000 authorized shares of common stock, par value $0.0001 per share, of which 62,625,629 shares of common stock were issued and outstanding, and 500,000 authorized shares of preferred stock, par value $0.0001 per share, of which no shares were issued and outstanding.</w:t>
      </w:r>
    </w:p>
    <w:p>
      <w:pPr>
        <w:spacing w:after="0" w:line="148"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As of December 31, 2019, the Company’s shares consisted of 500,000,000 authorized shares of common stock, par value $0.0001 per share, of which 61,576,494 shares were issued and outstanding, and 500,000 authorized shares of preferred stock, par value $0.0001 per share, of which no shares were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00" w:firstLine="324"/>
        <w:spacing w:after="0" w:line="261"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93"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In 2019, the Company’s 2011 Equity Incentive Plan was amended, restated and re-named the 2018 Equity Incentive Plan (“2018 Plan”), and the remaining shares available for issuance under the 2011 Plan were added to the shares reserved for issuance under the 2018 Plan. As of January 1, 2020, the maximum aggregate number of shares that may be issued under the 2018 Plan increased to 16,626,877 shares.</w:t>
      </w:r>
    </w:p>
    <w:p>
      <w:pPr>
        <w:spacing w:after="0" w:line="148"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As of September 26, 2020 and December 31, 2019, there were 4,375,498 and 5,170,976 shares, respectively, issuable under stock options outstanding, 283,698 and 149,004 shares, respectively, issuable under unvested RSUs outstanding, 6,926,700 and 5,864,738 shares, respectively, issued for stock option exercises, RSU settlement, and restricted stock grants, and 5,053,398 and 3,297,638 shares, respectively, available for grants under the 2018 Plan.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are the assumptions used in the Black-Scholes valuation model for options granted during the periods shown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40" w:type="dxa"/>
            <w:vAlign w:val="bottom"/>
          </w:tcPr>
          <w:p>
            <w:pPr>
              <w:spacing w:after="0"/>
              <w:rPr>
                <w:sz w:val="18"/>
                <w:szCs w:val="18"/>
                <w:color w:val="auto"/>
              </w:rPr>
            </w:pPr>
          </w:p>
        </w:tc>
        <w:tc>
          <w:tcPr>
            <w:tcW w:w="3540" w:type="dxa"/>
            <w:vAlign w:val="bottom"/>
            <w:gridSpan w:val="4"/>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3420" w:type="dxa"/>
            <w:vAlign w:val="bottom"/>
            <w:gridSpan w:val="3"/>
          </w:tcPr>
          <w:p>
            <w:pPr>
              <w:ind w:left="960"/>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040" w:type="dxa"/>
            <w:vAlign w:val="bottom"/>
          </w:tcPr>
          <w:p>
            <w:pPr>
              <w:spacing w:after="0"/>
              <w:rPr>
                <w:sz w:val="13"/>
                <w:szCs w:val="13"/>
                <w:color w:val="auto"/>
              </w:rPr>
            </w:pPr>
          </w:p>
        </w:tc>
        <w:tc>
          <w:tcPr>
            <w:tcW w:w="1780" w:type="dxa"/>
            <w:vAlign w:val="bottom"/>
            <w:tcBorders>
              <w:top w:val="single" w:sz="8" w:color="auto"/>
            </w:tcBorders>
            <w:gridSpan w:val="2"/>
          </w:tcPr>
          <w:p>
            <w:pPr>
              <w:ind w:left="260"/>
              <w:spacing w:after="0" w:line="158" w:lineRule="exact"/>
              <w:rPr>
                <w:sz w:val="20"/>
                <w:szCs w:val="20"/>
                <w:color w:val="auto"/>
              </w:rPr>
            </w:pPr>
            <w:r>
              <w:rPr>
                <w:rFonts w:ascii="Arial" w:cs="Arial" w:eastAsia="Arial" w:hAnsi="Arial"/>
                <w:sz w:val="16"/>
                <w:szCs w:val="16"/>
                <w:b w:val="1"/>
                <w:bCs w:val="1"/>
                <w:color w:val="auto"/>
              </w:rPr>
              <w:t>September 26,</w:t>
            </w:r>
          </w:p>
        </w:tc>
        <w:tc>
          <w:tcPr>
            <w:tcW w:w="1640" w:type="dxa"/>
            <w:vAlign w:val="bottom"/>
            <w:tcBorders>
              <w:top w:val="single" w:sz="8" w:color="auto"/>
            </w:tcBorders>
          </w:tcPr>
          <w:p>
            <w:pPr>
              <w:ind w:left="260"/>
              <w:spacing w:after="0" w:line="158" w:lineRule="exact"/>
              <w:rPr>
                <w:sz w:val="20"/>
                <w:szCs w:val="20"/>
                <w:color w:val="auto"/>
              </w:rPr>
            </w:pPr>
            <w:r>
              <w:rPr>
                <w:rFonts w:ascii="Arial" w:cs="Arial" w:eastAsia="Arial" w:hAnsi="Arial"/>
                <w:sz w:val="16"/>
                <w:szCs w:val="16"/>
                <w:b w:val="1"/>
                <w:bCs w:val="1"/>
                <w:color w:val="auto"/>
              </w:rPr>
              <w:t>September 28,</w:t>
            </w:r>
          </w:p>
        </w:tc>
        <w:tc>
          <w:tcPr>
            <w:tcW w:w="120" w:type="dxa"/>
            <w:vAlign w:val="bottom"/>
          </w:tcPr>
          <w:p>
            <w:pPr>
              <w:spacing w:after="0"/>
              <w:rPr>
                <w:sz w:val="13"/>
                <w:szCs w:val="13"/>
                <w:color w:val="auto"/>
              </w:rPr>
            </w:pPr>
          </w:p>
        </w:tc>
        <w:tc>
          <w:tcPr>
            <w:tcW w:w="1780" w:type="dxa"/>
            <w:vAlign w:val="bottom"/>
            <w:tcBorders>
              <w:top w:val="single" w:sz="8" w:color="auto"/>
            </w:tcBorders>
            <w:gridSpan w:val="2"/>
          </w:tcPr>
          <w:p>
            <w:pPr>
              <w:ind w:left="260"/>
              <w:spacing w:after="0" w:line="158" w:lineRule="exact"/>
              <w:rPr>
                <w:sz w:val="20"/>
                <w:szCs w:val="20"/>
                <w:color w:val="auto"/>
              </w:rPr>
            </w:pPr>
            <w:r>
              <w:rPr>
                <w:rFonts w:ascii="Arial" w:cs="Arial" w:eastAsia="Arial" w:hAnsi="Arial"/>
                <w:sz w:val="16"/>
                <w:szCs w:val="16"/>
                <w:b w:val="1"/>
                <w:bCs w:val="1"/>
                <w:color w:val="auto"/>
              </w:rPr>
              <w:t>September 26,</w:t>
            </w:r>
          </w:p>
        </w:tc>
        <w:tc>
          <w:tcPr>
            <w:tcW w:w="1640" w:type="dxa"/>
            <w:vAlign w:val="bottom"/>
            <w:tcBorders>
              <w:top w:val="single" w:sz="8" w:color="auto"/>
            </w:tcBorders>
          </w:tcPr>
          <w:p>
            <w:pPr>
              <w:ind w:left="260"/>
              <w:spacing w:after="0" w:line="158" w:lineRule="exact"/>
              <w:rPr>
                <w:sz w:val="20"/>
                <w:szCs w:val="20"/>
                <w:color w:val="auto"/>
              </w:rPr>
            </w:pPr>
            <w:r>
              <w:rPr>
                <w:rFonts w:ascii="Arial" w:cs="Arial" w:eastAsia="Arial" w:hAnsi="Arial"/>
                <w:sz w:val="16"/>
                <w:szCs w:val="16"/>
                <w:b w:val="1"/>
                <w:bCs w:val="1"/>
                <w:color w:val="auto"/>
              </w:rPr>
              <w:t>September 28,</w:t>
            </w:r>
          </w:p>
        </w:tc>
      </w:tr>
      <w:tr>
        <w:trPr>
          <w:trHeight w:val="215"/>
        </w:trPr>
        <w:tc>
          <w:tcPr>
            <w:tcW w:w="404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r>
      <w:tr>
        <w:trPr>
          <w:trHeight w:val="22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0.6%</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0.8%</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2.3%</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Average expected term (years)</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7.0</w:t>
            </w:r>
          </w:p>
        </w:tc>
        <w:tc>
          <w:tcPr>
            <w:tcW w:w="1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6.0</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7.0</w:t>
            </w:r>
          </w:p>
        </w:tc>
        <w:tc>
          <w:tcPr>
            <w:tcW w:w="1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6.0</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55.0%</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9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Option grants to new employees in the nine months ended September 26, 2020 vest 25% of the total award on the first anniversary of the vesting commencement date, and thereafter ratably vesting monthly over the remaining three-year period, subject to continued employment through the vesting date. Option grants to continuing employees in the nine months ended September 26, 2020 vest monthly over a 48-month period, subject to continued employment through the vesting date. Option grants to continuing employees in the nine months ended September 28, 2019 generally vest 25% of the total award on the first anniversary of the vesting commencement date, and thereafter ratably vesting monthly over the remaining three-year period, subject to continued employment through the vesting date. The stock option grant to an executive officer on August 1, 2019 vests monthly over a 48-month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stock option activity during the nine months ended September 26, 2020:</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9"/>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6"/>
                <w:szCs w:val="16"/>
                <w:color w:val="auto"/>
              </w:rPr>
            </w:pPr>
          </w:p>
        </w:tc>
        <w:tc>
          <w:tcPr>
            <w:tcW w:w="1340" w:type="dxa"/>
            <w:vAlign w:val="bottom"/>
            <w:vMerge w:val="restart"/>
          </w:tcPr>
          <w:p>
            <w:pPr>
              <w:jc w:val="center"/>
              <w:ind w:right="178"/>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54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rPr>
              <w:t>Average</w:t>
            </w:r>
          </w:p>
        </w:tc>
        <w:tc>
          <w:tcPr>
            <w:tcW w:w="2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4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2"/>
              </w:rPr>
              <w:t>of</w:t>
            </w: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20" w:type="dxa"/>
            <w:vAlign w:val="bottom"/>
            <w:gridSpan w:val="2"/>
            <w:vMerge w:val="restart"/>
          </w:tcPr>
          <w:p>
            <w:pPr>
              <w:jc w:val="center"/>
              <w:ind w:right="360"/>
              <w:spacing w:after="0" w:line="162" w:lineRule="exact"/>
              <w:rPr>
                <w:sz w:val="20"/>
                <w:szCs w:val="20"/>
                <w:color w:val="auto"/>
              </w:rPr>
            </w:pPr>
            <w:r>
              <w:rPr>
                <w:rFonts w:ascii="Arial" w:cs="Arial" w:eastAsia="Arial" w:hAnsi="Arial"/>
                <w:sz w:val="16"/>
                <w:szCs w:val="16"/>
                <w:b w:val="1"/>
                <w:bCs w:val="1"/>
                <w:color w:val="auto"/>
              </w:rPr>
              <w:t>Average</w:t>
            </w:r>
          </w:p>
        </w:tc>
        <w:tc>
          <w:tcPr>
            <w:tcW w:w="15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vMerge w:val="restart"/>
          </w:tcPr>
          <w:p>
            <w:pPr>
              <w:jc w:val="center"/>
              <w:ind w:right="178"/>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54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4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20" w:type="dxa"/>
            <w:vAlign w:val="bottom"/>
            <w:gridSpan w:val="2"/>
            <w:vMerge w:val="restart"/>
          </w:tcPr>
          <w:p>
            <w:pPr>
              <w:jc w:val="center"/>
              <w:ind w:right="340"/>
              <w:spacing w:after="0" w:line="162" w:lineRule="exact"/>
              <w:rPr>
                <w:sz w:val="20"/>
                <w:szCs w:val="20"/>
                <w:color w:val="auto"/>
              </w:rPr>
            </w:pPr>
            <w:r>
              <w:rPr>
                <w:rFonts w:ascii="Arial" w:cs="Arial" w:eastAsia="Arial" w:hAnsi="Arial"/>
                <w:sz w:val="16"/>
                <w:szCs w:val="16"/>
                <w:b w:val="1"/>
                <w:bCs w:val="1"/>
                <w:color w:val="auto"/>
              </w:rPr>
              <w:t>Exercise</w:t>
            </w:r>
          </w:p>
        </w:tc>
        <w:tc>
          <w:tcPr>
            <w:tcW w:w="1540" w:type="dxa"/>
            <w:vAlign w:val="bottom"/>
            <w:gridSpan w:val="2"/>
            <w:vMerge w:val="continue"/>
          </w:tcPr>
          <w:p>
            <w:pPr>
              <w:spacing w:after="0"/>
              <w:rPr>
                <w:sz w:val="4"/>
                <w:szCs w:val="4"/>
                <w:color w:val="auto"/>
              </w:rPr>
            </w:pPr>
          </w:p>
        </w:tc>
        <w:tc>
          <w:tcPr>
            <w:tcW w:w="162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rPr>
              <w:t>Value (in thousands)</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54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rPr>
              <w:t>Contractual</w:t>
            </w: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Price</w:t>
            </w:r>
          </w:p>
        </w:tc>
        <w:tc>
          <w:tcPr>
            <w:tcW w:w="15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jc w:val="center"/>
              <w:ind w:right="178"/>
              <w:spacing w:after="0" w:line="54" w:lineRule="exact"/>
              <w:rPr>
                <w:sz w:val="20"/>
                <w:szCs w:val="20"/>
                <w:color w:val="auto"/>
              </w:rPr>
            </w:pPr>
            <w:r>
              <w:rPr>
                <w:rFonts w:ascii="Arial" w:cs="Arial" w:eastAsia="Arial" w:hAnsi="Arial"/>
                <w:sz w:val="6"/>
                <w:szCs w:val="6"/>
                <w:b w:val="1"/>
                <w:bCs w:val="1"/>
                <w:color w:val="auto"/>
              </w:rPr>
              <w:t>(1)</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Life (Years)</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492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5,170,976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329,879</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257,374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98.56</w:t>
            </w: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(1,010,116)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113,753</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(42,736)</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26,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4,375,498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588,621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Vested and exercisable at September 26, 2020</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2,533,172</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8.66</w:t>
            </w:r>
          </w:p>
        </w:tc>
        <w:tc>
          <w:tcPr>
            <w:tcW w:w="120" w:type="dxa"/>
            <w:vAlign w:val="bottom"/>
          </w:tcPr>
          <w:p>
            <w:pPr>
              <w:spacing w:after="0"/>
              <w:rPr>
                <w:sz w:val="17"/>
                <w:szCs w:val="17"/>
                <w:color w:val="auto"/>
              </w:rPr>
            </w:pPr>
          </w:p>
        </w:tc>
        <w:tc>
          <w:tcPr>
            <w:tcW w:w="1440" w:type="dxa"/>
            <w:vAlign w:val="bottom"/>
          </w:tcPr>
          <w:p>
            <w:pPr>
              <w:jc w:val="center"/>
              <w:spacing w:after="0" w:line="203" w:lineRule="exact"/>
              <w:rPr>
                <w:sz w:val="20"/>
                <w:szCs w:val="20"/>
                <w:color w:val="auto"/>
              </w:rPr>
            </w:pPr>
            <w:r>
              <w:rPr>
                <w:rFonts w:ascii="Arial" w:cs="Arial" w:eastAsia="Arial" w:hAnsi="Arial"/>
                <w:sz w:val="18"/>
                <w:szCs w:val="18"/>
                <w:color w:val="auto"/>
                <w:w w:val="95"/>
              </w:rPr>
              <w:t>5.9</w:t>
            </w:r>
          </w:p>
        </w:tc>
        <w:tc>
          <w:tcPr>
            <w:tcW w:w="100" w:type="dxa"/>
            <w:vAlign w:val="bottom"/>
          </w:tcPr>
          <w:p>
            <w:pPr>
              <w:spacing w:after="0"/>
              <w:rPr>
                <w:sz w:val="17"/>
                <w:szCs w:val="17"/>
                <w:color w:val="auto"/>
              </w:rPr>
            </w:pPr>
          </w:p>
        </w:tc>
        <w:tc>
          <w:tcPr>
            <w:tcW w:w="28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371,329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and expected to vest at September 26, 2020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3,897,508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538,980</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340" w:hanging="332"/>
        <w:spacing w:after="0" w:line="251"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Aggregate intrinsic value is calculated as the difference between the value of common stock on the transaction date and the exercise price multiplied by the number of shares issuable under the stock option. Aggregate intrinsic value of shares outstanding at the beginning and end of the reporting period is calculated as the difference between the value of common stock on the beginning and end dates, respectively, and the exercise price multiplied by the number of shares outstanding.</w:t>
      </w:r>
    </w:p>
    <w:p>
      <w:pPr>
        <w:spacing w:after="0" w:line="3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During the three months ended September 26, 2020 and September 28, 2019, the Company recorded in aggregate $ 3.1 million and $2.0 million, respectively, of share-based compensation expense related to options. During the nine months ended September 26, 2020 and September 28, 2019, the Company recorded in aggregate $ 9.7 million and $3.8 million, respectively, of share-based compensation expense related to options. The share-based compensation expense is included in cost of goods sold, research and development expenses, and SG&amp;A expenses in the Company’s condensed consolidated statements of operations.</w:t>
      </w:r>
    </w:p>
    <w:p>
      <w:pPr>
        <w:spacing w:after="0" w:line="151"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As of September 26, 2020, there was $16.5 million in unrecognized compensation expense related to nonvested stock option awards which is expected to be recognized over a weighted average period of 2.1 years.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RSU grants to new employees in the nine months ended September 26, 2020 and September 28, 2019 vest 25% of the total award on the first anniversary of the vesting commencement date, and thereafter ratably vesting quarterly over the remaining three years of the award, subject to continued employment through the vesting date. RSU grants to continuing employees in the nine months ended September 26, 2020 and September 28, 2019 vest quarterly over 16 quarters, subject to continued employment through the vesting date. RSU grants to non-employee directors in the nine-months ended September 26, 2020 vest monthly over 12 months, subject to continued service through the vesting date. RSU grants to consultants in the nine months ended September 26, 2020 vest (i) quarterly over 8 quarters, or (ii) monthly over 12 months, in each case, subject to continued service through the vesting date. RSU grants to nonemployee brand ambassadors in the nine months ended September 26, 2020 vest (i) 50% upon grant with the remainder vesting quarterly over 4 quarters commencing on October 1, 2020, or (ii) quarterly over two years, in each case, subject to continued service through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Company’s RSU activity during the nine months ended September 26,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jc w:val="center"/>
              <w:ind w:right="94"/>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7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722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rPr>
              <w:t>Grant Date Fair Value Per</w:t>
            </w:r>
          </w:p>
        </w:tc>
        <w:tc>
          <w:tcPr>
            <w:tcW w:w="0" w:type="dxa"/>
            <w:vAlign w:val="bottom"/>
          </w:tcPr>
          <w:p>
            <w:pPr>
              <w:spacing w:after="0"/>
              <w:rPr>
                <w:sz w:val="1"/>
                <w:szCs w:val="1"/>
                <w:color w:val="auto"/>
              </w:rPr>
            </w:pPr>
          </w:p>
        </w:tc>
      </w:tr>
      <w:tr>
        <w:trPr>
          <w:trHeight w:val="215"/>
        </w:trPr>
        <w:tc>
          <w:tcPr>
            <w:tcW w:w="7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98"/>
              </w:rPr>
              <w:t>Share</w:t>
            </w:r>
          </w:p>
        </w:tc>
        <w:tc>
          <w:tcPr>
            <w:tcW w:w="0" w:type="dxa"/>
            <w:vAlign w:val="bottom"/>
          </w:tcPr>
          <w:p>
            <w:pPr>
              <w:spacing w:after="0"/>
              <w:rPr>
                <w:sz w:val="1"/>
                <w:szCs w:val="1"/>
                <w:color w:val="auto"/>
              </w:rPr>
            </w:pPr>
          </w:p>
        </w:tc>
      </w:tr>
      <w:tr>
        <w:trPr>
          <w:trHeight w:val="224"/>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2019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198,706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105.30</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Vested</w:t>
            </w:r>
            <w:r>
              <w:rPr>
                <w:rFonts w:ascii="Arial" w:cs="Arial" w:eastAsia="Arial" w:hAnsi="Arial"/>
                <w:sz w:val="23"/>
                <w:szCs w:val="23"/>
                <w:color w:val="auto"/>
                <w:vertAlign w:val="superscript"/>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132.99</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(11,762)</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September 26,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283,698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113.73</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2" w:lineRule="exact"/>
        <w:rPr>
          <w:sz w:val="20"/>
          <w:szCs w:val="20"/>
          <w:color w:val="auto"/>
        </w:rPr>
      </w:pPr>
    </w:p>
    <w:p>
      <w:pPr>
        <w:ind w:left="340" w:right="580" w:hanging="332"/>
        <w:spacing w:after="0" w:line="260" w:lineRule="auto"/>
        <w:tabs>
          <w:tab w:leader="none" w:pos="259"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12,822 shares of common stock that were withheld to cover taxes on the release of vested RSUs and became available for future grants pursuant to the 2018 Plan.</w:t>
      </w:r>
    </w:p>
    <w:p>
      <w:pPr>
        <w:spacing w:after="0" w:line="22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During the three months ended September 26, 2020 and September 28, 2019, the Company recorded in aggregate $2.5 million and $0.6 million, respectively, of share-based compensation expense related to RSUs. During the nine months ended September 26, 2020 and September 28, 2019, the Company recorded in aggregate $6.9 million and $0.7 million, respectively, of share-based compensation expense related to RSUs. The share-based compensation expense is included in cost of goods sold, research and development expenses, and SG&amp;A expenses in the Company’s condensed consolidated statements of operations.</w:t>
      </w:r>
    </w:p>
    <w:p>
      <w:pPr>
        <w:spacing w:after="0" w:line="151"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As of September 26, 2020, there was $15.2 million in unrecognized compensation expense related to unvested RSUs which is expected to be recognized over a weighted average period of 2.0 years.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Share-Settled Obligation</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Share-based compensation expense in the three and nine months ended September 26, 2020 includes $ 0.9 million and $2.6 million, respectively, for a liability classified, share-settled obligation to an executive officer related to a sign-on award pursuant to the terms of the executive officer’s offer letter dated August 1, 2019 with the Company. There was no such expense in the three and nine months ended September 28, 2019. The share-based compensation expense related to this share-settled obligation is included in SG&amp;A expenses in the Company’s condensed consolidated statements of operations. The liability classified award is considered unearned until the requirements for issuance of the shares are met and is included in accrued expenses and other current liabilities on the Company’s condensed consolidated balance sheets as of September 26, 2020 and December 31, 2019 in the amount of $3.6 million and $1.0 million, respectively. As of September 26, 2020, there was $3.4 million in unrecognized compensation expense related to this share-settled obligation which is expected to be recognized over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to Nonemployees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restricted stock activity during the nine months ended September 26,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240" w:type="dxa"/>
            <w:vAlign w:val="bottom"/>
          </w:tcPr>
          <w:p>
            <w:pPr>
              <w:spacing w:after="0"/>
              <w:rPr>
                <w:sz w:val="16"/>
                <w:szCs w:val="16"/>
                <w:color w:val="auto"/>
              </w:rPr>
            </w:pPr>
          </w:p>
        </w:tc>
        <w:tc>
          <w:tcPr>
            <w:tcW w:w="1340" w:type="dxa"/>
            <w:vAlign w:val="bottom"/>
          </w:tcPr>
          <w:p>
            <w:pPr>
              <w:jc w:val="center"/>
              <w:ind w:right="155"/>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4"/>
                <w:szCs w:val="14"/>
                <w:color w:val="auto"/>
              </w:rPr>
            </w:pPr>
          </w:p>
        </w:tc>
        <w:tc>
          <w:tcPr>
            <w:tcW w:w="1340" w:type="dxa"/>
            <w:vAlign w:val="bottom"/>
          </w:tcPr>
          <w:p>
            <w:pPr>
              <w:jc w:val="center"/>
              <w:ind w:right="155"/>
              <w:spacing w:after="0" w:line="162"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4"/>
                <w:szCs w:val="14"/>
                <w:color w:val="auto"/>
              </w:rPr>
            </w:pPr>
          </w:p>
        </w:tc>
        <w:tc>
          <w:tcPr>
            <w:tcW w:w="1340" w:type="dxa"/>
            <w:vAlign w:val="bottom"/>
          </w:tcPr>
          <w:p>
            <w:pPr>
              <w:jc w:val="center"/>
              <w:ind w:right="155"/>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 of</w:t>
            </w:r>
          </w:p>
        </w:tc>
        <w:tc>
          <w:tcPr>
            <w:tcW w:w="120" w:type="dxa"/>
            <w:vAlign w:val="bottom"/>
          </w:tcPr>
          <w:p>
            <w:pPr>
              <w:spacing w:after="0"/>
              <w:rPr>
                <w:sz w:val="14"/>
                <w:szCs w:val="14"/>
                <w:color w:val="auto"/>
              </w:rPr>
            </w:pPr>
          </w:p>
        </w:tc>
        <w:tc>
          <w:tcPr>
            <w:tcW w:w="16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rPr>
              <w:t>Contractual</w:t>
            </w:r>
          </w:p>
        </w:tc>
        <w:tc>
          <w:tcPr>
            <w:tcW w:w="240" w:type="dxa"/>
            <w:vAlign w:val="bottom"/>
          </w:tcPr>
          <w:p>
            <w:pPr>
              <w:spacing w:after="0"/>
              <w:rPr>
                <w:sz w:val="14"/>
                <w:szCs w:val="14"/>
                <w:color w:val="auto"/>
              </w:rPr>
            </w:pPr>
          </w:p>
        </w:tc>
        <w:tc>
          <w:tcPr>
            <w:tcW w:w="1340" w:type="dxa"/>
            <w:vAlign w:val="bottom"/>
          </w:tcPr>
          <w:p>
            <w:pPr>
              <w:jc w:val="center"/>
              <w:ind w:right="155"/>
              <w:spacing w:after="0" w:line="162"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5"/>
        </w:trPr>
        <w:tc>
          <w:tcPr>
            <w:tcW w:w="62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Life (Years)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55"/>
              <w:spacing w:after="0"/>
              <w:rPr>
                <w:sz w:val="20"/>
                <w:szCs w:val="20"/>
                <w:color w:val="auto"/>
              </w:rPr>
            </w:pPr>
            <w:r>
              <w:rPr>
                <w:rFonts w:ascii="Arial" w:cs="Arial" w:eastAsia="Arial" w:hAnsi="Arial"/>
                <w:sz w:val="16"/>
                <w:szCs w:val="16"/>
                <w:b w:val="1"/>
                <w:bCs w:val="1"/>
                <w:color w:val="auto"/>
                <w:w w:val="98"/>
              </w:rPr>
              <w:t>Per Share</w:t>
            </w: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2019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88,988</w:t>
            </w:r>
          </w:p>
        </w:tc>
        <w:tc>
          <w:tcPr>
            <w:tcW w:w="16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Vested/Released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(67,208)</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September 26,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21,780</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As of September 26, 2020, 21,780 shares of restricted stock had been purchased by nonemployee brand ambassadors which remained subject to vesting requirements and repurchase pursuant to restricted stock purchase agreements.</w:t>
      </w:r>
    </w:p>
    <w:p>
      <w:pPr>
        <w:spacing w:after="0" w:line="14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During the three months ended September 26, 2020 and September 28, 2019, the Company recorded in aggregate $0.4 million and $ 0.5 million, respectively, of share-based compensation expense related to restricted stock issued to nonemployee brand ambassadors, which is included in SG&amp;A expenses in the Company’s condensed consolidated statements of operations. During the nine months ended September 26, 2020 and September 28, 2019, the Company recorded in aggregate $1.2 million and $1.3 million, respectively, of share-based compensation expense related to restricted stock issued to nonemployee brand ambassadors, which is included in SG&amp;A expenses in the Company’s condensed consolidated statements of operations.</w:t>
      </w:r>
    </w:p>
    <w:p>
      <w:pPr>
        <w:spacing w:after="0" w:line="154"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As of September 26, 2020, there was $0.4 million in unrecognized compensation expense related to unvested restricted stock granted to nonemployee brand ambassadors, which is expected to be recognized over nine months.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As of September 26, 2020, the maximum aggregate number of shares that may be issued under the 2018 Employee Stock Purchase Plan (“ESPP”) was 1,340,325 shares of common stock, including an increase of 536,130 shares effective January 1, 2020 under the terms of the ESPP. The 2018 ESPP is expected to be implemented through a series of offerings under which participants are granted purchase rights to purchase shares of the Company’s common stock on specified dates during such offerings. The administrator has not yet approved an offering under the 2018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On March 16, 2020, the Company amended an operating lease for its manufacturing facility in Columbia, Missouri, to extend the lease term for two years to June 30, 2022.</w:t>
      </w:r>
    </w:p>
    <w:p>
      <w:pPr>
        <w:spacing w:after="0" w:line="144"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Effective May 22, 2020, the Company amended an operating lease for one of its leased manufacturing facilities to include land adjacent to the facility upon which the landlord will construct a parking lot.</w:t>
      </w:r>
    </w:p>
    <w:p>
      <w:pPr>
        <w:spacing w:after="0" w:line="144" w:lineRule="exact"/>
        <w:rPr>
          <w:sz w:val="20"/>
          <w:szCs w:val="20"/>
          <w:color w:val="auto"/>
        </w:rPr>
      </w:pPr>
    </w:p>
    <w:p>
      <w:pPr>
        <w:ind w:right="320" w:firstLine="324"/>
        <w:spacing w:after="0" w:line="254" w:lineRule="auto"/>
        <w:rPr>
          <w:rFonts w:ascii="Arial" w:cs="Arial" w:eastAsia="Arial" w:hAnsi="Arial"/>
          <w:sz w:val="18"/>
          <w:szCs w:val="18"/>
          <w:color w:val="0000FF"/>
        </w:rPr>
      </w:pPr>
      <w:r>
        <w:rPr>
          <w:rFonts w:ascii="Arial" w:cs="Arial" w:eastAsia="Arial" w:hAnsi="Arial"/>
          <w:sz w:val="18"/>
          <w:szCs w:val="18"/>
          <w:color w:val="auto"/>
        </w:rPr>
        <w:t xml:space="preserve">Effective May 26, 2020, the Company entered into an agreement, assignment and assumption of lease and first amendment to lease pursuant to which the Company assumed an operating lease under which the Company is leasing certain real property and a building consisting of approximately 142,317 square feet in Columbia, Missouri, for a term expiring on April 30, 2023 with no renewal options. See </w:t>
      </w:r>
      <w:hyperlink w:anchor="page20">
        <w:r>
          <w:rPr>
            <w:rFonts w:ascii="Arial" w:cs="Arial" w:eastAsia="Arial" w:hAnsi="Arial"/>
            <w:sz w:val="18"/>
            <w:szCs w:val="18"/>
            <w:u w:val="single" w:color="auto"/>
            <w:color w:val="0000FF"/>
          </w:rPr>
          <w:t>Note 4</w:t>
        </w:r>
      </w:hyperlink>
      <w:r>
        <w:rPr>
          <w:rFonts w:ascii="Arial" w:cs="Arial" w:eastAsia="Arial" w:hAnsi="Arial"/>
          <w:sz w:val="18"/>
          <w:szCs w:val="18"/>
          <w:color w:val="000000"/>
        </w:rPr>
        <w:t>.</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24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On September 22, 2020, the Company and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the Company has agreed to guarantee certain repayment obligations of BYND JX under such agreement.</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During Phase 1, the Company has agreed to invest $10.0 million in the JXEDZ through an intercompany investment in BYND JX and BYND JX has agreed to lease a facility in the JXEDZ in return for certain subsidies, rewards and other preferential rights granted by the JX Committee and its affiliates. In connection with such agreement, BYND JX entered into a factory leasing contract as of September 11, 2020 with an affiliate of the JX Committee, pursuant to which BYND JX has agreed to lease and renovate a facility in the JXEDZ for a minimum of two (2) years. Renovations in the leased facility have commenced, with trial production expected by the end of 2020 and full-scale production expected in early 2021.</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event that the Company and BYND JX determine, in their sole discretion, to proceed with the Phase 2 development in the JXEDZ, BYND JX has agreed in the first stage of Phase 2 to invest $30.0 million to acquire the land use right to a state-owned land plot in the JXEDZ to conduct development and construction of a new production facility. Following the first stage of Phase 2, the Company and BYND JX may determine, in their sole discretion, to permit BYND JX to invest an additional $10.0 million to obtain a second state-owned land plot in the JXEDZ in order to construct an additional facility thereon. Each of the land use rights acquired during Phase 2 (if any) will be valid for fifty (50) years.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On January 10, 2020, the Company and Roquette Frères (“Roquette”) entered into a multi-year sales agreement pursuant to which Roquette will provide the Company with plant-based protein. The agreement expires on December 31, 2022; however it can be terminated after 18 months under certain circumstances. This agreement increases the amount of plant-based protein to be supplied by Roquette in each of 2020, 2021 and 2022 compared to the amount supplied 2019. The plant-based protein sourced under the supply agreement is secured on a purchase order basis regularly, per specified minimum monthly and semi-annual quantities, throughout the term. The Company is not required to purchase plant-based protein in amounts in excess of such specified minimum quantities; however the Company has the option to increase such minimum quantities for delivery in each of 2021 and 2022. The total annual amount purchased each year by the Company must be at least the minimum amount specified in the agreement, which totals in the aggregate $154.1 million over the term of the agreement. The Company also has the right to be indemnified by Roquette in certain circumstances.</w:t>
      </w:r>
    </w:p>
    <w:p>
      <w:pPr>
        <w:spacing w:after="0" w:line="158"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As of September 26, 2020, the Company had committed to purchase pea protein inventory totaling $177.5 million, approximately $36.9 million in the remainder of 2020, $82.1 million in 2021, and $58.5 million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760" w:firstLine="324"/>
        <w:spacing w:after="0" w:line="261" w:lineRule="auto"/>
        <w:rPr>
          <w:sz w:val="20"/>
          <w:szCs w:val="20"/>
          <w:color w:val="auto"/>
        </w:rPr>
      </w:pPr>
      <w:r>
        <w:rPr>
          <w:rFonts w:ascii="Arial" w:cs="Arial" w:eastAsia="Arial" w:hAnsi="Arial"/>
          <w:sz w:val="18"/>
          <w:szCs w:val="18"/>
          <w:color w:val="auto"/>
        </w:rPr>
        <w:t>In addition, as of September 26, 2020, the Company had approximately $19.3 million in purchase order commitments for capital expenditures primarily to purchase machinery and equipment. Payments for these purchases will be due within twelve months.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Don Lee Farms</w:t>
      </w:r>
    </w:p>
    <w:p>
      <w:pPr>
        <w:spacing w:after="0" w:line="24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On May 25, 2017, Don Lee Farms, a division of Goodman Food Products, Inc., filed a complaint against the Company in the Superior Court of the State of California for the County of Los Angeles asserting claims for breach of contract, misappropriation of trade secrets, unfair competition under the California Business and Professions Code, money owed and due, declaratory relief and injunctive relief, each arising out of the Company’s decision to terminate an exclusive supply agreement between the Company and Don Lee Farms. The Company denied all of these claims and filed counterclaims on July 27, 2017, alleging breach of contract, unfair competition under the California Business and Professions Code and conversion. In October 2018, the former co-manufacturer filed an amended complaint that added one of the Company’s current contract manufacturers as a defendant, principally for claims arising from the current contract manufacturer’s alleged use of the former co-manufacturer’s alleged trade secrets, and for replacing the former co-manufacturer as one of the Company’s current co-manufacturers. The current contract manufacturer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the Company. On May 30, 2019, the judge denied the Company’s motion to dismiss the fraud and negligent misrepresentation claims, allowing the claims to proceed. On June 19, 2019, the Company filed an answer denying Don Lee Farms' claims.</w:t>
      </w:r>
    </w:p>
    <w:p>
      <w:pPr>
        <w:spacing w:after="0" w:line="156" w:lineRule="exact"/>
        <w:rPr>
          <w:sz w:val="20"/>
          <w:szCs w:val="20"/>
          <w:color w:val="auto"/>
        </w:rPr>
      </w:pPr>
    </w:p>
    <w:p>
      <w:pPr>
        <w:ind w:right="500" w:firstLine="324"/>
        <w:spacing w:after="0" w:line="256" w:lineRule="auto"/>
        <w:rPr>
          <w:sz w:val="20"/>
          <w:szCs w:val="20"/>
          <w:color w:val="auto"/>
        </w:rPr>
      </w:pPr>
      <w:r>
        <w:rPr>
          <w:rFonts w:ascii="Arial" w:cs="Arial" w:eastAsia="Arial" w:hAnsi="Arial"/>
          <w:sz w:val="18"/>
          <w:szCs w:val="18"/>
          <w:color w:val="auto"/>
        </w:rPr>
        <w:t>On January 24, 2020, a writ judge granted Don Lee Farms a right to attach in the amount of $628,689 on the grounds that Don Lee Farms had established a “probable validity” of its claim that the Company owes it money for a small batch of unpaid invoices. This determination was not made by the trial judge. The trial judge has yet to determine the legitimacy or merits of Don Lee Farms’ claims.</w:t>
      </w:r>
    </w:p>
    <w:p>
      <w:pPr>
        <w:spacing w:after="0" w:line="148"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On January 27, 2020, Don Lee Farms filed a third amended complaint to add three individual defendants, all of whom are current or former employees of the Company, including Mark Nelson, the Company’s Chief Financial Officer and Treasurer, to Don Lee Farms’ existing fraud and negligent misrepresentation claims alleging that those individuals were involved in the alleged fraud and negligent misrepresentations. On June 23, 2020, the judge denied Beyond Meat and the individual defendants’ motion to dismiss the fraud and negligent misrepresentation claims, allowing the claims to proceed. On July 6, 2020, the Company and the individual defendants filed an answer denying all of Don Lee Farms’ claims, including denying all allegations of fraud and negligent misrepresentation.</w:t>
      </w:r>
    </w:p>
    <w:p>
      <w:pPr>
        <w:spacing w:after="0" w:line="15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On August 11, 2020, the Company filed an amended cross-complaint against Don Lee Farms, its parent Goodman Food Products, Inc. and its owners and employees, Donald, Daniel, and Brandon Goodman. Among other claims, the amended cross-complaint alleges that Don Lee Farms defrauded Beyond Meat, misappropriated its trade secrets, and infringed its trademarks.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previous trial date, February 8, 2021, was vacated. Trial is currently set for June 14, 2021.</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Don Lee Farms is seeking from Beyond Meat, the individual defendants, and the current contract manufacturer unspecified compensatory and punitive damages, declaratory and injunctive relief, including the prohibition of Beyond Meat’s use or disclosure of the alleged trade secrets, and attorneys’ fees and costs. The Company is seeking from Don Lee Farms monetary damages, restitution of monies paid to Don Lee Farms, injunctive relief, including the prohibition of Don Lee Farms’ use or disclosure of Beyond Meat’s trade secrets and the prohibition of Don Lee Farms’ infringing use of Beyond Meat’s trademarks, and attorneys’ fees and costs. The current contract manufacturer is seeking indemnity, contribution, or repayment from the Company of any or all damages that the current contract manufacturer may be found liable to Don Lee Farms, and attorneys’ fees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Company believes it was justified in terminating the supply agreement with Don Lee Farms, that the Company did not misappropriate Don Lee Farms’ alleged trade secrets, that the Company is not liable for the fraud or negligent misrepresentation alleged in the third amended complaint, that Don Lee Farms is liable for the conduct alleged in the Company’s amended cross-complaint, and that the Company is not liable to the current contract manufacturer for any indemnity, contribution, or repayment, including for any damages or attorneys’ fees and costs. Conversely, as alleged in the Company’s amended cross-complaint, the Company believes Don Lee Farms misappropriated the Company’s trade secrets, defrauded the Company, and ultimately has infringed the Company’s trademarks.</w:t>
      </w:r>
    </w:p>
    <w:p>
      <w:pPr>
        <w:spacing w:after="0" w:line="154"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Company is currently in the process of litigating this matter and intends to vigorously defend itself and its current and former employees against the claims and to prosecute the Company’s own claims. The Company cannot assure you that Don Lee Farms or the current contract manufacturer will not prevail in all or some of their claims against the Company or the individual defendants, or that the Company will prevail in some or all of its claims against Don Lee Farms. For example, if Don Lee Farms succeeds in the lawsuit, the Company could be required to pay damages, including but not limited to contract damages reasonably calculated at what the Company would have paid Don Lee Farms to produce the Company’s products through 2019, the end of the contract term, and Don Lee Farms could also claim some ownership in the intellectual property associated with the production of certain of the Company’s products or in the products themselves, and thus claim a stake in the value the Company has derived and will derive from the use of that intellectual property after the Company terminated its supply agreement with Don Lee Farms. Based on the Company’s current knowledge, the Company has determined that the amount of any material loss or range of any losses that is reasonably possible to result from this lawsuit is not estimable.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Securities Related Litigation</w:t>
      </w:r>
    </w:p>
    <w:p>
      <w:pPr>
        <w:spacing w:after="0" w:line="162"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On January 30, 2020, Larry Tran, a purported shareholder of Beyond Meat, filed a putative securities class action lawsuit in the United States District Court for the Central District of California against Beyond Meat and two of the Company’s executive officers, the Company’s President and CEO, Ethan Brown, and the Company’s Chief Financial Officer and Treasurer, Mark Nelson. The lawsuit asserts claims under Sections 10(b) and 20(a) of the Exchange Act and is premised on allegedly false or misleading statements, and alleged non-disclosure of material facts, related to the Company’s public disclosures regarding the Company’s ongoing litigation with Don Lee Farms during the proposed class period of May 2, 2019 to January 27, 2020. The Court appointed a lead plaintiff and lead counsel on May 18, 2020, and a First Amended Complaint (“FAC”) was filed on July 1, 2020. The FAC names the same defendants, proposes the same class period, and similarly asserts claims under Sections 10(b) and 20(a) of the Exchange Act premised on allegedly false or misleading statements, and alleged non-disclosure of material facts, related to the Company’s public disclosures regarding the Company’s ongoing litigation with Don Lee Farms. The Company filed a motion to dismiss on behalf of all defendants on July 31, 2020. On October 8, 2020, the Court entered an opinion and order granting defendants’ motion to dismiss with leave to amend. Plaintiffs did not file an amended complaint by the deadline set by the Court. As a result, on October 27, 2020, the Court entered an order dismissing the action with prejudice, except for the class allegations of absent putative class members, which were dismissed without prejudice. The dismissal is final pending appeal. The Company believes the claims are without merit and intends to vigorously defend all claims asserted.</w:t>
      </w:r>
    </w:p>
    <w:p>
      <w:pPr>
        <w:spacing w:after="0" w:line="15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March 16, 2020, Eric Weiner, a purported shareholder of Beyond Meat, filed a shareholder derivative lawsuit in the United States District Court for the Central District of California, putatively on behalf of the Company, against two of the Company’s executive officers, the Company’s President and CEO, Ethan Brown, and the Company’s Chief Financial Officer and Treasurer, Mark Nelson, and each of the Company’s directors, including one former director, who signed the Company’s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the Company’s ongoing litigation with Don Lee Farms, related actions taken by Beyond Meat and the named individuals during the period of May 2, 2019 to March 16, 2020, and the securities case brought against the Company.</w:t>
      </w:r>
    </w:p>
    <w:p>
      <w:pPr>
        <w:spacing w:after="0" w:line="151"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On March 18, 2020, Kimberly Brink and Melvyn Klein, purported shareholders of Beyond Meat, filed a shareholder derivative lawsuit in the United States District Court for the Central District of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putatively on behalf of the Company, against two of the Company’s executive officers, the Company’s President and CEO, Ethan Brown, and the Company’s Chief Financial Officer and Treasurer, Mark Nelson, and each of the Company’s directors, including one former director, who signed the Company’s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the Company’s ongoing litigation with Don Lee Farms, related actions taken by Beyond Meat and the named individuals during the period of May 2, 2019 to March 18, 2020, and the securities case brought against the Company.</w:t>
      </w:r>
    </w:p>
    <w:p>
      <w:pPr>
        <w:spacing w:after="0" w:line="15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On April 1, 2020, the United States District Court for the Central District of California entered an order consolidating the Weiner action and the Brink action for all purposes and designated the consolidated case In re: Beyond Meat, Inc. Derivative Litigation. On April 13, 2020, the Court entered an order appointing co-lead counsel for the consolidated derivative action. On June 23, 2020, the Court entered an order approving a Joint Stipulation Regarding Stay of Actions. Under the terms of the stay approval order, all proceedings in the consolidated derivative case are stayed until (1) the securities class action is dismissed, with prejudice, and all appeals related thereto have been exhausted; or (2) any motion to dismiss the securities class action is denied in whole or in part. Based on the early stages of this matter, the Company is unable to estimate potential losses, if any, related to this lawsuit.</w:t>
      </w:r>
    </w:p>
    <w:p>
      <w:pPr>
        <w:spacing w:after="0" w:line="15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On May 27, 2020, Kevin Chew, a purported shareholder of Beyond Meat, filed a shareholder derivative lawsuit in the United States District Court of the District of Delaware, putatively on behalf of the Company, against two of the Company’s executive officers, the Company’s President and CEO, Ethan Brown, and the Company’s Chief Financial Officer and Treasurer, Mark Nelson, and each of the Company’s directors, including one former director, who signed the Company’s initial public offering registration statement. The lawsuit asserts claims under Sections 10(b) and 21D of the Exchange Act and claims of breaches of fiduciary duty, relating to the Company’s ongoing litigation with Don Lee Farms, related actions taken by Beyond Meat and the named individuals during the period of May 2, 2019 to May 27, 2020. On June 16, 2020, the Court entered an order staying all proceedings in the derivative action until (1) the securities class action is dismissed, with prejudice, and all appeals related thereto have been exhausted; or (2) any motion to dismiss the securities class action is denied in whole or in part. On June 17, 2020, the Court entered an order administratively closing the derivative case based on the stay order. Based on the early stages of this matter, the Company is unable to estimate potential losses, if any, related to this lawsuit.</w:t>
      </w:r>
    </w:p>
    <w:p>
      <w:pPr>
        <w:spacing w:after="0" w:line="157"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On June 17, 2020, James Janolek, a purported shareholder of Beyond Meat, filed a shareholder derivative lawsuit in the United States District Court of the District of Delaware, putatively on behalf of the Company, against two of the Company’s executive officers, the Company’s President and CEO, Ethan Brown, and the Company’s Chief Financial Officer and Treasurer, Mark Nelson, and each of the Company’s directors, including one former director, who signed the Company’s initial public offering registration statement. The lawsuit asserts claims under Sections 14(a) and 20(a) of the Exchange Act, claims of breaches of fiduciary duty as directors and/or officers of Beyond Meat, and claims of unjust enrichment and waste of corporate assets, all relating to the Company’s ongoing litigation with Don Lee Farms, related actions taken by Beyond Meat and the named individuals during the period of May 2, 2019 to June 17, 2020. On July 10, 2020, the Court entered an order staying all proceedings in the derivative action until (1) the securities class action is dismissed, with prejudice, and all appeals related thereto have been exhausted; or (2) any motion to dismiss the securities class action is denied in whole or in part. On July 10, 2020, the Court entered an order administratively closing the derivative case based on the stay order. On November 9, 2020, Plaintiff filed a Notice of Voluntary Dismissal without prejudice and without costs or attorney fees to either party. Based on the early stages of this matter, the Company is unable to estimate potential losses, if any, related to this lawsuit.</w:t>
      </w:r>
    </w:p>
    <w:p>
      <w:pPr>
        <w:spacing w:after="0" w:line="156"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Company is involved in various other legal proceedings, claims, and litigation arising in the ordinary course of business. Based on the facts currently available, the Company does not believe that the disposition of such matters that are pending or asserted will have a material effect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93"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For the three months ended September 26, 2020 and September 28, 2019, the Company recorded $55,000 and $0, respectively, in income tax expense, in its condensed consolidated statements of operations.</w:t>
      </w:r>
    </w:p>
    <w:p>
      <w:pPr>
        <w:spacing w:after="0" w:line="14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For the nine months ended September 26, 2020 and September 28, 2019, the Company recorded $70,000 and $21,000, respectively, in income tax expense in its condensed consolidated statements of operations.</w:t>
      </w:r>
    </w:p>
    <w:p>
      <w:pPr>
        <w:spacing w:after="0" w:line="14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U.S. Due to uncertainties surrounding the realization of the deferred tax assets, the Company maintains a full valuation allowance against substantially all deferred tax assets. If the Company determines that it will be able to realize some portion or all of its deferred tax assets, an adjustment to its valuation allowance on its deferred tax assets will be made and the adjustment would have the effect of increasing net income in the period such determination is made.</w:t>
      </w:r>
    </w:p>
    <w:p>
      <w:pPr>
        <w:spacing w:after="0" w:line="15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As of September 26, 2020, the Company does not have any accrued interest or penalties related to uncertain tax positions. The Company’s policy is to recognize interest and penalties related to uncertain tax positions in income tax expense. The Company is subject to U.S. federal tax authority and U.S. state tax authority examinations for all years with respect to net operating loss and credit carryforwards.</w:t>
      </w:r>
    </w:p>
    <w:p>
      <w:pPr>
        <w:spacing w:after="0" w:line="14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On March 27, 2020, the U.S. enacted the Coronavirus Aid, Relief and Economic Security Act (“CARES Act”). The CARES Act is an emergency economic stimulus package that includes spending and tax breaks to strengthen the U.S. economy and fund a nationwide effort to curtail the effect of COVID-19. While the CARES Act provides sweeping tax changes in response to the COVID-19 pandemic, some of the more significant provisions include removal of certain limitations on utilization of net operating losses, increasing the loss carryback period for certain losses to five years, and increasing the ability to deduct interest expense, as well as amending certain provisions of the previously enacted Tax Cuts and Jobs Act.</w:t>
      </w:r>
    </w:p>
    <w:p>
      <w:pPr>
        <w:spacing w:after="0" w:line="15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Due to the recent enactment of the CARES Act, the Company is currently evaluating the impact, if any, that the CARES Act will have on its financial position, results of operations or cash flows. Currently the Company does not expect the enactment of CARES Act will have a material impact on the Company’s financial position, results of operations or cash flows.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Income Per Share Available to Common Stockholders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Company calculates basic and diluted net (loss) income per share available to common stockholders in conformity with the two-class method required for companies with participating securities. Computation of net (loss) income per share available to common stockholders for the three and nine months ended September 26, 2020 excludes the dilutive effect of 4,375,498 option shares, 283,698 RSUs and 21,780 unvested restricted stock shares outstanding at September 26, 2020 because their inclusion would be anti-dilutive. Computation of net loss per share available to common stockholders for the three and nine months ended September 26, 2020 also excludes adjustments under the two-class method relating to a liability classified, share-settled obligation to an executive officer to deliver a variable number of shares based on a fixed monetary amount because the shares to be delivered are not participating securities as they do not have voting rights and are not entitled to participate in dividends until they are issued. Computation of net income per share available to common stockholders for the three months ended September 28, 2019 includes the dilutive effect of 5,608,822 shares issuable under stock options with exercise prices below the closing price of the Company's common stock on the last trading day of the applicable period and 1,802 RSUs, but excludes the dilutive effect of 411 RSUs because their inclusion would be anti-dilutive. Computation of net loss per share available to common stockholders for the nine months ended September 28, 2019 excludes the dilutive effect of 6,087,169 shares issuable under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BEYOND MEAT,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options and 85,121 RSUs outstanding at September 28, 2019 because their inclusion would be anti-dilutive.</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gridSpan w:val="5"/>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180" w:type="dxa"/>
            <w:vAlign w:val="bottom"/>
            <w:gridSpan w:val="4"/>
          </w:tcPr>
          <w:p>
            <w:pPr>
              <w:jc w:val="right"/>
              <w:ind w:right="83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26,</w:t>
            </w:r>
          </w:p>
        </w:tc>
        <w:tc>
          <w:tcPr>
            <w:tcW w:w="1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192"/>
              <w:spacing w:after="0" w:line="158" w:lineRule="exact"/>
              <w:rPr>
                <w:sz w:val="20"/>
                <w:szCs w:val="20"/>
                <w:color w:val="auto"/>
              </w:rPr>
            </w:pPr>
            <w:r>
              <w:rPr>
                <w:rFonts w:ascii="Arial" w:cs="Arial" w:eastAsia="Arial" w:hAnsi="Arial"/>
                <w:sz w:val="16"/>
                <w:szCs w:val="16"/>
                <w:b w:val="1"/>
                <w:bCs w:val="1"/>
                <w:color w:val="auto"/>
              </w:rPr>
              <w:t>September 28,</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26,</w:t>
            </w:r>
          </w:p>
        </w:tc>
        <w:tc>
          <w:tcPr>
            <w:tcW w:w="1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172"/>
              <w:spacing w:after="0" w:line="158" w:lineRule="exact"/>
              <w:rPr>
                <w:sz w:val="20"/>
                <w:szCs w:val="20"/>
                <w:color w:val="auto"/>
              </w:rPr>
            </w:pPr>
            <w:r>
              <w:rPr>
                <w:rFonts w:ascii="Arial" w:cs="Arial" w:eastAsia="Arial" w:hAnsi="Arial"/>
                <w:sz w:val="16"/>
                <w:szCs w:val="16"/>
                <w:b w:val="1"/>
                <w:bCs w:val="1"/>
                <w:color w:val="auto"/>
              </w:rPr>
              <w:t>September 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532"/>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ind w:right="572"/>
              <w:spacing w:after="0" w:line="175"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ind w:right="552"/>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552"/>
              <w:spacing w:after="0" w:line="175"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gridSpan w:val="3"/>
          </w:tcPr>
          <w:p>
            <w:pPr>
              <w:spacing w:after="0"/>
              <w:rPr>
                <w:sz w:val="20"/>
                <w:szCs w:val="20"/>
                <w:color w:val="auto"/>
              </w:rPr>
            </w:pPr>
            <w:r>
              <w:rPr>
                <w:rFonts w:ascii="Arial" w:cs="Arial" w:eastAsia="Arial" w:hAnsi="Arial"/>
                <w:sz w:val="18"/>
                <w:szCs w:val="18"/>
                <w:color w:val="auto"/>
              </w:rPr>
              <w:t>Net (loss) income available to common 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(19,285)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4,090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(27,675)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(11,991)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Undistributed net income available to unvested</w:t>
            </w: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stockholders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4420" w:type="dxa"/>
            <w:vAlign w:val="bottom"/>
            <w:gridSpan w:val="3"/>
          </w:tcPr>
          <w:p>
            <w:pPr>
              <w:spacing w:after="0" w:line="168" w:lineRule="exact"/>
              <w:rPr>
                <w:sz w:val="20"/>
                <w:szCs w:val="20"/>
                <w:color w:val="auto"/>
              </w:rPr>
            </w:pPr>
            <w:r>
              <w:rPr>
                <w:rFonts w:ascii="Arial" w:cs="Arial" w:eastAsia="Arial" w:hAnsi="Arial"/>
                <w:sz w:val="18"/>
                <w:szCs w:val="18"/>
                <w:color w:val="auto"/>
              </w:rPr>
              <w:t>Net (loss) income available to common stockholders</w:t>
            </w: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(19,285)</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4,099</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(27,675)</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(11,991)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00" w:type="dxa"/>
            <w:vAlign w:val="bottom"/>
            <w:gridSpan w:val="2"/>
          </w:tcPr>
          <w:p>
            <w:pPr>
              <w:ind w:left="160"/>
              <w:spacing w:after="0" w:line="190" w:lineRule="exact"/>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00" w:type="dxa"/>
            <w:vAlign w:val="bottom"/>
            <w:gridSpan w:val="2"/>
          </w:tcPr>
          <w:p>
            <w:pPr>
              <w:spacing w:after="0" w:line="189" w:lineRule="exact"/>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62,487,152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60,415,866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62,114,399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35,806,520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shares issuable under stock options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5,608,822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Dilutive effect of RSUs</w:t>
            </w: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1,802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00" w:type="dxa"/>
            <w:vAlign w:val="bottom"/>
            <w:tcBorders>
              <w:top w:val="single" w:sz="8" w:color="CCEEFF"/>
            </w:tcBorders>
            <w:gridSpan w:val="2"/>
            <w:shd w:val="clear" w:color="auto" w:fill="CCEEFF"/>
          </w:tcPr>
          <w:p>
            <w:pPr>
              <w:spacing w:after="0" w:line="168" w:lineRule="exact"/>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62,487,152</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66,026,490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62,114,399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35,806,520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00" w:type="dxa"/>
            <w:vAlign w:val="bottom"/>
            <w:tcBorders>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20" w:type="dxa"/>
            <w:vAlign w:val="bottom"/>
            <w:gridSpan w:val="3"/>
            <w:vMerge w:val="restart"/>
          </w:tcPr>
          <w:p>
            <w:pPr>
              <w:spacing w:after="0" w:line="176" w:lineRule="exact"/>
              <w:rPr>
                <w:sz w:val="20"/>
                <w:szCs w:val="20"/>
                <w:color w:val="auto"/>
              </w:rPr>
            </w:pPr>
            <w:r>
              <w:rPr>
                <w:rFonts w:ascii="Arial" w:cs="Arial" w:eastAsia="Arial" w:hAnsi="Arial"/>
                <w:sz w:val="18"/>
                <w:szCs w:val="18"/>
                <w:color w:val="auto"/>
              </w:rPr>
              <w:t>Net (loss) income per share available to common</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420" w:type="dxa"/>
            <w:vAlign w:val="bottom"/>
            <w:gridSpan w:val="3"/>
            <w:vMerge w:val="continue"/>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ind w:right="12"/>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00" w:type="dxa"/>
            <w:vAlign w:val="bottom"/>
            <w:gridSpan w:val="2"/>
          </w:tcPr>
          <w:p>
            <w:pPr>
              <w:ind w:left="160"/>
              <w:spacing w:after="0" w:line="190" w:lineRule="exact"/>
              <w:rPr>
                <w:sz w:val="20"/>
                <w:szCs w:val="20"/>
                <w:color w:val="auto"/>
              </w:rPr>
            </w:pPr>
            <w:r>
              <w:rPr>
                <w:rFonts w:ascii="Arial" w:cs="Arial" w:eastAsia="Arial" w:hAnsi="Arial"/>
                <w:sz w:val="18"/>
                <w:szCs w:val="18"/>
                <w:color w:val="auto"/>
              </w:rPr>
              <w:t>stockholders—basic</w:t>
            </w:r>
          </w:p>
        </w:tc>
        <w:tc>
          <w:tcPr>
            <w:tcW w:w="1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400" w:type="dxa"/>
            <w:vAlign w:val="bottom"/>
            <w:gridSpan w:val="2"/>
            <w:shd w:val="clear" w:color="auto" w:fill="CCEEFF"/>
          </w:tcPr>
          <w:p>
            <w:pPr>
              <w:spacing w:after="0" w:line="155" w:lineRule="exact"/>
              <w:rPr>
                <w:sz w:val="20"/>
                <w:szCs w:val="20"/>
                <w:color w:val="auto"/>
              </w:rPr>
            </w:pPr>
            <w:r>
              <w:rPr>
                <w:rFonts w:ascii="Arial" w:cs="Arial" w:eastAsia="Arial" w:hAnsi="Arial"/>
                <w:sz w:val="17"/>
                <w:szCs w:val="17"/>
                <w:color w:val="auto"/>
              </w:rPr>
              <w:t>Net (loss) income per share available to common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stockholders—diluted</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Subsequent to the quarter ended September 26, 2020, on October 30, 2020, the Company acquired certain assets including land, building, vehicles, machinery and equipment and certain workforce from one of its former co-manufacturers for cash consideration of $14.5 million, subject to adjustment for customary prorations, transfer taxes, escrow holdbacks and other adjustments. As of September 26, 2020, the Company had incurred $0.7 million of related acquisition costs which are reflected in prepaid expenses and other current assets on the Company’s condensed consolidated balance sheet. As part of this transaction, the Company hired approximately 180 employees. The Company intends to use this manufacturing facility for the production of its finished goods.</w:t>
      </w:r>
    </w:p>
    <w:p>
      <w:pPr>
        <w:spacing w:after="0" w:line="15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The Company will record the preliminary effects of this asset acquisition during the fourth quarter of 2020 and has engaged a valuation firm to value the acquired assets and workforce for which the valuation is not complete as of the date of this filing due to the limited time since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i w:val="1"/>
          <w:iCs w:val="1"/>
          <w:color w:val="auto"/>
        </w:rPr>
        <w:t>The following discussion contains forward-looking statements that involve risks and uncertainties. Our actual results may differ materially from those discussed in the forward-looking statements as a result of various factors, including those set forth in Part I, Item 1A, “Risk Factors,” of our 2019 Form 10-K and Part II, Item 1A, “Risk Factors” and “Note Regarding Forward-Looking Statements” included in this report and those discussed in other documents we file from time to time with the SEC. The following discussion of our financial condition and results of operations should be read in conjunction with our unaudited condensed consolidated financial statements and the related notes and other financial information included in this quarterly report and our audited financial statements and notes thereto included in our 2019 10-K. Our historical results are not necessarily indicative of the results to be expected for any future periods and our operating results for the three and nine months ended September 26, 2020 are not necessarily indicative of the results to be expected for the fiscal year ending December 31, 2020 or for any other interim period or for any other future year or period.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commitment,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23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We sell a range of plant-based products across the three main meat platforms of beef, pork and poultry. As of September 26, 2020, our products were available at approximately 122,000 retail and foodservice outlets in more than 80 countries worldwide, across mainstream grocery, mass merchandiser, club, convenience store, and natural retailer channels, direct to consumer, and various food-away-from-home channels, including restaurants, foodservice outlets and schools.</w:t>
      </w:r>
    </w:p>
    <w:p>
      <w:pPr>
        <w:spacing w:after="0" w:line="150"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On May 6, 2019, we completed our initial public offering (“IPO”) of common stock, in which we sold 11,068,750 shares. The shares began trading on the Nasdaq Global Select Market on May 2, 2019. The shares were sold at a public offering price of $25.00 per share for net proceeds of approximately $252.4 million, after deducting underwriting discounts and commissions of $19.4 million and issuance costs of approximately $4.9 million payable by us. Upon the closing of the IPO, all outstanding shares of our convertible preferred stock automatically converted into 41,562,111 shares of common stock on a one-for-one basis, and warrants exercisable for convertible preferred stock were automatically converted into warrants exercisable for 160,767 shares of common stock.</w:t>
      </w:r>
    </w:p>
    <w:p>
      <w:pPr>
        <w:spacing w:after="0" w:line="154"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On August 5, 2019, we completed our secondary public offering (“Secondary Offering”) of common stock, in which we sold 250,000 shares. The shares were sold at a public offering price of $ 160.00 per share for net proceeds to us of approximately $37.4 million, after deducting underwriting discounts and commissions of $1.5 million and issuance costs of approximately $1.1 million payable by us. We did not receive any proceeds from the sale of common stock by the selling stockholders in the Secondary Offering.</w:t>
      </w:r>
    </w:p>
    <w:p>
      <w:pPr>
        <w:spacing w:after="0" w:line="15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On January 14, 2020, we registered our new subsidiary, Beyond Meat EU B.V., in the Netherlands. On April 28, 2020, we registered our new subsidiary, Beyond Meat (Jiaxing) Food Co., Ltd. (“BYND JX”), in the Zhejiang Province in China. The condensed consolidated financial statements for the periods ended September 26, 2020 include the accounts of the Company and these subsidiaries. All inter-company balances and transactions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firstLine="324"/>
        <w:spacing w:after="0" w:line="251" w:lineRule="auto"/>
        <w:rPr>
          <w:sz w:val="20"/>
          <w:szCs w:val="20"/>
          <w:color w:val="auto"/>
        </w:rPr>
      </w:pPr>
      <w:r>
        <w:rPr>
          <w:rFonts w:ascii="Arial" w:cs="Arial" w:eastAsia="Arial" w:hAnsi="Arial"/>
          <w:sz w:val="18"/>
          <w:szCs w:val="18"/>
          <w:color w:val="auto"/>
        </w:rPr>
        <w:t>Our primary production facilities are located in Columbia, Missouri, and research and development and administrative offices are located in El Segundo, California. In addition to our own production facilities, we use co-manufacturers in various locations in the United States, Canada and the Netherlands. In the second quarter of 2020, we acquired our first manufacturing facility in Europe located in Enschede, the Netherlands. This facility is expected to be operational by the end of 2020. In addition, in June 2020 we announced the official opening of a new co-manufacturing facility to be used for Beyond Meat production built by our distributor in the Netherlands. In the third quarter of 2020, we and BYND JX entered into an investment agreement and related factory leasing contract to design and develop manufacturing facilities in the Jiaxing Economic &amp; Technological Development Zone to manufacture plant-based meat products under the Beyond Meat brand in China. Renovations in the leased facility have commenced, with trial production expected by the end of 2020 and full-scale production expected in early 2021.</w:t>
      </w:r>
    </w:p>
    <w:p>
      <w:pPr>
        <w:spacing w:after="0" w:line="15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Subsequent to the quarter ended September 26, 2020, on October 30, 2020, we acquired certain assets including land, building, vehicles, machinery and equipment and certain workforce from one of our former co-manufacturers for cash consideration of $14.5 million, subject to adjustment for customary prorations, transfer taxes, escrow holdbacks and other adjustments. As part of this transaction we hired approximately 180 employees. We intend to use this manufacturing facility for the production of our finished goods.</w:t>
      </w:r>
    </w:p>
    <w:p>
      <w:pPr>
        <w:spacing w:after="0" w:line="150" w:lineRule="exact"/>
        <w:rPr>
          <w:sz w:val="20"/>
          <w:szCs w:val="20"/>
          <w:color w:val="auto"/>
        </w:rPr>
      </w:pPr>
    </w:p>
    <w:p>
      <w:pPr>
        <w:jc w:val="both"/>
        <w:ind w:right="320" w:firstLine="324"/>
        <w:spacing w:after="0" w:line="256" w:lineRule="auto"/>
        <w:rPr>
          <w:sz w:val="20"/>
          <w:szCs w:val="20"/>
          <w:color w:val="auto"/>
        </w:rPr>
      </w:pPr>
      <w:r>
        <w:rPr>
          <w:rFonts w:ascii="Arial" w:cs="Arial" w:eastAsia="Arial" w:hAnsi="Arial"/>
          <w:sz w:val="18"/>
          <w:szCs w:val="18"/>
          <w:color w:val="auto"/>
        </w:rPr>
        <w:t>We operate on a fiscal calendar year, and each interim quarter is comprised of one 5-week period and two 4-week periods, with each week ending on a Saturday. Our fiscal year always begins on January 1 and ends on December 31. As a result, our first and fourth fiscal quarters may have more or fewer days included than a traditional 91-day fiscal quarter.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9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COVID-19 pandemic has had, and we expect will continue to have certain negative impacts on our business. As government authorities around the world continue to implement significant measures intended to control the spread of the virus and institute restrictions on commercial operations, while at the same time implementing multi-step policies with the goal of re-opening certain markets, we are working to ensure our compliance while also maintaining business continuity for essential operations in our facilities.</w:t>
      </w:r>
    </w:p>
    <w:p>
      <w:pPr>
        <w:spacing w:after="0" w:line="150"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While our manufacturing facilities remain operational, beginning in March 2020 employees at our corporate headquarters began working remotely. For essential activities at our Manhattan Beach Project Innovation Center, we are strictly limiting the number of employees allowed in the building and have implemented physical distancing protocols, mandatory face coverings, temperature screening of all personnel entering the site, and comprehensive preventative hygienic measures to support the health and safety of our employees. We expect our corporate headquarters employees to remain working remotely pending further notice and guidelines from local, state and federal agencies. At our manufacturing facilities, we have implemented a series of physical distancing and hygienic practices to further support the health and safety of our manufacturing employees. Our manufacturing employees are all being monitored for COVID-19 symptoms, including temperature screening of all personnel entering the site; and are following strict COVID-19 suggested Personal Protective Equipment guidelines per United States Centers for Disease Control and World Health Organization, including mandatory face coverings, increased hand washing and significantly increased sanitation of hard surfaces. All non-essential company-sponsored travel has been suspended and field marketing activities have been curbed due to the COVID-19-related restrictions.</w:t>
      </w:r>
    </w:p>
    <w:p>
      <w:pPr>
        <w:spacing w:after="0" w:line="15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have established a cross-functional task force that meets regularly and continually monitors and tracks relevant data including guidance from local, national, and international health agencies. This task force works closely with our senior leadership and is instrumental in making critical, timely decisions and is committed to continuing to communicate to our employees as more information is available to share.</w:t>
      </w:r>
    </w:p>
    <w:p>
      <w:pPr>
        <w:spacing w:after="0" w:line="150"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have experienced a significant slowdown in our foodservice business since the latter half of March 2020 due to the ongoing COVID-19 pandemic as various regions around the world implemented stay-at-home orders, social distancing measures and various restrictions on commercial operations, resulting in the closure or limited operations of many of our foodservice customers. Such closures or scaled back operations have also resulted in delays in tests or launches of our products among our foodservice customers and negatively impacted the rate of our growth. Additionally, while we were able to increase our total foodservice distribution points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35" w:right="359" w:bottom="1440" w:gutter="0" w:footer="0" w:header="0"/>
        </w:sectPr>
      </w:pPr>
    </w:p>
    <w:bookmarkStart w:id="39" w:name="page40"/>
    <w:bookmarkEnd w:id="39"/>
    <w:p>
      <w:pPr>
        <w:ind w:right="20"/>
        <w:spacing w:after="0" w:line="261" w:lineRule="auto"/>
        <w:rPr>
          <w:sz w:val="20"/>
          <w:szCs w:val="20"/>
          <w:color w:val="auto"/>
        </w:rPr>
      </w:pPr>
      <w:r>
        <w:rPr>
          <w:rFonts w:ascii="Arial" w:cs="Arial" w:eastAsia="Arial" w:hAnsi="Arial"/>
          <w:sz w:val="18"/>
          <w:szCs w:val="18"/>
          <w:color w:val="auto"/>
        </w:rPr>
        <w:t>by approximately 2,000 outlets during the third quarter of 2020, such increase in distribution has not offset decreased demand in the channel due to the conditions described above.</w:t>
      </w:r>
    </w:p>
    <w:p>
      <w:pPr>
        <w:spacing w:after="0" w:line="14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COVID-19 pandemic had a significant negative impact on our foodservice channel net revenues in the second and third quarters of 2020 relative to what we experienced in the first quarter of 2020. For the first, second and third quarters of 2020, we generated foodservice channel net revenues of $41.2 million, $13.7 million and $24.4 million, respectively. Although the foodservice channel net revenues improved 78.1% in the third quarter of 2020 compared to the second quarter of 2020, they were 40.8% lower than the foodservice channel net revenues in the first quarter of 2020. In response to the recent COVID-19 resurgence in some markets, new lockdowns, curfews and other restrictive measures are being imposed which have slowed, halted or reversed the reopening process altogether, and may adversely impact the foodservice recovery. We continue to partner with our QSR and foodservice customers during this challenging environment, and during the quarter offered promotional programs to many of our foodservice partners to allow them to offer our products to consumers at reduced price points or on other promotional terms. While we began to see some improvement in demand in our foodservice business during the third quarter of 2020, amid relaxed stay-at-home orders in some states, the environment remains highly uncertain given the ongoing pandemic and COVID-19 resurgence. As a result, it is unclear how long it will take for foodservice demand to return to pre-pandemic levels, if at all. We expect revenues in our foodservice channel will continue to be significantly negatively impacted through at least the remainder of 2020, and likely into 2021.</w:t>
      </w:r>
    </w:p>
    <w:p>
      <w:pPr>
        <w:spacing w:after="0" w:line="156"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At the same time, during the second quarter of 2020, we experienced a meaningful increase in retail demand as consumers shifted toward more at-home consumption. In response to the deterioration in the foodservice business and the significant shift in consumer preferences to retail, beginning in the second quarter of 2020 and continuing into the beginning of the third quarter of 2020, we re-purposed and re-routed a certain portion of our existing foodservice inventory into retail SKUs. These activities led to increased net revenues in our retail channel and at the same time negatively impacted our gross profit and gross margin in the second and third quarters of 2020 due to increased expenses associated with such activities, additional inventory reserves and the write-off of unrecoverable portions of the original foodservice inventory items.</w:t>
      </w:r>
    </w:p>
    <w:p>
      <w:pPr>
        <w:spacing w:after="0" w:line="15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Following the retail surge in the second quarter of 2020 amid panic buying in response to COVID-19, the level of retail demand meaningfully slowed during the third quarter of 2020 consistent with broader market trends across grocery foodstuffs and the plant-based meat category as stay-at-home orders and commercial restrictions were relaxed. Our net revenues in the retail channel during the third quarter of 2020, as compared to the prior-year period, were primarily driven by our expansion in total retail outlets, higher sales velocity at existing retail outlets and new product introductions. We also continued to offer promotional and reduced pricing to certain of our retail customers and higher trade discounts in the third quarter of 2020 to encourage greater consumer trial and adoption of our products. For the three months ended September 26, 2020 and June 27, 2020, we generated retail channel net revenues of $70.0 million and $99.6 million, respectively, representing a decrease of 29.7%. As COVID-19 rates surge in numerous regions of the world, the environment is continuously evolving and remains highly uncertain. It is therefore difficult to predict retail demand levels going forward.</w:t>
      </w:r>
    </w:p>
    <w:p>
      <w:pPr>
        <w:spacing w:after="0" w:line="15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For the year ended December 31, 2019, our U.S. retail and U.S. foodservice channels accounted for approximately 43.4% and 23.6% of our net revenues, respectively. For the quarter ended September 26, 2020, our U.S. retail and U.S. foodservice channels accounted for approximately 65.7% and 17.3% of our net revenues, respectively. For the three months ended September 26, 2020, retail net revenues increased 38.8%, while foodservice net revenues declined 41.2% compared to the prior-year period. The change in mix of our distribution channels has been significant since the start of the COVID-19 pandemic and is likely to continue to cause fluctuation in our quarterly results pending the duration, magnitude and effects of the COVID-19 pandemic.</w:t>
      </w:r>
    </w:p>
    <w:p>
      <w:pPr>
        <w:spacing w:after="0" w:line="154"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response to the COVID-19 pandemic, in the second quarter of 2020 we undertook our Feed A Million + campaign, where we, with the support of our brand ambassadors and other partners, donated and distributed more than one million Beyond Burgers at no cost to food banks, healthcare workers, frontline responders and communities in need across the country.</w:t>
      </w:r>
    </w:p>
    <w:p>
      <w:pPr>
        <w:spacing w:after="0" w:line="14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In the third quarter of 2020, we experienced a $ 10.7 million reduction in inventory balances compared to the end of the second quarter of 2020, primarily due to a reduction in finished goods partially offset by increases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35" w:right="379" w:bottom="1440" w:gutter="0" w:footer="0" w:header="0"/>
        </w:sectPr>
      </w:pPr>
    </w:p>
    <w:bookmarkStart w:id="40" w:name="page41"/>
    <w:bookmarkEnd w:id="40"/>
    <w:p>
      <w:pPr>
        <w:ind w:right="140"/>
        <w:spacing w:after="0" w:line="291" w:lineRule="auto"/>
        <w:rPr>
          <w:sz w:val="20"/>
          <w:szCs w:val="20"/>
          <w:color w:val="auto"/>
        </w:rPr>
      </w:pPr>
      <w:r>
        <w:rPr>
          <w:rFonts w:ascii="Arial" w:cs="Arial" w:eastAsia="Arial" w:hAnsi="Arial"/>
          <w:sz w:val="17"/>
          <w:szCs w:val="17"/>
          <w:color w:val="auto"/>
        </w:rPr>
        <w:t>raw materials, specifically our core pea protein inputs, and work in process inventory levels during the quarter. We also incurred $1.1 million in costs attributable to COVID-19 from inventory write-offs and reserves associated with foodservice products determined to be unsalable.</w:t>
      </w:r>
    </w:p>
    <w:p>
      <w:pPr>
        <w:spacing w:after="0" w:line="120"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source ingredients from multiple suppliers from around the world. We also maintain inventory positions near our manufacturing operations, as well as floor stock agreements with many of our vendors. With respect to pea protein, given the nature of our contractual commitments, our volume deliveries are front loaded during the year in anticipation of higher demand levels during the summer season. Given that we scaled back our production in response to the COVID-19 pandemic and to reduce our existing finished goods and work in process inventory levels, we have seen an increase in our pea protein stocks. However, in light of the expected shelf life of our pea protein raw materials, we do not believe there is a risk of inventory obsolescence of these raw materials at this time.</w:t>
      </w:r>
    </w:p>
    <w:p>
      <w:pPr>
        <w:spacing w:after="0" w:line="15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It is challenging to estimate the extent of the adverse impact of the COVID-19 pandemic on our results of operations, due to continued uncertainty regarding the duration, magnitude and effects of the COVID-19 pandemic, further spread and resurgences of the disease, potential supply chain or manufacturing disruptions, and the magnitude of reduced customer traffic at our foodservice customers, or the extent to which they may be offset by increased retail demand, or increasing consumer awareness of the benefits of plant-based meat products. We also are unable to predict whether the increase in demand by our retail customers will resume at the levels experienced in the second quarter of 2020 or continue to be subject to the downward pressure seen in the third quarter of 2020. While the ultimate health and economic impact of the COVID-19 pandemic is highly uncertain, we expect that our business operations and results of operations, including our net revenues, gross profit, gross margin, earnings and cash flows, will be adversely impacted through at least the remainder of 2020, and likely into 2021, including as a result of:</w:t>
      </w:r>
    </w:p>
    <w:p>
      <w:pPr>
        <w:spacing w:after="0" w:line="158" w:lineRule="exact"/>
        <w:rPr>
          <w:sz w:val="20"/>
          <w:szCs w:val="20"/>
          <w:color w:val="auto"/>
        </w:rPr>
      </w:pPr>
    </w:p>
    <w:p>
      <w:pPr>
        <w:ind w:left="660" w:right="68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weak demand in the foodservice channel from decreased foot traffic in foodservice establishments and the level of demand shift from foodservice to retail business;</w:t>
      </w:r>
    </w:p>
    <w:p>
      <w:pPr>
        <w:spacing w:after="0" w:line="35"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cost of goods sold and increased promotional programs and trade discounts to our retail and foodservice customers resulting in negative impacts on our gross margins;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disruption to the supply chain caused by distribution and other logistical issues;</w:t>
      </w:r>
    </w:p>
    <w:p>
      <w:pPr>
        <w:spacing w:after="0" w:line="63"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disruption or closure of our facilities or those of our suppliers or co-manufacturers due to employee contraction of COVID-19;</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strategic partnership launches and resumption of any expansion plans for our product lines for those quick-service restaurant (“QSR”) customers who are in trial or test phase;</w:t>
      </w:r>
    </w:p>
    <w:p>
      <w:pPr>
        <w:spacing w:after="0" w:line="35" w:lineRule="exact"/>
        <w:rPr>
          <w:rFonts w:ascii="Arial" w:cs="Arial" w:eastAsia="Arial" w:hAnsi="Arial"/>
          <w:sz w:val="18"/>
          <w:szCs w:val="18"/>
          <w:color w:val="auto"/>
        </w:rPr>
      </w:pPr>
    </w:p>
    <w:p>
      <w:pPr>
        <w:ind w:left="660" w:right="140" w:hanging="328"/>
        <w:spacing w:after="0" w:line="27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reduced consumer confidence and consumer spending (including as a result of lower discretionary income due to unemployment or reduced or limited work as a result of measures taken in response to the pandemic), including spending to purchase our products; and negative trends in consumer purchasing patterns due to consumers’ disposable income, credit availability and debt levels;</w:t>
      </w:r>
    </w:p>
    <w:p>
      <w:pPr>
        <w:spacing w:after="0" w:line="22" w:lineRule="exact"/>
        <w:rPr>
          <w:rFonts w:ascii="Arial" w:cs="Arial" w:eastAsia="Arial" w:hAnsi="Arial"/>
          <w:sz w:val="17"/>
          <w:szCs w:val="17"/>
          <w:color w:val="auto"/>
        </w:rPr>
      </w:pPr>
    </w:p>
    <w:p>
      <w:pPr>
        <w:ind w:left="660" w:right="42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foodservice customer closures (including re-closures in connection with resurgences of COVID-19) or further reduced operations;</w:t>
      </w:r>
    </w:p>
    <w:p>
      <w:pPr>
        <w:spacing w:after="0" w:line="35" w:lineRule="exact"/>
        <w:rPr>
          <w:rFonts w:ascii="Arial" w:cs="Arial" w:eastAsia="Arial" w:hAnsi="Arial"/>
          <w:sz w:val="18"/>
          <w:szCs w:val="18"/>
          <w:color w:val="auto"/>
        </w:rPr>
      </w:pPr>
    </w:p>
    <w:p>
      <w:pPr>
        <w:ind w:left="660" w:right="70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introduce new foodservice products as QSR and other partners look to simplify menu offerings as a result of the pandemic;</w:t>
      </w:r>
    </w:p>
    <w:p>
      <w:pPr>
        <w:spacing w:after="0" w:line="35" w:lineRule="exact"/>
        <w:rPr>
          <w:rFonts w:ascii="Arial" w:cs="Arial" w:eastAsia="Arial" w:hAnsi="Arial"/>
          <w:sz w:val="18"/>
          <w:szCs w:val="18"/>
          <w:color w:val="auto"/>
        </w:rPr>
      </w:pPr>
    </w:p>
    <w:p>
      <w:pPr>
        <w:jc w:val="both"/>
        <w:ind w:left="660" w:right="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retail landscape, including the timing and level of trade and promotion discounts, our ability to grow market share and increase household penetration, repeat buying rates and purchase frequency, and our ability to maintain and increase sales velocity of our products;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pace and success of new product introductions;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uncertain economic and political outlook in the U.S. and worldwide;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uncertainty in the length of recovery time for the U.S. and world economies;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in our ability to expand to new international locations.</w:t>
      </w:r>
    </w:p>
    <w:p>
      <w:pPr>
        <w:spacing w:after="0" w:line="200" w:lineRule="exact"/>
        <w:rPr>
          <w:sz w:val="20"/>
          <w:szCs w:val="20"/>
          <w:color w:val="auto"/>
        </w:rPr>
      </w:pPr>
    </w:p>
    <w:p>
      <w:pPr>
        <w:spacing w:after="0" w:line="268" w:lineRule="exact"/>
        <w:rPr>
          <w:sz w:val="20"/>
          <w:szCs w:val="20"/>
          <w:color w:val="auto"/>
        </w:rPr>
      </w:pPr>
    </w:p>
    <w:p>
      <w:pPr>
        <w:ind w:right="840" w:firstLine="324"/>
        <w:spacing w:after="0" w:line="261" w:lineRule="auto"/>
        <w:rPr>
          <w:sz w:val="20"/>
          <w:szCs w:val="20"/>
          <w:color w:val="auto"/>
        </w:rPr>
      </w:pPr>
      <w:r>
        <w:rPr>
          <w:rFonts w:ascii="Arial" w:cs="Arial" w:eastAsia="Arial" w:hAnsi="Arial"/>
          <w:sz w:val="18"/>
          <w:szCs w:val="18"/>
          <w:color w:val="auto"/>
        </w:rPr>
        <w:t>We are focused on navigating these recent challenges presented by COVID-19 through offensive measures, such as switching foodservice production lines over to retail products, selling retail value packs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41" w:name="page42"/>
    <w:bookmarkEnd w:id="41"/>
    <w:p>
      <w:pPr>
        <w:ind w:right="20"/>
        <w:spacing w:after="0" w:line="252" w:lineRule="auto"/>
        <w:rPr>
          <w:sz w:val="20"/>
          <w:szCs w:val="20"/>
          <w:color w:val="auto"/>
        </w:rPr>
      </w:pPr>
      <w:r>
        <w:rPr>
          <w:rFonts w:ascii="Arial" w:cs="Arial" w:eastAsia="Arial" w:hAnsi="Arial"/>
          <w:sz w:val="18"/>
          <w:szCs w:val="18"/>
          <w:color w:val="auto"/>
        </w:rPr>
        <w:t>offering aggressive pricing with a strategic opportunity to encourage consumer trials, as well as defensive measures focused on reducing or delaying discretionary spending in areas where effectiveness has been impeded by the pandemic, and streamlining operations, including furloughs and headcount reductions in light of inventory levels, demand shifts and company-wide capacity planning. We expect these actions will continue to negatively impact our gross margins and profitability through at least the remainder of 2020, and likely into 2021. Future events and effects related to the COVID-19 pandemic cannot be determined with precision and actual results could significantly differ from estimates or forecasts.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 and Trends and Other Factors Affecting Our Business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Revenues</w:t>
      </w:r>
    </w:p>
    <w:p>
      <w:pPr>
        <w:spacing w:after="0" w:line="19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generate net revenues primarily from sales of our products to our customers across mainstream grocery, mass merchandiser, club, convenience store, and natural retailer channels, and various food-away-from-home channels, including restaurants, foodservice outlets and schools, mainly in the United States. To make plant-based meat accessible to more consumers, in August 2020, we launched an e-commerce site and began offering our products direct to consumers in bulk packs, mixed product bundles, limited-time offers, and trial packs.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January 1, 2020, we began presenting net revenues by geography and distribution channel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Distribution Channel</w:t>
            </w:r>
          </w:p>
        </w:tc>
        <w:tc>
          <w:tcPr>
            <w:tcW w:w="200" w:type="dxa"/>
            <w:vAlign w:val="bottom"/>
            <w:tcBorders>
              <w:bottom w:val="single" w:sz="8" w:color="CCEEFF"/>
            </w:tcBorders>
          </w:tcPr>
          <w:p>
            <w:pPr>
              <w:spacing w:after="0"/>
              <w:rPr>
                <w:sz w:val="18"/>
                <w:szCs w:val="18"/>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Description</w:t>
            </w:r>
          </w:p>
        </w:tc>
      </w:tr>
      <w:tr>
        <w:trPr>
          <w:trHeight w:val="233"/>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Retail</w:t>
            </w: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 from retail sales to the U.S. market</w:t>
            </w:r>
          </w:p>
        </w:tc>
      </w:tr>
      <w:tr>
        <w:trPr>
          <w:trHeight w:val="230"/>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U.S. Foodservice</w:t>
            </w:r>
          </w:p>
        </w:tc>
        <w:tc>
          <w:tcPr>
            <w:tcW w:w="6060" w:type="dxa"/>
            <w:vAlign w:val="bottom"/>
          </w:tcPr>
          <w:p>
            <w:pPr>
              <w:spacing w:after="0"/>
              <w:rPr>
                <w:sz w:val="20"/>
                <w:szCs w:val="20"/>
                <w:color w:val="auto"/>
              </w:rPr>
            </w:pPr>
            <w:r>
              <w:rPr>
                <w:rFonts w:ascii="Arial" w:cs="Arial" w:eastAsia="Arial" w:hAnsi="Arial"/>
                <w:sz w:val="18"/>
                <w:szCs w:val="18"/>
                <w:color w:val="auto"/>
              </w:rPr>
              <w:t>Net revenues from restaurant and foodservice sales to the U.S. market</w:t>
            </w:r>
          </w:p>
        </w:tc>
      </w:tr>
      <w:tr>
        <w:trPr>
          <w:trHeight w:val="40"/>
        </w:trPr>
        <w:tc>
          <w:tcPr>
            <w:tcW w:w="2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60" w:type="dxa"/>
            <w:vAlign w:val="bottom"/>
          </w:tcPr>
          <w:p>
            <w:pPr>
              <w:spacing w:after="0"/>
              <w:rPr>
                <w:sz w:val="3"/>
                <w:szCs w:val="3"/>
                <w:color w:val="auto"/>
              </w:rPr>
            </w:pPr>
          </w:p>
        </w:tc>
      </w:tr>
      <w:tr>
        <w:trPr>
          <w:trHeight w:val="250"/>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International Retail</w:t>
            </w: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 from retail sales to international markets, including Canada</w:t>
            </w:r>
          </w:p>
        </w:tc>
      </w:tr>
      <w:tr>
        <w:trPr>
          <w:trHeight w:val="188"/>
        </w:trPr>
        <w:tc>
          <w:tcPr>
            <w:tcW w:w="23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International Foodservice</w:t>
            </w:r>
          </w:p>
        </w:tc>
        <w:tc>
          <w:tcPr>
            <w:tcW w:w="6060" w:type="dxa"/>
            <w:vAlign w:val="bottom"/>
          </w:tcPr>
          <w:p>
            <w:pPr>
              <w:spacing w:after="0" w:line="189" w:lineRule="exact"/>
              <w:rPr>
                <w:sz w:val="20"/>
                <w:szCs w:val="20"/>
                <w:color w:val="auto"/>
              </w:rPr>
            </w:pPr>
            <w:r>
              <w:rPr>
                <w:rFonts w:ascii="Arial" w:cs="Arial" w:eastAsia="Arial" w:hAnsi="Arial"/>
                <w:sz w:val="18"/>
                <w:szCs w:val="18"/>
                <w:color w:val="auto"/>
              </w:rPr>
              <w:t>Net revenues from restaurant and foodservice sales to international</w:t>
            </w:r>
          </w:p>
        </w:tc>
      </w:tr>
      <w:tr>
        <w:trPr>
          <w:trHeight w:val="217"/>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markets, including Canada</w:t>
            </w:r>
          </w:p>
        </w:tc>
      </w:tr>
    </w:tbl>
    <w:p>
      <w:pPr>
        <w:spacing w:after="0" w:line="121" w:lineRule="exact"/>
        <w:rPr>
          <w:sz w:val="20"/>
          <w:szCs w:val="20"/>
          <w:color w:val="auto"/>
        </w:rPr>
      </w:pPr>
    </w:p>
    <w:p>
      <w:pPr>
        <w:ind w:right="600" w:firstLine="324"/>
        <w:spacing w:after="0" w:line="256" w:lineRule="auto"/>
        <w:rPr>
          <w:sz w:val="20"/>
          <w:szCs w:val="20"/>
          <w:color w:val="auto"/>
        </w:rPr>
      </w:pPr>
      <w:r>
        <w:rPr>
          <w:rFonts w:ascii="Arial" w:cs="Arial" w:eastAsia="Arial" w:hAnsi="Arial"/>
          <w:sz w:val="18"/>
          <w:szCs w:val="18"/>
          <w:color w:val="auto"/>
        </w:rPr>
        <w:t>Net revenues from sales to the Canadian market, previously included with net revenues from sales to the U.S. market, have been reclassified to International net revenues. Prior period amounts have been recast to conform to the current period presentation. The foregoing change in presentation had no impact on our net revenues, results of operations or cash flows.</w:t>
      </w:r>
    </w:p>
    <w:p>
      <w:pPr>
        <w:spacing w:after="0" w:line="14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Effective January 1, 2020, we also eliminated the presentation of net revenues by platform as it is no longer material to an understanding of our financial results. Previously, we presented net revenues by platform for our “ready-to-cook” or fresh platform, and “ready-to-heat” or frozen platform. Gross revenues from sales of products in our frozen platform were 5.5% of gross revenues in the year ended December 31, 2019, as compared to 16.3% of gross revenues in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35" w:right="35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color w:val="auto"/>
        </w:rPr>
        <w:t>The following table presents our 2019 quarterly net revenues by channel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3"/>
                <w:szCs w:val="13"/>
                <w:color w:val="auto"/>
              </w:rPr>
            </w:pPr>
          </w:p>
        </w:tc>
        <w:tc>
          <w:tcPr>
            <w:tcW w:w="144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March 30,</w:t>
            </w:r>
          </w:p>
        </w:tc>
        <w:tc>
          <w:tcPr>
            <w:tcW w:w="360" w:type="dxa"/>
            <w:vAlign w:val="bottom"/>
          </w:tcPr>
          <w:p>
            <w:pPr>
              <w:spacing w:after="0"/>
              <w:rPr>
                <w:sz w:val="13"/>
                <w:szCs w:val="13"/>
                <w:color w:val="auto"/>
              </w:rPr>
            </w:pPr>
          </w:p>
        </w:tc>
        <w:tc>
          <w:tcPr>
            <w:tcW w:w="164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June 29,</w:t>
            </w:r>
          </w:p>
        </w:tc>
        <w:tc>
          <w:tcPr>
            <w:tcW w:w="260" w:type="dxa"/>
            <w:vAlign w:val="bottom"/>
          </w:tcPr>
          <w:p>
            <w:pPr>
              <w:spacing w:after="0"/>
              <w:rPr>
                <w:sz w:val="13"/>
                <w:szCs w:val="13"/>
                <w:color w:val="auto"/>
              </w:rPr>
            </w:pPr>
          </w:p>
        </w:tc>
        <w:tc>
          <w:tcPr>
            <w:tcW w:w="180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September 28,</w:t>
            </w:r>
          </w:p>
        </w:tc>
        <w:tc>
          <w:tcPr>
            <w:tcW w:w="220" w:type="dxa"/>
            <w:vAlign w:val="bottom"/>
          </w:tcPr>
          <w:p>
            <w:pPr>
              <w:spacing w:after="0"/>
              <w:rPr>
                <w:sz w:val="13"/>
                <w:szCs w:val="13"/>
                <w:color w:val="auto"/>
              </w:rPr>
            </w:pPr>
          </w:p>
        </w:tc>
        <w:tc>
          <w:tcPr>
            <w:tcW w:w="1500" w:type="dxa"/>
            <w:vAlign w:val="bottom"/>
          </w:tcPr>
          <w:p>
            <w:pPr>
              <w:jc w:val="right"/>
              <w:ind w:right="232"/>
              <w:spacing w:after="0" w:line="158"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532"/>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ind w:right="693"/>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jc w:val="right"/>
              <w:ind w:right="672"/>
              <w:spacing w:after="0" w:line="175" w:lineRule="exact"/>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ind w:right="592"/>
              <w:spacing w:after="0" w:line="175"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19,461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30,531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44,170</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35,221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Foodservice</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U.S. net revenues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62,529</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61,896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6,295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Foodservice</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International net revenues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following factors and trends in our business have driven net revenue growth over prior periods and are expected to be key drivers of our net revenue growth, subject to the duration, magnitude and effects of the COVID-19 pandemic:</w:t>
      </w:r>
    </w:p>
    <w:p>
      <w:pPr>
        <w:spacing w:after="0" w:line="144" w:lineRule="exact"/>
        <w:rPr>
          <w:sz w:val="20"/>
          <w:szCs w:val="20"/>
          <w:color w:val="auto"/>
        </w:rPr>
      </w:pPr>
    </w:p>
    <w:p>
      <w:pPr>
        <w:ind w:left="660" w:right="10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penetration across our retail channel, including mainstream grocery, mass merchandiser, club, convenience store, and natural retailer channels, and our foodservice channel, including increased desire by foodservice establishments, including large full service restaurants and/or global QSR customers, to add plant-based products to their menus and to highlight these offerings;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 expansion, increased sales velocity, household penetration and repeat buying rates across our channels;</w:t>
      </w:r>
    </w:p>
    <w:p>
      <w:pPr>
        <w:spacing w:after="0" w:line="63"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international sales of our products across geographies, markets and channels as we continue to grow our numbers of international customers;</w:t>
      </w:r>
    </w:p>
    <w:p>
      <w:pPr>
        <w:spacing w:after="0" w:line="35"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continued innovation and product commercialization, including enhancing existing products and introducing new products, such as Beyond Meatballs and Beyond Breakfast Sausage Links, across our plant-based platforms that appeal to a broad range of consumers, including those who typically eat animal-based meat;</w:t>
      </w:r>
    </w:p>
    <w:p>
      <w:pPr>
        <w:spacing w:after="0" w:line="39" w:lineRule="exact"/>
        <w:rPr>
          <w:rFonts w:ascii="Arial" w:cs="Arial" w:eastAsia="Arial" w:hAnsi="Arial"/>
          <w:sz w:val="18"/>
          <w:szCs w:val="18"/>
          <w:color w:val="auto"/>
        </w:rPr>
      </w:pPr>
    </w:p>
    <w:p>
      <w:pPr>
        <w:ind w:left="660" w:hanging="328"/>
        <w:spacing w:after="0" w:line="23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enhanced marketing efforts as we continue to build our brand, amplify our value proposition around taste, health and sustainability, serve as a best-in-class partner to strategic and other QSR customers to support product development and category management, and drive consumer adoption of our products, including scaling our GO BEYOND marketing campaign, which seeks to mobilize our ambassadors to welcome consumers to the brand, define the category and remain its leader, and the launch of our </w:t>
      </w:r>
      <w:r>
        <w:rPr>
          <w:rFonts w:ascii="Arial" w:cs="Arial" w:eastAsia="Arial" w:hAnsi="Arial"/>
          <w:sz w:val="18"/>
          <w:szCs w:val="18"/>
          <w:i w:val="1"/>
          <w:iCs w:val="1"/>
          <w:color w:val="auto"/>
        </w:rPr>
        <w:t>What if We all Go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Beyond? </w:t>
      </w:r>
      <w:r>
        <w:rPr>
          <w:rFonts w:ascii="Arial" w:cs="Arial" w:eastAsia="Arial" w:hAnsi="Arial"/>
          <w:sz w:val="18"/>
          <w:szCs w:val="18"/>
          <w:color w:val="auto"/>
        </w:rPr>
        <w:t>brand anthem, inviting consumers to see how over time through small changes, such as what you put at the center of your</w:t>
      </w:r>
      <w:r>
        <w:rPr>
          <w:rFonts w:ascii="Arial" w:cs="Arial" w:eastAsia="Arial" w:hAnsi="Arial"/>
          <w:sz w:val="18"/>
          <w:szCs w:val="18"/>
          <w:i w:val="1"/>
          <w:iCs w:val="1"/>
          <w:color w:val="auto"/>
        </w:rPr>
        <w:t xml:space="preserve"> </w:t>
      </w:r>
      <w:r>
        <w:rPr>
          <w:rFonts w:ascii="Arial" w:cs="Arial" w:eastAsia="Arial" w:hAnsi="Arial"/>
          <w:sz w:val="18"/>
          <w:szCs w:val="18"/>
          <w:color w:val="auto"/>
        </w:rPr>
        <w:t>plate, there can be a meaningful collective impact on human health and the health of our planet;</w:t>
      </w:r>
    </w:p>
    <w:p>
      <w:pPr>
        <w:spacing w:after="0" w:line="42"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overall market trends, including growing consumer awareness and demand for nutritious, convenient and high protein plant-based foods; and</w:t>
      </w:r>
    </w:p>
    <w:p>
      <w:pPr>
        <w:spacing w:after="0" w:line="35" w:lineRule="exact"/>
        <w:rPr>
          <w:rFonts w:ascii="Arial" w:cs="Arial" w:eastAsia="Arial" w:hAnsi="Arial"/>
          <w:sz w:val="18"/>
          <w:szCs w:val="18"/>
          <w:color w:val="auto"/>
        </w:rPr>
      </w:pPr>
    </w:p>
    <w:p>
      <w:pPr>
        <w:ind w:left="660" w:right="8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production levels as we scale production to meet demand for our products across our distribution channels both domestically and internationally.</w:t>
      </w:r>
    </w:p>
    <w:p>
      <w:pPr>
        <w:spacing w:after="0" w:line="3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 addition to the factors and trends above, we expect the following to positively impact net revenues going forward, subject to the duration, magnitude and effects of the COVID-19 pandemic:</w:t>
      </w:r>
    </w:p>
    <w:p>
      <w:pPr>
        <w:spacing w:after="0" w:line="144" w:lineRule="exact"/>
        <w:rPr>
          <w:sz w:val="20"/>
          <w:szCs w:val="20"/>
          <w:color w:val="auto"/>
        </w:rPr>
      </w:pPr>
    </w:p>
    <w:p>
      <w:pPr>
        <w:ind w:left="660" w:right="14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of our own internal production facilities domestically and abroad to produce our woven proteins, blends of flavor systems and binding systems, and finished goods, while forming additional strategic relationships with co-manufacturers; and</w:t>
      </w:r>
    </w:p>
    <w:p>
      <w:pPr>
        <w:spacing w:after="0" w:line="35" w:lineRule="exact"/>
        <w:rPr>
          <w:rFonts w:ascii="Arial" w:cs="Arial" w:eastAsia="Arial" w:hAnsi="Arial"/>
          <w:sz w:val="18"/>
          <w:szCs w:val="18"/>
          <w:color w:val="auto"/>
        </w:rPr>
      </w:pPr>
    </w:p>
    <w:p>
      <w:pPr>
        <w:ind w:left="660" w:right="68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localized production and third-party partnerships to increase the availability and speed with which we can get our products to customers internationally.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35" w:right="359" w:bottom="1440" w:gutter="0" w:footer="0" w:header="0"/>
        </w:sectPr>
      </w:pPr>
    </w:p>
    <w:bookmarkStart w:id="43" w:name="page44"/>
    <w:bookmarkEnd w:id="43"/>
    <w:p>
      <w:pPr>
        <w:spacing w:after="0" w:line="400" w:lineRule="exact"/>
        <w:rPr>
          <w:sz w:val="20"/>
          <w:szCs w:val="20"/>
          <w:color w:val="auto"/>
        </w:rPr>
      </w:pPr>
    </w:p>
    <w:p>
      <w:pPr>
        <w:ind w:right="360" w:firstLine="324"/>
        <w:spacing w:after="0" w:line="253" w:lineRule="auto"/>
        <w:rPr>
          <w:sz w:val="20"/>
          <w:szCs w:val="20"/>
          <w:color w:val="auto"/>
        </w:rPr>
      </w:pPr>
      <w:r>
        <w:rPr>
          <w:rFonts w:ascii="Arial" w:cs="Arial" w:eastAsia="Arial" w:hAnsi="Arial"/>
          <w:sz w:val="18"/>
          <w:szCs w:val="18"/>
          <w:color w:val="auto"/>
        </w:rPr>
        <w:t>We distribute our products internationally in more than 80 countries worldwide as of September 26, 2020. In addition to our own production facilities, we use co-manufacturers in various locations in the United States, Canada and the Netherlands. International net revenues decreased 45.5% in the three months ended September 26, 2020, and 6.8% in the nine months ended September 26, 2020 as compared to the respective prior-year periods, primarily due to the decline in international foodservice net revenues attributable to the COVID-19 pandemic.</w:t>
      </w:r>
    </w:p>
    <w:p>
      <w:pPr>
        <w:spacing w:after="0" w:line="15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we seek to continue to rapidly grow our net revenues, we face several challenges. The COVID-19 pandemic has continued to spread and has already caused severe global disruptions. The extent of COVID-19’s effect on our operational and financial performance will depend on future developments, including the duration, spread and intensity of the pandemic, all of which are uncertain and difficult to predict considering the rapidly evolving landscape. For example, the impact of COVID-19 on any of our suppliers, co-manufacturers, distributors or transportation or logistics providers may negatively affect the price and availability of our ingredients and/or packaging materials and impact our supply chain. Additionally, if we are forced to scale back hours of production or close our production facilities or our Manhattan Beach Project Innovation Center in response to the pandemic, we expect our business, financial condition and results of operations would be materially adversely affected. In addition, our growth strategy to expand our operations internationally may be impeded. We expect to also continue to be impacted by decreased customer and consumer demand as a result of event cancellations and social distancing, government-imposed restrictions on public gatherings and businesses, shelter-in place orders and temporary restaurant and retail store closures and operating restrictions. Due to its global spread and unprecedented impact, the pandemic could have a material adverse effect on our business, results of operations, financial condition and cash flows and adversely impact the trading price of our common stock.</w:t>
      </w:r>
    </w:p>
    <w:p>
      <w:pPr>
        <w:spacing w:after="0" w:line="15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These programs include rebates, temporary on-shelf price reductions, buy-one-get-one-free programs, off-invoice discounts, retailer advertisements, product coupons and other trade activities. We anticipate that we will need to continue to offer more trade and promotion discounts to both our retail and foodservice customers, to drive increased consumer trial and in response to the COVID-19 pandemic. The expense associated with these discounts and promotions is estimated and recorded as a reduction in total gross revenues in order to arrive at reported net revenues. We anticipate that these promotional activities will impact our net revenues as well as negatively impact our gross margins and profitability and that changes in such activities will impact period-over-period results.</w:t>
      </w:r>
    </w:p>
    <w:p>
      <w:pPr>
        <w:spacing w:after="0" w:line="15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addition, because we do not have any purchase commitments from our distributors or customers, the amount of net revenues we recognize will vary from period to period depending on the volume, and the channels through which our products are sold, causing variability in our results.</w:t>
      </w:r>
    </w:p>
    <w:p>
      <w:pPr>
        <w:spacing w:after="0" w:line="148"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We expect to face increasing competition across all channels, especially as additional plant-based protein product brands continue to enter the marketplace.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Gross profit consists of our net revenues less cost of goods sold. Our cost of goods sold primarily consists of the cost of raw materials and ingredients for our products, direct labor and certain supply costs, co-manufacturing fees, in-bound and internal shipping and handling costs incurred in manufacturing our products, plant and equipment overhead, depreciation and amortization expense, as well as the cost of packaging our products. In order to keep pace with demand, we have had to very quickly scale production and we have not always been able to meet all demand for our products. As a result, we have had to quickly expand our sources of supply for our core protein inputs such as pea protein. Our growth has also significantly increased facility and warehouse utilization rates.</w:t>
      </w:r>
    </w:p>
    <w:p>
      <w:pPr>
        <w:spacing w:after="0" w:line="15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We intend to continue to increase our production capabilities at our two in-house manufacturing facilities in Columbia, Missouri, while expanding our co-manufacturing capacity and exploring additional production facilities domestically and abroad. In the second quarter of 2020, we acquired our first manufacturing facility in Europe located in Enschede, the Netherlands. This facility is expected to be operational by the end of 2020.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ind w:right="180"/>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in June 2020 we announced the official opening of a new co-manufacturing facility to be used for Beyond Meat production built by our distributor in the Netherlands. In the third quarter of 2020, we and BYND JX entered into an investment agreement and related factory leasing contract to design and develop manufacturing facilities to manufacture plant-based meat products under the Beyond Meat brand in China. Renovations in the leased facility have commenced, with trial production expected by the end of 2020 and full-scale production expected in early 2021. Subsequent to the quarter ended September 26, 2020, on October 30, 2020, we acquired certain assets including land, building, vehicles, machinery and equipment and certain workforce from one of our former co-manufacturers. We intend to use this manufacturing facility for the production of our finished goods. See </w:t>
      </w:r>
      <w:hyperlink w:anchor="page37">
        <w:r>
          <w:rPr>
            <w:rFonts w:ascii="Arial" w:cs="Arial" w:eastAsia="Arial" w:hAnsi="Arial"/>
            <w:sz w:val="18"/>
            <w:szCs w:val="18"/>
            <w:u w:val="single" w:color="auto"/>
            <w:color w:val="0000FF"/>
          </w:rPr>
          <w:t>Note 13</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to the Notes to Unaudited Condensed Consolidated Financial Statements included in Part I, Item 1 of this report. As a result of these expansion initiatives, we expect our cost of goods sold in absolute dollars to increase to support our growth.</w:t>
      </w:r>
    </w:p>
    <w:p>
      <w:pPr>
        <w:spacing w:after="0" w:line="158" w:lineRule="exact"/>
        <w:rPr>
          <w:sz w:val="20"/>
          <w:szCs w:val="20"/>
          <w:color w:val="auto"/>
        </w:rPr>
      </w:pPr>
    </w:p>
    <w:p>
      <w:pPr>
        <w:ind w:right="520" w:firstLine="324"/>
        <w:spacing w:after="0" w:line="253" w:lineRule="auto"/>
        <w:rPr>
          <w:sz w:val="20"/>
          <w:szCs w:val="20"/>
          <w:color w:val="auto"/>
        </w:rPr>
      </w:pPr>
      <w:r>
        <w:rPr>
          <w:rFonts w:ascii="Arial" w:cs="Arial" w:eastAsia="Arial" w:hAnsi="Arial"/>
          <w:sz w:val="18"/>
          <w:szCs w:val="18"/>
          <w:color w:val="auto"/>
        </w:rPr>
        <w:t>In addition, in response to the deterioration in the foodservice business and the significant shift in consumer preferences to retail, beginning in the second quarter of 2020 and continuing into the beginning of the third quarter of 2020, we re-purposed and re-routed a certain portion of our existing foodservice inventory into retail SKUs. These activities increased our costs of goods sold and negatively impacted our gross profit and gross margin in the second and third quarters of 2020 due to increased expenses associated with such activities, additional inventory reserves and the write-off of unrecoverable portions of the original foodservice inventory items.</w:t>
      </w:r>
    </w:p>
    <w:p>
      <w:pPr>
        <w:spacing w:after="0" w:line="15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Over the next several years, subject to the duration, magnitude and effects of the COVID-19 pandemic, we continue to expect that gross profit improvements will be delivered primarily through improved volume leverage and throughput, greater internalization and geographic localization of our manufacturing footprint, including co-manufacturing in Canada and the Netherlands and expansion of our own internal production facilities domestically and abroad to produce our woven proteins, blends of flavor systems and binding systems, and finished goods, materials and packaging input cost reductions, tolling fee efficiencies, and improved supply chain logistics and distribution costs. We intend to pass some of these cost savings on to the consumer as we pursue our goal to achieve price parity with animal protein in at least one of our product categories by 2024.</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are also working to improve gross margin through ingredient cost savings achieved through scale of purchasing and through expanding our co-manufacturing network and negotiating lower tolling fees. However, in the near term, margin improvements were impacted by repacking costs as we repurposed a certain portion of our existing foodservice inventory into retail SKUs in response to shifts in consumer demand due to COVID-19 and inventory write-offs and reserves associated with unsalable foodservice products attributable to COVID-19. Margin improvement may, however, be negatively impacted by our focus on growing our customer base, volume deleveraging, aggressive pricing strategies and increased discounting, expanding into new geographies and markets, enhancing our production infrastructure, improving our innovation capabilities, enhancing our product offerings and increasing consumer engagement.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3"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Research and development expenses consist primarily of personnel and related expenses for our research and development staff, including salaries, benefits, bonuses, and share-based compensation, scale-up expenses, and depreciation and amortization expense on research and development assets. Our research and development efforts are focused on enhancements to our product formulations and production processes in addition to the development of new products. We expect to continue to invest substantial amounts in research and development, as research and development and innovation are core elements of our business strategy, and we believe they represent a critical competitive advantage for us. We believe that we need to continue to rapidly innovate in order to continue to capture a larger market share of consumers who typically eat animal-based meats. Over time and subject to the duration, magnitude and effects of the COVID-19 pandemic, we expect these expenses to increase in absolute dollars, but to decrease as a percentage of net revenues as we continue to scale production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35" w:right="37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b w:val="1"/>
          <w:bCs w:val="1"/>
          <w:i w:val="1"/>
          <w:iCs w:val="1"/>
          <w:color w:val="auto"/>
        </w:rPr>
        <w:t>SG&amp;A Expenses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SG&amp;A expenses consist primarily of selling, marketing and administrative expenses, including personnel and related expenses, share-based compensation, outbound shipping and handling costs, non-manufacturing lease expense, depreciation and amortization expense on non-manufacturing assets and other non-production operating expenses. Marketing and selling expenses include share-based compensation awards to brand ambassadors, advertising costs, costs associated with consumer promotions, product samples and sales aids incurred to acquire new customers, retain existing customers and build our brand awareness. Administrative expenses include the expenses related to management, accounting, legal, IT, and other office functions.</w:t>
      </w:r>
    </w:p>
    <w:p>
      <w:pPr>
        <w:spacing w:after="0" w:line="15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expect SG&amp;A expenses in absolute dollars to increase as we increase our domestic and international expansion efforts, expand our marketing efforts, and incur costs related to our status as a public company. In response to the COVID-19 pandemic, we expect to undertake measures focused on reducing or delaying discretionary spending in areas where effectiveness has been impeded by the pandemic, and streamlining operations, including furloughs and headcount reductions, in light of inventory levels, demand shifts and company-wide capacity planning.</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93" w:lineRule="exact"/>
        <w:rPr>
          <w:sz w:val="20"/>
          <w:szCs w:val="20"/>
          <w:color w:val="auto"/>
        </w:rPr>
      </w:pPr>
    </w:p>
    <w:p>
      <w:pPr>
        <w:ind w:right="100" w:firstLine="324"/>
        <w:spacing w:after="0" w:line="256" w:lineRule="auto"/>
        <w:rPr>
          <w:rFonts w:ascii="Arial" w:cs="Arial" w:eastAsia="Arial" w:hAnsi="Arial"/>
          <w:sz w:val="18"/>
          <w:szCs w:val="18"/>
          <w:color w:val="0000FF"/>
        </w:rPr>
      </w:pPr>
      <w:hyperlink w:anchor="page46">
        <w:r>
          <w:rPr>
            <w:rFonts w:ascii="Arial" w:cs="Arial" w:eastAsia="Arial" w:hAnsi="Arial"/>
            <w:sz w:val="18"/>
            <w:szCs w:val="18"/>
            <w:color w:val="auto"/>
          </w:rPr>
          <w:t>In May 2017, management approved a plan to terminate an exclusive supply agreement with one of our co-manufacturers. See “</w:t>
        </w:r>
        <w:r>
          <w:rPr>
            <w:rFonts w:ascii="Arial" w:cs="Arial" w:eastAsia="Arial" w:hAnsi="Arial"/>
            <w:sz w:val="18"/>
            <w:szCs w:val="18"/>
            <w:u w:val="single" w:color="auto"/>
            <w:color w:val="0000FF"/>
          </w:rPr>
          <w:t>Results</w:t>
        </w:r>
      </w:hyperlink>
      <w:r>
        <w:rPr>
          <w:rFonts w:ascii="Arial" w:cs="Arial" w:eastAsia="Arial" w:hAnsi="Arial"/>
          <w:sz w:val="18"/>
          <w:szCs w:val="18"/>
          <w:color w:val="auto"/>
        </w:rPr>
        <w:t xml:space="preserve"> </w:t>
      </w:r>
      <w:hyperlink w:anchor="page46">
        <w:r>
          <w:rPr>
            <w:rFonts w:ascii="Arial" w:cs="Arial" w:eastAsia="Arial" w:hAnsi="Arial"/>
            <w:sz w:val="18"/>
            <w:szCs w:val="18"/>
            <w:u w:val="single" w:color="auto"/>
            <w:color w:val="0000FF"/>
          </w:rPr>
          <w:t>of Operations</w:t>
        </w:r>
        <w:r>
          <w:rPr>
            <w:rFonts w:ascii="Arial" w:cs="Arial" w:eastAsia="Arial" w:hAnsi="Arial"/>
            <w:sz w:val="18"/>
            <w:szCs w:val="18"/>
            <w:color w:val="000000"/>
          </w:rPr>
          <w:t>—</w:t>
        </w:r>
        <w:r>
          <w:rPr>
            <w:rFonts w:ascii="Arial" w:cs="Arial" w:eastAsia="Arial" w:hAnsi="Arial"/>
            <w:sz w:val="18"/>
            <w:szCs w:val="18"/>
            <w:i w:val="1"/>
            <w:iCs w:val="1"/>
            <w:color w:val="000000"/>
          </w:rPr>
          <w:t>Three and Nine Months Ended September 26, 2020 Compared to Three and Nine Months Ended September 28, 2019</w:t>
        </w:r>
        <w:r>
          <w:rPr>
            <w:rFonts w:ascii="Arial" w:cs="Arial" w:eastAsia="Arial" w:hAnsi="Arial"/>
            <w:sz w:val="18"/>
            <w:szCs w:val="18"/>
            <w:color w:val="000000"/>
          </w:rPr>
          <w:t>—</w:t>
        </w:r>
      </w:hyperlink>
      <w:r>
        <w:rPr>
          <w:rFonts w:ascii="Arial" w:cs="Arial" w:eastAsia="Arial" w:hAnsi="Arial"/>
          <w:sz w:val="18"/>
          <w:szCs w:val="18"/>
          <w:color w:val="0000FF"/>
        </w:rPr>
        <w:t xml:space="preserve"> </w:t>
      </w:r>
      <w:r>
        <w:rPr>
          <w:rFonts w:ascii="Arial" w:cs="Arial" w:eastAsia="Arial" w:hAnsi="Arial"/>
          <w:sz w:val="18"/>
          <w:szCs w:val="18"/>
          <w:color w:val="000000"/>
        </w:rPr>
        <w:t>Restructuring Expenses” for a discussion of these expenses.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Generally, we expect to experience greater demand for certain of our products during the summer grilling season. As our business continues to grow, we expect to see additional seasonality effects, especially within our retail channel, with revenue contribution from this channel tending to be greater in the second and third quarters of the year. In an environment of uncertainty from the impact of COVID-19, we are unable to assess the ultimate impact on the demand for our products as a result of seasonality.</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items in our condensed consolidated statements of operations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220" w:type="dxa"/>
            <w:vAlign w:val="bottom"/>
            <w:gridSpan w:val="5"/>
          </w:tcPr>
          <w:p>
            <w:pPr>
              <w:ind w:left="7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9"/>
        </w:trPr>
        <w:tc>
          <w:tcPr>
            <w:tcW w:w="120" w:type="dxa"/>
            <w:vAlign w:val="bottom"/>
          </w:tcPr>
          <w:p>
            <w:pPr>
              <w:spacing w:after="0"/>
              <w:rPr>
                <w:sz w:val="13"/>
                <w:szCs w:val="13"/>
                <w:color w:val="auto"/>
              </w:rPr>
            </w:pPr>
          </w:p>
        </w:tc>
        <w:tc>
          <w:tcPr>
            <w:tcW w:w="43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26,</w:t>
            </w: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152"/>
              <w:spacing w:after="0" w:line="158" w:lineRule="exact"/>
              <w:rPr>
                <w:sz w:val="20"/>
                <w:szCs w:val="20"/>
                <w:color w:val="auto"/>
              </w:rPr>
            </w:pPr>
            <w:r>
              <w:rPr>
                <w:rFonts w:ascii="Arial" w:cs="Arial" w:eastAsia="Arial" w:hAnsi="Arial"/>
                <w:sz w:val="16"/>
                <w:szCs w:val="16"/>
                <w:b w:val="1"/>
                <w:bCs w:val="1"/>
                <w:color w:val="auto"/>
              </w:rPr>
              <w:t>September 28,</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26,</w:t>
            </w: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172"/>
              <w:spacing w:after="0" w:line="158" w:lineRule="exact"/>
              <w:rPr>
                <w:sz w:val="20"/>
                <w:szCs w:val="20"/>
                <w:color w:val="auto"/>
              </w:rPr>
            </w:pPr>
            <w:r>
              <w:rPr>
                <w:rFonts w:ascii="Arial" w:cs="Arial" w:eastAsia="Arial" w:hAnsi="Arial"/>
                <w:sz w:val="16"/>
                <w:szCs w:val="16"/>
                <w:b w:val="1"/>
                <w:bCs w:val="1"/>
                <w:color w:val="auto"/>
              </w:rPr>
              <w:t>September 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3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532"/>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532"/>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ind w:right="552"/>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ind w:right="552"/>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304,848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3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207,978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96,870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34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20,488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14,661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3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Restructuring expenses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121,683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340" w:type="dxa"/>
            <w:vAlign w:val="bottom"/>
            <w:gridSpan w:val="3"/>
          </w:tcPr>
          <w:p>
            <w:pPr>
              <w:ind w:left="20"/>
              <w:spacing w:after="0"/>
              <w:rPr>
                <w:sz w:val="20"/>
                <w:szCs w:val="20"/>
                <w:color w:val="auto"/>
              </w:rPr>
            </w:pPr>
            <w:r>
              <w:rPr>
                <w:rFonts w:ascii="Arial" w:cs="Arial" w:eastAsia="Arial" w:hAnsi="Arial"/>
                <w:sz w:val="18"/>
                <w:szCs w:val="18"/>
                <w:color w:val="auto"/>
              </w:rPr>
              <w:t>(Loss) income from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(24,813)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spacing w:after="0" w:line="49"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 presents selected items in our condensed consolidated statements of operations as a percentage of net revenues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0" w:type="dxa"/>
            <w:vAlign w:val="bottom"/>
          </w:tcPr>
          <w:p>
            <w:pPr>
              <w:spacing w:after="0"/>
              <w:rPr>
                <w:sz w:val="18"/>
                <w:szCs w:val="18"/>
                <w:color w:val="auto"/>
              </w:rPr>
            </w:pPr>
          </w:p>
        </w:tc>
        <w:tc>
          <w:tcPr>
            <w:tcW w:w="3520" w:type="dxa"/>
            <w:vAlign w:val="bottom"/>
            <w:gridSpan w:val="4"/>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3720" w:type="dxa"/>
            <w:vAlign w:val="bottom"/>
            <w:gridSpan w:val="4"/>
          </w:tcPr>
          <w:p>
            <w:pPr>
              <w:ind w:left="1060"/>
              <w:spacing w:after="0"/>
              <w:rPr>
                <w:sz w:val="20"/>
                <w:szCs w:val="20"/>
                <w:color w:val="auto"/>
              </w:rPr>
            </w:pPr>
            <w:r>
              <w:rPr>
                <w:rFonts w:ascii="Arial" w:cs="Arial" w:eastAsia="Arial" w:hAnsi="Arial"/>
                <w:sz w:val="16"/>
                <w:szCs w:val="16"/>
                <w:b w:val="1"/>
                <w:bCs w:val="1"/>
                <w:color w:val="auto"/>
              </w:rPr>
              <w:t>Nine Months Ended</w:t>
            </w:r>
          </w:p>
        </w:tc>
      </w:tr>
      <w:tr>
        <w:trPr>
          <w:trHeight w:val="158"/>
        </w:trPr>
        <w:tc>
          <w:tcPr>
            <w:tcW w:w="4000" w:type="dxa"/>
            <w:vAlign w:val="bottom"/>
          </w:tcPr>
          <w:p>
            <w:pPr>
              <w:spacing w:after="0"/>
              <w:rPr>
                <w:sz w:val="13"/>
                <w:szCs w:val="13"/>
                <w:color w:val="auto"/>
              </w:rPr>
            </w:pPr>
          </w:p>
        </w:tc>
        <w:tc>
          <w:tcPr>
            <w:tcW w:w="1780" w:type="dxa"/>
            <w:vAlign w:val="bottom"/>
            <w:tcBorders>
              <w:top w:val="single" w:sz="8" w:color="auto"/>
            </w:tcBorders>
            <w:gridSpan w:val="2"/>
          </w:tcPr>
          <w:p>
            <w:pPr>
              <w:ind w:left="280"/>
              <w:spacing w:after="0" w:line="158" w:lineRule="exact"/>
              <w:rPr>
                <w:sz w:val="20"/>
                <w:szCs w:val="20"/>
                <w:color w:val="auto"/>
              </w:rPr>
            </w:pPr>
            <w:r>
              <w:rPr>
                <w:rFonts w:ascii="Arial" w:cs="Arial" w:eastAsia="Arial" w:hAnsi="Arial"/>
                <w:sz w:val="16"/>
                <w:szCs w:val="16"/>
                <w:b w:val="1"/>
                <w:bCs w:val="1"/>
                <w:color w:val="auto"/>
              </w:rPr>
              <w:t>September 26,</w:t>
            </w:r>
          </w:p>
        </w:tc>
        <w:tc>
          <w:tcPr>
            <w:tcW w:w="1660" w:type="dxa"/>
            <w:vAlign w:val="bottom"/>
            <w:tcBorders>
              <w:top w:val="single" w:sz="8" w:color="auto"/>
            </w:tcBorders>
          </w:tcPr>
          <w:p>
            <w:pPr>
              <w:jc w:val="right"/>
              <w:ind w:right="192"/>
              <w:spacing w:after="0" w:line="158" w:lineRule="exact"/>
              <w:rPr>
                <w:sz w:val="20"/>
                <w:szCs w:val="20"/>
                <w:color w:val="auto"/>
              </w:rPr>
            </w:pPr>
            <w:r>
              <w:rPr>
                <w:rFonts w:ascii="Arial" w:cs="Arial" w:eastAsia="Arial" w:hAnsi="Arial"/>
                <w:sz w:val="16"/>
                <w:szCs w:val="16"/>
                <w:b w:val="1"/>
                <w:bCs w:val="1"/>
                <w:color w:val="auto"/>
              </w:rPr>
              <w:t>September 28,</w:t>
            </w:r>
          </w:p>
        </w:tc>
        <w:tc>
          <w:tcPr>
            <w:tcW w:w="80" w:type="dxa"/>
            <w:vAlign w:val="bottom"/>
          </w:tcPr>
          <w:p>
            <w:pPr>
              <w:spacing w:after="0"/>
              <w:rPr>
                <w:sz w:val="13"/>
                <w:szCs w:val="13"/>
                <w:color w:val="auto"/>
              </w:rPr>
            </w:pPr>
          </w:p>
        </w:tc>
        <w:tc>
          <w:tcPr>
            <w:tcW w:w="1760" w:type="dxa"/>
            <w:vAlign w:val="bottom"/>
            <w:tcBorders>
              <w:top w:val="single" w:sz="8" w:color="auto"/>
            </w:tcBorders>
            <w:gridSpan w:val="2"/>
          </w:tcPr>
          <w:p>
            <w:pPr>
              <w:ind w:left="280"/>
              <w:spacing w:after="0" w:line="158" w:lineRule="exact"/>
              <w:rPr>
                <w:sz w:val="20"/>
                <w:szCs w:val="20"/>
                <w:color w:val="auto"/>
              </w:rPr>
            </w:pPr>
            <w:r>
              <w:rPr>
                <w:rFonts w:ascii="Arial" w:cs="Arial" w:eastAsia="Arial" w:hAnsi="Arial"/>
                <w:sz w:val="16"/>
                <w:szCs w:val="16"/>
                <w:b w:val="1"/>
                <w:bCs w:val="1"/>
                <w:color w:val="auto"/>
              </w:rPr>
              <w:t>September 26,</w:t>
            </w:r>
          </w:p>
        </w:tc>
        <w:tc>
          <w:tcPr>
            <w:tcW w:w="1860" w:type="dxa"/>
            <w:vAlign w:val="bottom"/>
            <w:tcBorders>
              <w:top w:val="single" w:sz="8" w:color="auto"/>
            </w:tcBorders>
          </w:tcPr>
          <w:p>
            <w:pPr>
              <w:jc w:val="right"/>
              <w:ind w:right="292"/>
              <w:spacing w:after="0" w:line="158" w:lineRule="exact"/>
              <w:rPr>
                <w:sz w:val="20"/>
                <w:szCs w:val="20"/>
                <w:color w:val="auto"/>
              </w:rPr>
            </w:pPr>
            <w:r>
              <w:rPr>
                <w:rFonts w:ascii="Arial" w:cs="Arial" w:eastAsia="Arial" w:hAnsi="Arial"/>
                <w:sz w:val="16"/>
                <w:szCs w:val="16"/>
                <w:b w:val="1"/>
                <w:bCs w:val="1"/>
                <w:color w:val="auto"/>
              </w:rPr>
              <w:t>September 28,</w:t>
            </w:r>
          </w:p>
        </w:tc>
        <w:tc>
          <w:tcPr>
            <w:tcW w:w="100" w:type="dxa"/>
            <w:vAlign w:val="bottom"/>
          </w:tcPr>
          <w:p>
            <w:pPr>
              <w:spacing w:after="0"/>
              <w:rPr>
                <w:sz w:val="13"/>
                <w:szCs w:val="13"/>
                <w:color w:val="auto"/>
              </w:rPr>
            </w:pPr>
          </w:p>
        </w:tc>
      </w:tr>
      <w:tr>
        <w:trPr>
          <w:trHeight w:val="215"/>
        </w:trPr>
        <w:tc>
          <w:tcPr>
            <w:tcW w:w="40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r>
      <w:tr>
        <w:trPr>
          <w:trHeight w:val="22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64.4</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19"/>
                <w:szCs w:val="19"/>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860" w:type="dxa"/>
            <w:vAlign w:val="bottom"/>
          </w:tcPr>
          <w:p>
            <w:pPr>
              <w:jc w:val="right"/>
              <w:ind w:right="15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expenses</w:t>
            </w:r>
          </w:p>
        </w:tc>
        <w:tc>
          <w:tcPr>
            <w:tcW w:w="1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8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26, 2020 Compared to Three and Nine Months Ended September 28,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Net revenues increased by $ 2.5 million, or 2.7%, and $105.4 million, or 52.9%, in the three and nine months ended September 26, 2020, respectively, as compared to the prior-year periods primarily due to an increase in volume sold, partially offset by lower net price per pound driven by our strategic investments in promotional activity intended to encourage greater consumer trial and adoption and, to a lesser extent, product mix shifts as larger-pack items carrying a lower net price per unit volume accounted for a greater proportion of our retail net revenues compared to the prior-year period. Growth in net revenues was primarily due to increased retail channel sales, resulting from distribution gains both domestically and abroad, higher sales velocities at existing retail customers, and contribution from new product introductions. The increase in retail channel sales was largely offset by a decline in foodservice channel sales as a result of the ongoing COVID-19 pandemic and the impact of widespread domestic and international stay-at-home orders, social distancing measures and various restrictions on commercial operations, resulting in the closure or limited operations of many of our foodservice customers.</w:t>
      </w:r>
    </w:p>
    <w:p>
      <w:pPr>
        <w:spacing w:after="0" w:line="158"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following table presents our net revenues by channel in the three months ended September 26, 2020 as compared to the prior-year period:</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720" w:type="dxa"/>
            <w:vAlign w:val="bottom"/>
            <w:gridSpan w:val="3"/>
          </w:tcPr>
          <w:p>
            <w:pPr>
              <w:ind w:left="94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26,</w:t>
            </w: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172"/>
              <w:spacing w:after="0" w:line="158" w:lineRule="exact"/>
              <w:rPr>
                <w:sz w:val="20"/>
                <w:szCs w:val="20"/>
                <w:color w:val="auto"/>
              </w:rPr>
            </w:pPr>
            <w:r>
              <w:rPr>
                <w:rFonts w:ascii="Arial" w:cs="Arial" w:eastAsia="Arial" w:hAnsi="Arial"/>
                <w:sz w:val="16"/>
                <w:szCs w:val="16"/>
                <w:b w:val="1"/>
                <w:bCs w:val="1"/>
                <w:color w:val="auto"/>
              </w:rPr>
              <w:t>September 28,</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top w:val="single" w:sz="8" w:color="auto"/>
            </w:tcBorders>
            <w:vMerge w:val="restart"/>
          </w:tcPr>
          <w:p>
            <w:pPr>
              <w:jc w:val="right"/>
              <w:ind w:right="5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533"/>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ind w:right="532"/>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tcPr>
          <w:p>
            <w:pPr>
              <w:ind w:left="420"/>
              <w:spacing w:after="0"/>
              <w:rPr>
                <w:sz w:val="20"/>
                <w:szCs w:val="20"/>
                <w:color w:val="auto"/>
              </w:rPr>
            </w:pPr>
            <w:r>
              <w:rPr>
                <w:rFonts w:ascii="Arial" w:cs="Arial" w:eastAsia="Arial" w:hAnsi="Arial"/>
                <w:sz w:val="18"/>
                <w:szCs w:val="18"/>
                <w:color w:val="auto"/>
              </w:rPr>
              <w:t>Retail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62,057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44,170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Foodservice</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U.S. net revenues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78,382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tcPr>
          <w:p>
            <w:pPr>
              <w:ind w:left="42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Foodservice</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International net revenues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Net revenues from U.S. retail sales in the three months ended September 26, 2020 increased $17.9 million, or 40.5%, primarily due to increases in sales of Beyond Burger, Beyond Sausage and Beyond Beef.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ind w:right="20"/>
        <w:spacing w:after="0" w:line="261" w:lineRule="auto"/>
        <w:rPr>
          <w:sz w:val="20"/>
          <w:szCs w:val="20"/>
          <w:color w:val="auto"/>
        </w:rPr>
      </w:pPr>
      <w:r>
        <w:rPr>
          <w:rFonts w:ascii="Arial" w:cs="Arial" w:eastAsia="Arial" w:hAnsi="Arial"/>
          <w:sz w:val="18"/>
          <w:szCs w:val="18"/>
          <w:color w:val="auto"/>
        </w:rPr>
        <w:t>Approximately 16% of the increase in U.S. retail sales was due to the introduction of Beyond Breakfast Sausage during the second quarter of 2020.</w:t>
      </w:r>
    </w:p>
    <w:p>
      <w:pPr>
        <w:spacing w:after="0" w:line="144" w:lineRule="exact"/>
        <w:rPr>
          <w:sz w:val="20"/>
          <w:szCs w:val="20"/>
          <w:color w:val="auto"/>
        </w:rPr>
      </w:pPr>
    </w:p>
    <w:p>
      <w:pPr>
        <w:jc w:val="both"/>
        <w:ind w:right="180" w:firstLine="324"/>
        <w:spacing w:after="0" w:line="254" w:lineRule="auto"/>
        <w:rPr>
          <w:sz w:val="20"/>
          <w:szCs w:val="20"/>
          <w:color w:val="auto"/>
        </w:rPr>
      </w:pPr>
      <w:r>
        <w:rPr>
          <w:rFonts w:ascii="Arial" w:cs="Arial" w:eastAsia="Arial" w:hAnsi="Arial"/>
          <w:sz w:val="18"/>
          <w:szCs w:val="18"/>
          <w:color w:val="auto"/>
        </w:rPr>
        <w:t>Net revenues from U.S. foodservice sales in the three months ended September 26, 2020 decreased $2.0 million, or 11.1%, primarily due to decreases in sales of Beyond Burger, Beyond Beef Crumble, Beyond Meatball and Beyond Sausage, primarily due to the impact of COVID-19, partially offset by an increase in sales of Beyond Breakfast Sausage. Our products were available at approximately 28,000 U.S. retail outlets and 42,000 U.S. foodservice outlets as of September 26, 2020.</w:t>
      </w:r>
    </w:p>
    <w:p>
      <w:pPr>
        <w:spacing w:after="0" w:line="150"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Net revenues from international retail sales in the three months ended September 26, 2020 increased $1.7 million, or 26.7%, primarily due to increase in sales of Beyond Beef.</w:t>
      </w:r>
    </w:p>
    <w:p>
      <w:pPr>
        <w:spacing w:after="0" w:line="14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Net revenues from international foodservice sales in the three months ended September 26, 2020 decreased $15.1 million, or 65.1%, primarily due to the impact of COVID-19. Our products were available at approximately 52,000 international retail and foodservice outlets as of September 26, 2020.</w:t>
      </w:r>
    </w:p>
    <w:p>
      <w:pPr>
        <w:spacing w:after="0" w:line="148"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The following table presents our net revenues by channel in the nine months ended September 26, 2020 as compared to the prior-year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5"/>
          </w:tcPr>
          <w:p>
            <w:pPr>
              <w:ind w:left="70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720" w:type="dxa"/>
            <w:vAlign w:val="bottom"/>
            <w:gridSpan w:val="3"/>
          </w:tcPr>
          <w:p>
            <w:pPr>
              <w:ind w:left="94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100"/>
              <w:spacing w:after="0" w:line="158" w:lineRule="exact"/>
              <w:rPr>
                <w:sz w:val="20"/>
                <w:szCs w:val="20"/>
                <w:color w:val="auto"/>
              </w:rPr>
            </w:pPr>
            <w:r>
              <w:rPr>
                <w:rFonts w:ascii="Arial" w:cs="Arial" w:eastAsia="Arial" w:hAnsi="Arial"/>
                <w:sz w:val="16"/>
                <w:szCs w:val="16"/>
                <w:b w:val="1"/>
                <w:bCs w:val="1"/>
                <w:color w:val="auto"/>
              </w:rPr>
              <w:t>September 26,</w:t>
            </w: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32"/>
              <w:spacing w:after="0" w:line="158" w:lineRule="exact"/>
              <w:rPr>
                <w:sz w:val="20"/>
                <w:szCs w:val="20"/>
                <w:color w:val="auto"/>
              </w:rPr>
            </w:pPr>
            <w:r>
              <w:rPr>
                <w:rFonts w:ascii="Arial" w:cs="Arial" w:eastAsia="Arial" w:hAnsi="Arial"/>
                <w:sz w:val="16"/>
                <w:szCs w:val="16"/>
                <w:b w:val="1"/>
                <w:bCs w:val="1"/>
                <w:color w:val="auto"/>
              </w:rPr>
              <w:t>September 28,</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top w:val="single" w:sz="8" w:color="auto"/>
            </w:tcBorders>
            <w:vMerge w:val="restart"/>
          </w:tcPr>
          <w:p>
            <w:pPr>
              <w:jc w:val="right"/>
              <w:ind w:right="5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ind w:right="573"/>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492"/>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202,019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94,162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107,857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114.5 %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Foodservice</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U.S. net revenues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79.5 %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ind w:left="440"/>
              <w:spacing w:after="0"/>
              <w:rPr>
                <w:sz w:val="20"/>
                <w:szCs w:val="20"/>
                <w:color w:val="auto"/>
              </w:rPr>
            </w:pPr>
            <w:r>
              <w:rPr>
                <w:rFonts w:ascii="Arial" w:cs="Arial" w:eastAsia="Arial" w:hAnsi="Arial"/>
                <w:sz w:val="18"/>
                <w:szCs w:val="18"/>
                <w:color w:val="auto"/>
              </w:rPr>
              <w:t>Retail</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134.9 %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Foodservice</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International net revenues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105,430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Net revenues from U.S. retail sales in the nine months ended September 26, 2020 increased $107.9 million, or 114.5%, primarily due to increases in sales of Beyond Beef, Beyond Burger, Beyond Sausage, and Beyond Beef Crumble. Approximately 5% of the increase in U.S. retail sales in the nine months ended September 26, 2020 was due to the introduction of Beyond Breakfast Sausage during the second quarter of 2020.</w:t>
      </w:r>
    </w:p>
    <w:p>
      <w:pPr>
        <w:spacing w:after="0" w:line="150"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Net revenues from U.S. foodservice sales in the nine months ended September 26, 2020 increased $1.7 million, or 4.0%, primarily due to increases in sales of Beyond Breakfast Sausage and Beyond Beef, partially offset by decreases in sales of Beyond Burger, Beyond Beef Crumble and Beyond Meatball, primarily due to the impact of COVID-19.</w:t>
      </w:r>
    </w:p>
    <w:p>
      <w:pPr>
        <w:spacing w:after="0" w:line="14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Net revenues from international retail sales in the nine months ended September 26, 2020 increased $13.5 million, or 134.9%, primarily due to increases in sales of Beyond Beef and Beyond Sausage, partially offset by decreases in Beyond Breakfast Sausage, Beyond Burger, and Beyond Beef Crumble. Net revenues from international foodservice sales in the nine months ended September 26, 2020 decreased $17.7 million, or 34.3%, primarily due to the impact of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color w:val="auto"/>
        </w:rPr>
        <w:t>The following table presents consolidated volume of our products sold in pounds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w w:val="98"/>
              </w:rPr>
              <w:t>Change</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8"/>
                <w:szCs w:val="18"/>
                <w:color w:val="auto"/>
              </w:rPr>
            </w:pPr>
          </w:p>
        </w:tc>
        <w:tc>
          <w:tcPr>
            <w:tcW w:w="1340" w:type="dxa"/>
            <w:vAlign w:val="bottom"/>
            <w:tcBorders>
              <w:bottom w:val="single" w:sz="8" w:color="auto"/>
            </w:tcBorders>
            <w:gridSpan w:val="5"/>
          </w:tcPr>
          <w:p>
            <w:pPr>
              <w:ind w:left="740"/>
              <w:spacing w:after="0"/>
              <w:rPr>
                <w:sz w:val="20"/>
                <w:szCs w:val="20"/>
                <w:color w:val="auto"/>
              </w:rPr>
            </w:pPr>
            <w:r>
              <w:rPr>
                <w:rFonts w:ascii="Arial" w:cs="Arial" w:eastAsia="Arial" w:hAnsi="Arial"/>
                <w:sz w:val="16"/>
                <w:szCs w:val="16"/>
                <w:b w:val="1"/>
                <w:bCs w:val="1"/>
                <w:color w:val="auto"/>
                <w:w w:val="98"/>
              </w:rPr>
              <w:t>Change</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4"/>
          </w:tcPr>
          <w:p>
            <w:pPr>
              <w:jc w:val="center"/>
              <w:spacing w:after="0" w:line="158" w:lineRule="exact"/>
              <w:rPr>
                <w:sz w:val="20"/>
                <w:szCs w:val="20"/>
                <w:color w:val="auto"/>
              </w:rPr>
            </w:pPr>
            <w:r>
              <w:rPr>
                <w:rFonts w:ascii="Arial" w:cs="Arial" w:eastAsia="Arial" w:hAnsi="Arial"/>
                <w:sz w:val="16"/>
                <w:szCs w:val="16"/>
                <w:b w:val="1"/>
                <w:bCs w:val="1"/>
                <w:color w:val="auto"/>
              </w:rPr>
              <w:t>September 26,</w:t>
            </w:r>
          </w:p>
        </w:tc>
        <w:tc>
          <w:tcPr>
            <w:tcW w:w="100" w:type="dxa"/>
            <w:vAlign w:val="bottom"/>
          </w:tcPr>
          <w:p>
            <w:pPr>
              <w:spacing w:after="0"/>
              <w:rPr>
                <w:sz w:val="13"/>
                <w:szCs w:val="13"/>
                <w:color w:val="auto"/>
              </w:rPr>
            </w:pPr>
          </w:p>
        </w:tc>
        <w:tc>
          <w:tcPr>
            <w:tcW w:w="1180" w:type="dxa"/>
            <w:vAlign w:val="bottom"/>
            <w:gridSpan w:val="2"/>
          </w:tcPr>
          <w:p>
            <w:pPr>
              <w:jc w:val="right"/>
              <w:ind w:right="40"/>
              <w:spacing w:after="0" w:line="158" w:lineRule="exact"/>
              <w:rPr>
                <w:sz w:val="20"/>
                <w:szCs w:val="20"/>
                <w:color w:val="auto"/>
              </w:rPr>
            </w:pPr>
            <w:r>
              <w:rPr>
                <w:rFonts w:ascii="Arial" w:cs="Arial" w:eastAsia="Arial" w:hAnsi="Arial"/>
                <w:sz w:val="16"/>
                <w:szCs w:val="16"/>
                <w:b w:val="1"/>
                <w:bCs w:val="1"/>
                <w:color w:val="auto"/>
              </w:rPr>
              <w:t>September 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vMerge w:val="restart"/>
          </w:tcPr>
          <w:p>
            <w:pPr>
              <w:jc w:val="right"/>
              <w:ind w:right="540"/>
              <w:spacing w:after="0"/>
              <w:rPr>
                <w:sz w:val="20"/>
                <w:szCs w:val="20"/>
                <w:color w:val="auto"/>
              </w:rPr>
            </w:pPr>
            <w:r>
              <w:rPr>
                <w:rFonts w:ascii="Arial" w:cs="Arial" w:eastAsia="Arial" w:hAnsi="Arial"/>
                <w:sz w:val="16"/>
                <w:szCs w:val="16"/>
                <w:b w:val="1"/>
                <w:bCs w:val="1"/>
                <w:color w:val="auto"/>
              </w:rPr>
              <w:t>Amount</w:t>
            </w:r>
          </w:p>
        </w:tc>
        <w:tc>
          <w:tcPr>
            <w:tcW w:w="58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jc w:val="right"/>
              <w:ind w:right="40"/>
              <w:spacing w:after="0" w:line="158" w:lineRule="exact"/>
              <w:rPr>
                <w:sz w:val="20"/>
                <w:szCs w:val="20"/>
                <w:color w:val="auto"/>
              </w:rPr>
            </w:pPr>
            <w:r>
              <w:rPr>
                <w:rFonts w:ascii="Arial" w:cs="Arial" w:eastAsia="Arial" w:hAnsi="Arial"/>
                <w:sz w:val="16"/>
                <w:szCs w:val="16"/>
                <w:b w:val="1"/>
                <w:bCs w:val="1"/>
                <w:color w:val="auto"/>
              </w:rPr>
              <w:t>September 26,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tcPr>
          <w:p>
            <w:pPr>
              <w:jc w:val="right"/>
              <w:ind w:right="60"/>
              <w:spacing w:after="0" w:line="158" w:lineRule="exact"/>
              <w:rPr>
                <w:sz w:val="20"/>
                <w:szCs w:val="20"/>
                <w:color w:val="auto"/>
              </w:rPr>
            </w:pPr>
            <w:r>
              <w:rPr>
                <w:rFonts w:ascii="Arial" w:cs="Arial" w:eastAsia="Arial" w:hAnsi="Arial"/>
                <w:sz w:val="16"/>
                <w:szCs w:val="16"/>
                <w:b w:val="1"/>
                <w:bCs w:val="1"/>
                <w:color w:val="auto"/>
              </w:rPr>
              <w:t>September 28,</w:t>
            </w:r>
          </w:p>
        </w:tc>
        <w:tc>
          <w:tcPr>
            <w:tcW w:w="80" w:type="dxa"/>
            <w:vAlign w:val="bottom"/>
          </w:tcPr>
          <w:p>
            <w:pPr>
              <w:spacing w:after="0"/>
              <w:rPr>
                <w:sz w:val="13"/>
                <w:szCs w:val="13"/>
                <w:color w:val="auto"/>
              </w:rPr>
            </w:pPr>
          </w:p>
        </w:tc>
        <w:tc>
          <w:tcPr>
            <w:tcW w:w="1340" w:type="dxa"/>
            <w:vAlign w:val="bottom"/>
            <w:gridSpan w:val="5"/>
            <w:vMerge w:val="restart"/>
          </w:tcPr>
          <w:p>
            <w:pPr>
              <w:jc w:val="right"/>
              <w:ind w:right="560"/>
              <w:spacing w:after="0"/>
              <w:rPr>
                <w:sz w:val="20"/>
                <w:szCs w:val="20"/>
                <w:color w:val="auto"/>
              </w:rPr>
            </w:pPr>
            <w:r>
              <w:rPr>
                <w:rFonts w:ascii="Arial" w:cs="Arial" w:eastAsia="Arial" w:hAnsi="Arial"/>
                <w:sz w:val="16"/>
                <w:szCs w:val="16"/>
                <w:b w:val="1"/>
                <w:bCs w:val="1"/>
                <w:color w:val="auto"/>
              </w:rPr>
              <w:t>Amount</w:t>
            </w:r>
          </w:p>
        </w:tc>
        <w:tc>
          <w:tcPr>
            <w:tcW w:w="60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0" w:type="dxa"/>
            <w:vAlign w:val="bottom"/>
            <w:gridSpan w:val="7"/>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980" w:type="dxa"/>
            <w:vAlign w:val="bottom"/>
          </w:tcPr>
          <w:p>
            <w:pPr>
              <w:jc w:val="right"/>
              <w:ind w:right="195"/>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253"/>
              <w:spacing w:after="0" w:line="175"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5"/>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ind w:left="380"/>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jc w:val="right"/>
              <w:ind w:right="253"/>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5"/>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1940" w:type="dxa"/>
            <w:vAlign w:val="bottom"/>
            <w:gridSpan w:val="6"/>
            <w:shd w:val="clear" w:color="auto" w:fill="CCEEFF"/>
          </w:tcPr>
          <w:p>
            <w:pPr>
              <w:ind w:left="40"/>
              <w:spacing w:after="0" w:line="168" w:lineRule="exact"/>
              <w:rPr>
                <w:sz w:val="20"/>
                <w:szCs w:val="20"/>
                <w:color w:val="auto"/>
              </w:rPr>
            </w:pPr>
            <w:r>
              <w:rPr>
                <w:rFonts w:ascii="Arial" w:cs="Arial" w:eastAsia="Arial" w:hAnsi="Arial"/>
                <w:sz w:val="18"/>
                <w:szCs w:val="18"/>
                <w:color w:val="auto"/>
              </w:rPr>
              <w:t>Volume of products</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000" w:type="dxa"/>
            <w:vAlign w:val="bottom"/>
            <w:gridSpan w:val="7"/>
            <w:shd w:val="clear" w:color="auto" w:fill="CCEEFF"/>
          </w:tcPr>
          <w:p>
            <w:pPr>
              <w:ind w:left="80"/>
              <w:spacing w:after="0"/>
              <w:rPr>
                <w:sz w:val="20"/>
                <w:szCs w:val="20"/>
                <w:color w:val="auto"/>
              </w:rPr>
            </w:pPr>
            <w:r>
              <w:rPr>
                <w:rFonts w:ascii="Arial" w:cs="Arial" w:eastAsia="Arial" w:hAnsi="Arial"/>
                <w:sz w:val="18"/>
                <w:szCs w:val="18"/>
                <w:color w:val="auto"/>
              </w:rPr>
              <w:t>sold:</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gridSpan w:val="5"/>
          </w:tcPr>
          <w:p>
            <w:pPr>
              <w:ind w:left="40"/>
              <w:spacing w:after="0"/>
              <w:rPr>
                <w:sz w:val="20"/>
                <w:szCs w:val="20"/>
                <w:color w:val="auto"/>
              </w:rPr>
            </w:pPr>
            <w:r>
              <w:rPr>
                <w:rFonts w:ascii="Arial" w:cs="Arial" w:eastAsia="Arial" w:hAnsi="Arial"/>
                <w:sz w:val="18"/>
                <w:szCs w:val="18"/>
                <w:color w:val="auto"/>
              </w:rPr>
              <w:t>U.S.: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8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Retail</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34,746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15,368</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19,378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gridSpan w:val="5"/>
          </w:tcPr>
          <w:p>
            <w:pPr>
              <w:ind w:left="200"/>
              <w:spacing w:after="0"/>
              <w:rPr>
                <w:sz w:val="20"/>
                <w:szCs w:val="20"/>
                <w:color w:val="auto"/>
              </w:rPr>
            </w:pPr>
            <w:r>
              <w:rPr>
                <w:rFonts w:ascii="Arial" w:cs="Arial" w:eastAsia="Arial" w:hAnsi="Arial"/>
                <w:sz w:val="18"/>
                <w:szCs w:val="18"/>
                <w:color w:val="auto"/>
              </w:rPr>
              <w:t>Foodservice</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3,085</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8,068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7,267</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801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gridSpan w:val="5"/>
          </w:tcPr>
          <w:p>
            <w:pPr>
              <w:ind w:left="200"/>
              <w:spacing w:after="0"/>
              <w:rPr>
                <w:sz w:val="20"/>
                <w:szCs w:val="20"/>
                <w:color w:val="auto"/>
              </w:rPr>
            </w:pPr>
            <w:r>
              <w:rPr>
                <w:rFonts w:ascii="Arial" w:cs="Arial" w:eastAsia="Arial" w:hAnsi="Arial"/>
                <w:sz w:val="18"/>
                <w:szCs w:val="18"/>
                <w:color w:val="auto"/>
              </w:rPr>
              <w:t>Retail</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1,115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4,391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1,639</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2,752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167.9 %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Foodservice</w:t>
            </w:r>
          </w:p>
        </w:tc>
        <w:tc>
          <w:tcPr>
            <w:tcW w:w="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4,195</w:t>
            </w:r>
          </w:p>
        </w:tc>
        <w:tc>
          <w:tcPr>
            <w:tcW w:w="120" w:type="dxa"/>
            <w:vAlign w:val="bottom"/>
            <w:gridSpan w:val="2"/>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7,079</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10,077</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40" w:type="dxa"/>
            <w:vAlign w:val="bottom"/>
            <w:gridSpan w:val="6"/>
          </w:tcPr>
          <w:p>
            <w:pPr>
              <w:ind w:left="80"/>
              <w:spacing w:after="0" w:line="168" w:lineRule="exact"/>
              <w:rPr>
                <w:sz w:val="20"/>
                <w:szCs w:val="20"/>
                <w:color w:val="auto"/>
              </w:rPr>
            </w:pPr>
            <w:r>
              <w:rPr>
                <w:rFonts w:ascii="Arial" w:cs="Arial" w:eastAsia="Arial" w:hAnsi="Arial"/>
                <w:sz w:val="18"/>
                <w:szCs w:val="18"/>
                <w:color w:val="auto"/>
              </w:rPr>
              <w:t>Volume of products</w:t>
            </w:r>
          </w:p>
        </w:tc>
        <w:tc>
          <w:tcPr>
            <w:tcW w:w="60" w:type="dxa"/>
            <w:vAlign w:val="bottom"/>
          </w:tcPr>
          <w:p>
            <w:pPr>
              <w:spacing w:after="0"/>
              <w:rPr>
                <w:sz w:val="14"/>
                <w:szCs w:val="14"/>
                <w:color w:val="auto"/>
              </w:rPr>
            </w:pP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17,715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16,017</w:t>
            </w:r>
          </w:p>
        </w:tc>
        <w:tc>
          <w:tcPr>
            <w:tcW w:w="940" w:type="dxa"/>
            <w:vAlign w:val="bottom"/>
            <w:gridSpan w:val="3"/>
            <w:vMerge w:val="restart"/>
          </w:tcPr>
          <w:p>
            <w:pPr>
              <w:jc w:val="right"/>
              <w:spacing w:after="0"/>
              <w:rPr>
                <w:sz w:val="20"/>
                <w:szCs w:val="20"/>
                <w:color w:val="auto"/>
              </w:rPr>
            </w:pPr>
            <w:r>
              <w:rPr>
                <w:rFonts w:ascii="Arial" w:cs="Arial" w:eastAsia="Arial" w:hAnsi="Arial"/>
                <w:sz w:val="18"/>
                <w:szCs w:val="18"/>
                <w:color w:val="auto"/>
              </w:rPr>
              <w:t>1,698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54,284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34,351</w:t>
            </w:r>
          </w:p>
        </w:tc>
        <w:tc>
          <w:tcPr>
            <w:tcW w:w="102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19,933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00" w:type="dxa"/>
            <w:vAlign w:val="bottom"/>
            <w:gridSpan w:val="7"/>
          </w:tcPr>
          <w:p>
            <w:pPr>
              <w:ind w:left="80"/>
              <w:spacing w:after="0" w:line="190" w:lineRule="exact"/>
              <w:rPr>
                <w:sz w:val="20"/>
                <w:szCs w:val="20"/>
                <w:color w:val="auto"/>
              </w:rPr>
            </w:pPr>
            <w:r>
              <w:rPr>
                <w:rFonts w:ascii="Arial" w:cs="Arial" w:eastAsia="Arial" w:hAnsi="Arial"/>
                <w:sz w:val="18"/>
                <w:szCs w:val="18"/>
                <w:color w:val="auto"/>
              </w:rPr>
              <w:t>sold</w:t>
            </w:r>
          </w:p>
        </w:tc>
        <w:tc>
          <w:tcPr>
            <w:tcW w:w="11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10.6 %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58.0 %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5"/>
          </w:tcPr>
          <w:p>
            <w:pPr>
              <w:ind w:left="200"/>
              <w:spacing w:after="0"/>
              <w:rPr>
                <w:sz w:val="20"/>
                <w:szCs w:val="20"/>
                <w:color w:val="auto"/>
              </w:rPr>
            </w:pPr>
            <w:r>
              <w:rPr>
                <w:rFonts w:ascii="Arial" w:cs="Arial" w:eastAsia="Arial" w:hAnsi="Arial"/>
                <w:sz w:val="18"/>
                <w:szCs w:val="18"/>
                <w:b w:val="1"/>
                <w:bCs w:val="1"/>
                <w:i w:val="1"/>
                <w:iCs w:val="1"/>
                <w:color w:val="auto"/>
                <w:w w:val="98"/>
              </w:rPr>
              <w:t>Cost of Goods Sold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rPr>
              <w:t>Change</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Change</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spacing w:after="0" w:line="158" w:lineRule="exact"/>
              <w:rPr>
                <w:sz w:val="20"/>
                <w:szCs w:val="20"/>
                <w:color w:val="auto"/>
              </w:rPr>
            </w:pPr>
            <w:r>
              <w:rPr>
                <w:rFonts w:ascii="Arial" w:cs="Arial" w:eastAsia="Arial" w:hAnsi="Arial"/>
                <w:sz w:val="16"/>
                <w:szCs w:val="16"/>
                <w:b w:val="1"/>
                <w:bCs w:val="1"/>
                <w:color w:val="auto"/>
              </w:rPr>
              <w:t>September</w:t>
            </w:r>
          </w:p>
        </w:tc>
        <w:tc>
          <w:tcPr>
            <w:tcW w:w="1280" w:type="dxa"/>
            <w:vAlign w:val="bottom"/>
            <w:gridSpan w:val="3"/>
            <w:vMerge w:val="restart"/>
          </w:tcPr>
          <w:p>
            <w:pPr>
              <w:jc w:val="right"/>
              <w:ind w:right="140"/>
              <w:spacing w:after="0"/>
              <w:rPr>
                <w:sz w:val="20"/>
                <w:szCs w:val="20"/>
                <w:color w:val="auto"/>
              </w:rPr>
            </w:pPr>
            <w:r>
              <w:rPr>
                <w:rFonts w:ascii="Arial" w:cs="Arial" w:eastAsia="Arial" w:hAnsi="Arial"/>
                <w:sz w:val="16"/>
                <w:szCs w:val="16"/>
                <w:b w:val="1"/>
                <w:bCs w:val="1"/>
                <w:color w:val="auto"/>
              </w:rPr>
              <w:t>September 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September 26,</w:t>
            </w:r>
          </w:p>
        </w:tc>
        <w:tc>
          <w:tcPr>
            <w:tcW w:w="1320" w:type="dxa"/>
            <w:vAlign w:val="bottom"/>
            <w:gridSpan w:val="4"/>
            <w:vMerge w:val="restart"/>
          </w:tcPr>
          <w:p>
            <w:pPr>
              <w:jc w:val="right"/>
              <w:ind w:right="160"/>
              <w:spacing w:after="0"/>
              <w:rPr>
                <w:sz w:val="20"/>
                <w:szCs w:val="20"/>
                <w:color w:val="auto"/>
              </w:rPr>
            </w:pPr>
            <w:r>
              <w:rPr>
                <w:rFonts w:ascii="Arial" w:cs="Arial" w:eastAsia="Arial" w:hAnsi="Arial"/>
                <w:sz w:val="16"/>
                <w:szCs w:val="16"/>
                <w:b w:val="1"/>
                <w:bCs w:val="1"/>
                <w:color w:val="auto"/>
              </w:rPr>
              <w:t>September 28,</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980" w:type="dxa"/>
            <w:vAlign w:val="bottom"/>
          </w:tcPr>
          <w:p>
            <w:pPr>
              <w:jc w:val="right"/>
              <w:ind w:right="355"/>
              <w:spacing w:after="0" w:line="162" w:lineRule="exact"/>
              <w:rPr>
                <w:sz w:val="20"/>
                <w:szCs w:val="20"/>
                <w:color w:val="auto"/>
              </w:rPr>
            </w:pPr>
            <w:r>
              <w:rPr>
                <w:rFonts w:ascii="Arial" w:cs="Arial" w:eastAsia="Arial" w:hAnsi="Arial"/>
                <w:sz w:val="16"/>
                <w:szCs w:val="16"/>
                <w:b w:val="1"/>
                <w:bCs w:val="1"/>
                <w:color w:val="auto"/>
              </w:rPr>
              <w:t>26,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58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6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vMerge w:val="continue"/>
          </w:tcPr>
          <w:p>
            <w:pPr>
              <w:spacing w:after="0"/>
              <w:rPr>
                <w:sz w:val="15"/>
                <w:szCs w:val="15"/>
                <w:color w:val="auto"/>
              </w:rPr>
            </w:pPr>
          </w:p>
        </w:tc>
        <w:tc>
          <w:tcPr>
            <w:tcW w:w="980" w:type="dxa"/>
            <w:vAlign w:val="bottom"/>
          </w:tcPr>
          <w:p>
            <w:pPr>
              <w:jc w:val="right"/>
              <w:ind w:right="295"/>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353"/>
              <w:spacing w:after="0" w:line="175"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5"/>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jc w:val="right"/>
              <w:ind w:right="334"/>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jc w:val="right"/>
              <w:ind w:right="353"/>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5"/>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Cost of goods sold   $</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68,908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59,178</w:t>
            </w:r>
          </w:p>
        </w:tc>
        <w:tc>
          <w:tcPr>
            <w:tcW w:w="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9,730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16.4 %</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207,978</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133,123</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74,855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56.2 %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Cost of goods sold increased by $9.7 million, or 16.4%, to $68.9 million, in the three months ended September 26, 2020 as compared to the prior-year period. Cost of goods sold in the three months ended September 26, 2020 increased to 73.0% of net revenues from 64.4% of net revenues in the prior-year period. The increase in cost of goods sold during the three months ended September 26, 2020, was primarily due to increase in volume of products sold, lower absorption of fixed overhead costs as we scaled back production to reduce inventory levels and higher in-bound and internal shipping and handling costs. In addition, $1.8 million in costs attributable to COVID-19 from inventory write-offs and reserves associated with foodservice products determined to be unsalable and product repacking activities to repurpose certain foodservice inventory into retail products also contributed to the increase in cost of goods sold during the three months ended September 26, 2020.</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Cost of goods sold increased by $ 74.9 million, or 56.2%, to $208.0 million, in the nine months ended September 26, 2020 as compared to the prior-year period. Cost of goods sold in the nine months ended September 26, 2020 increased to 68.2% of net revenues from 66.8% of net revenues in the prior-year period. The increase in cost of goods sold in the nine months ended September 26, 2020 was primarily due to the increase in volume of product sold, lower absorption of fixed overhead costs as we scaled back production to reduce inventory levels, increases in in-bound and internal shipping and handling costs and tolling fees. In addition, $7.7 million in costs attributable to COVID-19 from inventory write-offs and reserves associated with foodservice products determined to be unsalable and product repacking activities to repurpose certain foodservice inventory into retail products also contributed to the increase in cost of goods sold in the nine months ended September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392" w:lineRule="exact"/>
        <w:rPr>
          <w:sz w:val="20"/>
          <w:szCs w:val="20"/>
          <w:color w:val="auto"/>
        </w:rPr>
      </w:pPr>
    </w:p>
    <w:tbl>
      <w:tblPr>
        <w:tblLayout w:type="fixed"/>
        <w:tblInd w:w="38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20" w:type="dxa"/>
            <w:vAlign w:val="bottom"/>
            <w:gridSpan w:val="4"/>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100" w:type="dxa"/>
            <w:vAlign w:val="bottom"/>
            <w:gridSpan w:val="4"/>
          </w:tcPr>
          <w:p>
            <w:pPr>
              <w:ind w:left="700"/>
              <w:spacing w:after="0"/>
              <w:rPr>
                <w:sz w:val="20"/>
                <w:szCs w:val="20"/>
                <w:color w:val="auto"/>
              </w:rPr>
            </w:pPr>
            <w:r>
              <w:rPr>
                <w:rFonts w:ascii="Arial" w:cs="Arial" w:eastAsia="Arial" w:hAnsi="Arial"/>
                <w:sz w:val="16"/>
                <w:szCs w:val="16"/>
                <w:b w:val="1"/>
                <w:bCs w:val="1"/>
                <w:color w:val="auto"/>
              </w:rPr>
              <w:t>Change</w:t>
            </w:r>
          </w:p>
        </w:tc>
        <w:tc>
          <w:tcPr>
            <w:tcW w:w="2600" w:type="dxa"/>
            <w:vAlign w:val="bottom"/>
            <w:gridSpan w:val="4"/>
          </w:tcPr>
          <w:p>
            <w:pPr>
              <w:ind w:left="480"/>
              <w:spacing w:after="0"/>
              <w:rPr>
                <w:sz w:val="20"/>
                <w:szCs w:val="20"/>
                <w:color w:val="auto"/>
              </w:rPr>
            </w:pPr>
            <w:r>
              <w:rPr>
                <w:rFonts w:ascii="Arial" w:cs="Arial" w:eastAsia="Arial" w:hAnsi="Arial"/>
                <w:sz w:val="16"/>
                <w:szCs w:val="16"/>
                <w:b w:val="1"/>
                <w:bCs w:val="1"/>
                <w:color w:val="auto"/>
              </w:rPr>
              <w:t>Nine Months Ended</w:t>
            </w:r>
          </w:p>
        </w:tc>
        <w:tc>
          <w:tcPr>
            <w:tcW w:w="1960" w:type="dxa"/>
            <w:vAlign w:val="bottom"/>
            <w:gridSpan w:val="3"/>
          </w:tcPr>
          <w:p>
            <w:pPr>
              <w:ind w:left="68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September 26,</w:t>
            </w:r>
          </w:p>
        </w:tc>
        <w:tc>
          <w:tcPr>
            <w:tcW w:w="1120" w:type="dxa"/>
            <w:vAlign w:val="bottom"/>
            <w:tcBorders>
              <w:top w:val="single" w:sz="8" w:color="auto"/>
            </w:tcBorders>
          </w:tcPr>
          <w:p>
            <w:pPr>
              <w:ind w:left="140"/>
              <w:spacing w:after="0" w:line="158" w:lineRule="exact"/>
              <w:rPr>
                <w:sz w:val="20"/>
                <w:szCs w:val="20"/>
                <w:color w:val="auto"/>
              </w:rPr>
            </w:pPr>
            <w:r>
              <w:rPr>
                <w:rFonts w:ascii="Arial" w:cs="Arial" w:eastAsia="Arial" w:hAnsi="Arial"/>
                <w:sz w:val="16"/>
                <w:szCs w:val="16"/>
                <w:b w:val="1"/>
                <w:bCs w:val="1"/>
                <w:color w:val="auto"/>
              </w:rPr>
              <w:t>September</w:t>
            </w:r>
          </w:p>
        </w:tc>
        <w:tc>
          <w:tcPr>
            <w:tcW w:w="1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September 26,</w:t>
            </w:r>
          </w:p>
        </w:tc>
        <w:tc>
          <w:tcPr>
            <w:tcW w:w="1120" w:type="dxa"/>
            <w:vAlign w:val="bottom"/>
            <w:tcBorders>
              <w:top w:val="single" w:sz="8" w:color="auto"/>
            </w:tcBorders>
          </w:tcPr>
          <w:p>
            <w:pPr>
              <w:ind w:left="140"/>
              <w:spacing w:after="0" w:line="158" w:lineRule="exact"/>
              <w:rPr>
                <w:sz w:val="20"/>
                <w:szCs w:val="20"/>
                <w:color w:val="auto"/>
              </w:rPr>
            </w:pPr>
            <w:r>
              <w:rPr>
                <w:rFonts w:ascii="Arial" w:cs="Arial" w:eastAsia="Arial" w:hAnsi="Arial"/>
                <w:sz w:val="16"/>
                <w:szCs w:val="16"/>
                <w:b w:val="1"/>
                <w:bCs w:val="1"/>
                <w:color w:val="auto"/>
              </w:rPr>
              <w:t>September</w:t>
            </w: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280" w:type="dxa"/>
            <w:vAlign w:val="bottom"/>
            <w:gridSpan w:val="2"/>
            <w:vMerge w:val="continue"/>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28,</w:t>
            </w:r>
          </w:p>
        </w:tc>
        <w:tc>
          <w:tcPr>
            <w:tcW w:w="120" w:type="dxa"/>
            <w:vAlign w:val="bottom"/>
          </w:tcPr>
          <w:p>
            <w:pPr>
              <w:spacing w:after="0"/>
              <w:rPr>
                <w:sz w:val="14"/>
                <w:szCs w:val="14"/>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Amount</w:t>
            </w:r>
          </w:p>
        </w:tc>
        <w:tc>
          <w:tcPr>
            <w:tcW w:w="92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28,</w:t>
            </w:r>
          </w:p>
        </w:tc>
        <w:tc>
          <w:tcPr>
            <w:tcW w:w="100" w:type="dxa"/>
            <w:vAlign w:val="bottom"/>
          </w:tcPr>
          <w:p>
            <w:pPr>
              <w:spacing w:after="0"/>
              <w:rPr>
                <w:sz w:val="14"/>
                <w:szCs w:val="14"/>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Amount</w:t>
            </w:r>
          </w:p>
        </w:tc>
        <w:tc>
          <w:tcPr>
            <w:tcW w:w="88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1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1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1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$25,528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$32,783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$(7,255)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$96,870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$66,295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$30,575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180" w:type="dxa"/>
            <w:vAlign w:val="bottom"/>
          </w:tcPr>
          <w:p>
            <w:pPr>
              <w:jc w:val="center"/>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(860) bps</w:t>
            </w:r>
          </w:p>
        </w:tc>
        <w:tc>
          <w:tcPr>
            <w:tcW w:w="102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31.8%</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33.2%</w:t>
            </w: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(140) bps</w:t>
            </w:r>
          </w:p>
        </w:tc>
        <w:tc>
          <w:tcPr>
            <w:tcW w:w="880" w:type="dxa"/>
            <w:vAlign w:val="bottom"/>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80" w:firstLine="324"/>
        <w:spacing w:after="0" w:line="250" w:lineRule="auto"/>
        <w:rPr>
          <w:sz w:val="20"/>
          <w:szCs w:val="20"/>
          <w:color w:val="auto"/>
        </w:rPr>
      </w:pPr>
      <w:r>
        <w:rPr>
          <w:rFonts w:ascii="Arial" w:cs="Arial" w:eastAsia="Arial" w:hAnsi="Arial"/>
          <w:sz w:val="18"/>
          <w:szCs w:val="18"/>
          <w:color w:val="auto"/>
        </w:rPr>
        <w:t>Gross profit in the three months ended September 26, 2020 was $25.5 million as compared to gross profit of $32.8 million in the prior-year period, a decline of $7.3 million. Gross margin in the three months ended September 26, 2020 declined to 27.0% from 35.6% in the prior-year period. The decline in gross profit and gross margin in the three months ended September 26, 2020 was primarily due to lower net price realization as a result of higher trade discounts and lower absorption of fixed overhead production costs as we scaled back production to reduce inventory levels. Gross profit and gross margin were also impacted by $1.8 million in costs attributable to COVID-19 including $1.1 million in inventory write-offs and reserves associated with foodservice products determined to be unsalable and</w:t>
      </w:r>
    </w:p>
    <w:p>
      <w:pPr>
        <w:spacing w:after="0" w:line="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$0.7 million in costs associated with product repacking activities driven by our efforts to repurpose certain foodservice inventory into retail products.</w:t>
      </w:r>
    </w:p>
    <w:p>
      <w:pPr>
        <w:spacing w:after="0" w:line="14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Gross profit in the nine months ended September 26, 2020 was $96.9 million as compared to gross profit of $66.3 million in the prior-year period, an improvement of $30.6 million. Gross margin in the nine months ended September 26, 2020 decreased to 31.8% from 33.2% in the prior-year period. The increase in gross profit was primarily due to the increase in volume of products sold in the retail channel, and variable cost and direct labor efficiencies, partially offset by higher trade discounts, repacking costs, and inventory write-offs and reserves associated with unsalable foodservice products attributable to COVID-19. The decrease in gross margin was primarily due to higher trade discounts and lower absorption of fixed overhead production costs as we scaled back production to reduce inventory levels. We include outbound shipping and handling costs within SG&amp;A expenses. As a result, our gross profit and gross margin may not be comparable to other entities that present shipping and handling costs as a component of cost of goods sold.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92"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32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377"/>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8"/>
                <w:szCs w:val="18"/>
                <w:color w:val="auto"/>
              </w:rPr>
            </w:pPr>
          </w:p>
        </w:tc>
        <w:tc>
          <w:tcPr>
            <w:tcW w:w="132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September 26,</w:t>
            </w:r>
          </w:p>
        </w:tc>
        <w:tc>
          <w:tcPr>
            <w:tcW w:w="12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September 28,</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September 26,</w:t>
            </w:r>
          </w:p>
        </w:tc>
        <w:tc>
          <w:tcPr>
            <w:tcW w:w="120" w:type="dxa"/>
            <w:vAlign w:val="bottom"/>
          </w:tcPr>
          <w:p>
            <w:pPr>
              <w:spacing w:after="0"/>
              <w:rPr>
                <w:sz w:val="13"/>
                <w:szCs w:val="13"/>
                <w:color w:val="auto"/>
              </w:rPr>
            </w:pPr>
          </w:p>
        </w:tc>
        <w:tc>
          <w:tcPr>
            <w:tcW w:w="1000" w:type="dxa"/>
            <w:vAlign w:val="bottom"/>
          </w:tcPr>
          <w:p>
            <w:pPr>
              <w:jc w:val="right"/>
              <w:ind w:right="57"/>
              <w:spacing w:after="0" w:line="158" w:lineRule="exact"/>
              <w:rPr>
                <w:sz w:val="20"/>
                <w:szCs w:val="20"/>
                <w:color w:val="auto"/>
              </w:rPr>
            </w:pPr>
            <w:r>
              <w:rPr>
                <w:rFonts w:ascii="Arial" w:cs="Arial" w:eastAsia="Arial" w:hAnsi="Arial"/>
                <w:sz w:val="16"/>
                <w:szCs w:val="16"/>
                <w:b w:val="1"/>
                <w:bCs w:val="1"/>
                <w:color w:val="auto"/>
              </w:rPr>
              <w:t>September</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00" w:type="dxa"/>
            <w:vAlign w:val="bottom"/>
            <w:gridSpan w:val="2"/>
            <w:vMerge w:val="restart"/>
          </w:tcPr>
          <w:p>
            <w:pPr>
              <w:jc w:val="center"/>
              <w:ind w:right="760"/>
              <w:spacing w:after="0"/>
              <w:rPr>
                <w:sz w:val="20"/>
                <w:szCs w:val="20"/>
                <w:color w:val="auto"/>
              </w:rPr>
            </w:pPr>
            <w:r>
              <w:rPr>
                <w:rFonts w:ascii="Arial" w:cs="Arial" w:eastAsia="Arial" w:hAnsi="Arial"/>
                <w:sz w:val="16"/>
                <w:szCs w:val="16"/>
                <w:b w:val="1"/>
                <w:bCs w:val="1"/>
                <w:color w:val="auto"/>
                <w:w w:val="99"/>
              </w:rPr>
              <w:t>(in thousands)</w:t>
            </w:r>
          </w:p>
        </w:tc>
        <w:tc>
          <w:tcPr>
            <w:tcW w:w="1260" w:type="dxa"/>
            <w:vAlign w:val="bottom"/>
            <w:gridSpan w:val="3"/>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640" w:type="dxa"/>
            <w:vAlign w:val="bottom"/>
            <w:vMerge w:val="restart"/>
          </w:tcPr>
          <w:p>
            <w:pPr>
              <w:jc w:val="right"/>
              <w:ind w:right="31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77"/>
              <w:spacing w:after="0" w:line="162" w:lineRule="exact"/>
              <w:rPr>
                <w:sz w:val="20"/>
                <w:szCs w:val="20"/>
                <w:color w:val="auto"/>
              </w:rPr>
            </w:pPr>
            <w:r>
              <w:rPr>
                <w:rFonts w:ascii="Arial" w:cs="Arial" w:eastAsia="Arial" w:hAnsi="Arial"/>
                <w:sz w:val="16"/>
                <w:szCs w:val="16"/>
                <w:b w:val="1"/>
                <w:bCs w:val="1"/>
                <w:color w:val="auto"/>
              </w:rPr>
              <w:t>28,</w:t>
            </w:r>
          </w:p>
        </w:tc>
        <w:tc>
          <w:tcPr>
            <w:tcW w:w="80" w:type="dxa"/>
            <w:vAlign w:val="bottom"/>
          </w:tcPr>
          <w:p>
            <w:pPr>
              <w:spacing w:after="0"/>
              <w:rPr>
                <w:sz w:val="14"/>
                <w:szCs w:val="14"/>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620" w:type="dxa"/>
            <w:vAlign w:val="bottom"/>
            <w:vMerge w:val="restart"/>
          </w:tcPr>
          <w:p>
            <w:pPr>
              <w:jc w:val="right"/>
              <w:ind w:right="31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5"/>
        </w:trPr>
        <w:tc>
          <w:tcPr>
            <w:tcW w:w="19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ind w:left="140"/>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15"/>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36"/>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7"/>
              <w:spacing w:after="0" w:line="175"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1900" w:type="dxa"/>
            <w:vAlign w:val="bottom"/>
            <w:gridSpan w:val="2"/>
            <w:shd w:val="clear" w:color="auto" w:fill="CCEEFF"/>
          </w:tcPr>
          <w:p>
            <w:pPr>
              <w:jc w:val="center"/>
              <w:ind w:right="740"/>
              <w:spacing w:after="0" w:line="168" w:lineRule="exact"/>
              <w:rPr>
                <w:sz w:val="20"/>
                <w:szCs w:val="20"/>
                <w:color w:val="auto"/>
              </w:rPr>
            </w:pPr>
            <w:r>
              <w:rPr>
                <w:rFonts w:ascii="Arial" w:cs="Arial" w:eastAsia="Arial" w:hAnsi="Arial"/>
                <w:sz w:val="18"/>
                <w:szCs w:val="18"/>
                <w:color w:val="auto"/>
                <w:w w:val="99"/>
              </w:rPr>
              <w:t>Research and</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development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90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98"/>
              </w:rPr>
              <w:t>expenses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2,327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5,827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Research and development expenses increased $ 2.3 million, or 39.1%, and $5.8 million, or 39.7%, in the three and nine months ended September 26, 2020, respectively, as compared to the prior-year periods. Research and development expenses increased to 8.8% of net revenues in the three months ended September 26, 2020 from 6.5% of net revenues in the prior-year period, and declined to 6.7% of net revenues in the nine months ended September 26, 2020, from 7.3% of net revenues in the prior-year period. Research and development expenses in the three and nine months ended September 26, 2020 increased primarily due to a 95% increase in headcount, higher scale-up expenses and higher depreciation and amortization expense compared to the prior-year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b w:val="1"/>
          <w:bCs w:val="1"/>
          <w:i w:val="1"/>
          <w:iCs w:val="1"/>
          <w:color w:val="auto"/>
        </w:rPr>
        <w:t>SG&amp;A Expenses</w:t>
      </w:r>
    </w:p>
    <w:p>
      <w:pPr>
        <w:spacing w:after="0" w:line="392"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320" w:type="dxa"/>
            <w:vAlign w:val="bottom"/>
            <w:gridSpan w:val="3"/>
          </w:tcPr>
          <w:p>
            <w:pPr>
              <w:ind w:left="680"/>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Arial" w:cs="Arial" w:eastAsia="Arial" w:hAnsi="Arial"/>
                <w:sz w:val="16"/>
                <w:szCs w:val="16"/>
                <w:b w:val="1"/>
                <w:bCs w:val="1"/>
                <w:color w:val="auto"/>
              </w:rPr>
              <w:t>Nine Months Ended</w:t>
            </w:r>
          </w:p>
        </w:tc>
        <w:tc>
          <w:tcPr>
            <w:tcW w:w="1360" w:type="dxa"/>
            <w:vAlign w:val="bottom"/>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57"/>
              <w:spacing w:after="0" w:line="158" w:lineRule="exact"/>
              <w:rPr>
                <w:sz w:val="20"/>
                <w:szCs w:val="20"/>
                <w:color w:val="auto"/>
              </w:rPr>
            </w:pPr>
            <w:r>
              <w:rPr>
                <w:rFonts w:ascii="Arial" w:cs="Arial" w:eastAsia="Arial" w:hAnsi="Arial"/>
                <w:sz w:val="16"/>
                <w:szCs w:val="16"/>
                <w:b w:val="1"/>
                <w:bCs w:val="1"/>
                <w:color w:val="auto"/>
              </w:rPr>
              <w:t>September</w:t>
            </w: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spacing w:after="0" w:line="158" w:lineRule="exact"/>
              <w:rPr>
                <w:sz w:val="20"/>
                <w:szCs w:val="20"/>
                <w:color w:val="auto"/>
              </w:rPr>
            </w:pPr>
            <w:r>
              <w:rPr>
                <w:rFonts w:ascii="Arial" w:cs="Arial" w:eastAsia="Arial" w:hAnsi="Arial"/>
                <w:sz w:val="16"/>
                <w:szCs w:val="16"/>
                <w:b w:val="1"/>
                <w:bCs w:val="1"/>
                <w:color w:val="auto"/>
              </w:rPr>
              <w:t>September</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57"/>
              <w:spacing w:after="0" w:line="158" w:lineRule="exact"/>
              <w:rPr>
                <w:sz w:val="20"/>
                <w:szCs w:val="20"/>
                <w:color w:val="auto"/>
              </w:rPr>
            </w:pPr>
            <w:r>
              <w:rPr>
                <w:rFonts w:ascii="Arial" w:cs="Arial" w:eastAsia="Arial" w:hAnsi="Arial"/>
                <w:sz w:val="16"/>
                <w:szCs w:val="16"/>
                <w:b w:val="1"/>
                <w:bCs w:val="1"/>
                <w:color w:val="auto"/>
              </w:rPr>
              <w:t>September</w:t>
            </w: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4"/>
                <w:szCs w:val="14"/>
                <w:color w:val="auto"/>
              </w:rPr>
            </w:pPr>
          </w:p>
        </w:tc>
        <w:tc>
          <w:tcPr>
            <w:tcW w:w="1000" w:type="dxa"/>
            <w:vAlign w:val="bottom"/>
          </w:tcPr>
          <w:p>
            <w:pPr>
              <w:jc w:val="right"/>
              <w:ind w:right="377"/>
              <w:spacing w:after="0" w:line="162" w:lineRule="exact"/>
              <w:rPr>
                <w:sz w:val="20"/>
                <w:szCs w:val="20"/>
                <w:color w:val="auto"/>
              </w:rPr>
            </w:pPr>
            <w:r>
              <w:rPr>
                <w:rFonts w:ascii="Arial" w:cs="Arial" w:eastAsia="Arial" w:hAnsi="Arial"/>
                <w:sz w:val="16"/>
                <w:szCs w:val="16"/>
                <w:b w:val="1"/>
                <w:bCs w:val="1"/>
                <w:color w:val="auto"/>
              </w:rPr>
              <w:t>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77"/>
              <w:spacing w:after="0" w:line="162" w:lineRule="exact"/>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4"/>
                <w:szCs w:val="14"/>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Amount</w:t>
            </w:r>
          </w:p>
        </w:tc>
        <w:tc>
          <w:tcPr>
            <w:tcW w:w="640" w:type="dxa"/>
            <w:vAlign w:val="bottom"/>
            <w:vMerge w:val="restart"/>
          </w:tcPr>
          <w:p>
            <w:pPr>
              <w:jc w:val="right"/>
              <w:ind w:right="315"/>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57"/>
              <w:spacing w:after="0" w:line="162" w:lineRule="exact"/>
              <w:rPr>
                <w:sz w:val="20"/>
                <w:szCs w:val="20"/>
                <w:color w:val="auto"/>
              </w:rPr>
            </w:pPr>
            <w:r>
              <w:rPr>
                <w:rFonts w:ascii="Arial" w:cs="Arial" w:eastAsia="Arial" w:hAnsi="Arial"/>
                <w:sz w:val="16"/>
                <w:szCs w:val="16"/>
                <w:b w:val="1"/>
                <w:bCs w:val="1"/>
                <w:color w:val="auto"/>
              </w:rPr>
              <w:t>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57"/>
              <w:spacing w:after="0" w:line="162" w:lineRule="exact"/>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4"/>
                <w:szCs w:val="14"/>
                <w:color w:val="auto"/>
              </w:rPr>
            </w:pPr>
          </w:p>
        </w:tc>
        <w:tc>
          <w:tcPr>
            <w:tcW w:w="136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Amount</w:t>
            </w:r>
          </w:p>
        </w:tc>
        <w:tc>
          <w:tcPr>
            <w:tcW w:w="6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6"/>
        </w:trPr>
        <w:tc>
          <w:tcPr>
            <w:tcW w:w="1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17"/>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97"/>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97"/>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7"/>
              <w:spacing w:after="0" w:line="175"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192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administrative</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12,616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60.2 %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47,531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99.8 %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SG&amp;A expenses increased $12.6 million, or 60.2%, in the three months ended September 26, 2020. SG&amp;A expenses increased to 35.5% of net revenues in the three months ended September 26, 2020, from 22.8% of net revenues in the prior-year period. The increase was primarily due to $4.1 million in higher marketing-related expenses, $3.8 million in higher share-based compensation expense, $2.2 million in higher salaries and related expenses resulting from higher headcount, $1.7 million in higher legal expenses and $0.6 million in higher general insurance costs.</w:t>
      </w:r>
    </w:p>
    <w:p>
      <w:pPr>
        <w:spacing w:after="0" w:line="15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SG&amp;A expenses increased $47.5 million, or 99.8%, in the nine months ended September 26, 2020. SG&amp;A expenses increased to 31.2% of net revenues in the nine months ended September 26, 2020, from 23.9% of net revenues in the prior-year period. The increase was primarily due to $13.9 million in higher share-based compensation expense, $10.4 million in higher salaries and related expenses resulting from higher headcount, $9.7 million in higher marketing-related expenses, $3.6 million in higher legal expenses, $2.7 million in higher expense related to product donations for our Feed A Million+ campaign attributable to COVID-19 relief efforts, $2.6 million in higher broker and distributor commissions, $2.0 million in higher general insurance costs and $1.3 million in higher public company-related expenses. The increase in share-based compensation expense in the three and nine months ended September 26, 2020 was primarily due to appreciation in our stock price as well as substantially higher staffing levels versus the prior-year periods.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93" w:lineRule="exact"/>
        <w:rPr>
          <w:sz w:val="20"/>
          <w:szCs w:val="20"/>
          <w:color w:val="auto"/>
        </w:rPr>
      </w:pPr>
    </w:p>
    <w:p>
      <w:pPr>
        <w:ind w:right="160" w:firstLine="324"/>
        <w:spacing w:after="0" w:line="251" w:lineRule="auto"/>
        <w:rPr>
          <w:rFonts w:ascii="Arial" w:cs="Arial" w:eastAsia="Arial" w:hAnsi="Arial"/>
          <w:sz w:val="18"/>
          <w:szCs w:val="18"/>
          <w:color w:val="0000FF"/>
        </w:rPr>
      </w:pPr>
      <w:r>
        <w:rPr>
          <w:rFonts w:ascii="Arial" w:cs="Arial" w:eastAsia="Arial" w:hAnsi="Arial"/>
          <w:sz w:val="18"/>
          <w:szCs w:val="18"/>
          <w:color w:val="auto"/>
        </w:rPr>
        <w:t xml:space="preserve">As a result of the termination in May 2017 of an exclusive supply agreement with one of our co- manufacturers due to non-performance under the agreement, we recorded restructuring expenses of $2.1 million and $2.3 million in the three months ended September 26, 2020 and September 28, 2019, respectively, and $6.0 million and $3.6 million in the nine months ended September 26, 2020 and September 28, 2019, respectively. The restructuring expenses were primarily related to legal and other expenses associated with the dispute. The amount incurred in the nine months ended September 26, 2020 includes transition costs associated with our substitution of legal counsel during the first quarter of 2020. As of September 26, 2020 and December 31, 2019, there were $1.1 million in accrued and unpaid restructuring expenses. We continue to incur legal fees and other costs in connection with our ongoing efforts to resolve this dispute. See </w:t>
      </w:r>
      <w:hyperlink w:anchor="page20">
        <w:r>
          <w:rPr>
            <w:rFonts w:ascii="Arial" w:cs="Arial" w:eastAsia="Arial" w:hAnsi="Arial"/>
            <w:sz w:val="18"/>
            <w:szCs w:val="18"/>
            <w:u w:val="single" w:color="auto"/>
            <w:color w:val="0000FF"/>
          </w:rPr>
          <w:t>Note 3</w:t>
        </w:r>
      </w:hyperlink>
      <w:r>
        <w:rPr>
          <w:rFonts w:ascii="Arial" w:cs="Arial" w:eastAsia="Arial" w:hAnsi="Arial"/>
          <w:sz w:val="18"/>
          <w:szCs w:val="18"/>
          <w:color w:val="auto"/>
        </w:rPr>
        <w:t xml:space="preserve">, </w:t>
      </w:r>
      <w:hyperlink w:anchor="page63">
        <w:r>
          <w:rPr>
            <w:rFonts w:ascii="Arial" w:cs="Arial" w:eastAsia="Arial" w:hAnsi="Arial"/>
            <w:sz w:val="18"/>
            <w:szCs w:val="18"/>
            <w:i w:val="1"/>
            <w:iCs w:val="1"/>
            <w:color w:val="auto"/>
          </w:rPr>
          <w:t>Restructuring</w:t>
        </w:r>
        <w:r>
          <w:rPr>
            <w:rFonts w:ascii="Arial" w:cs="Arial" w:eastAsia="Arial" w:hAnsi="Arial"/>
            <w:sz w:val="18"/>
            <w:szCs w:val="18"/>
            <w:color w:val="auto"/>
          </w:rPr>
          <w:t>, to the Notes to Unaudited Condensed Consolidated Financial Statements included in Part I, Item 1 of this report 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Legal</w:t>
        </w:r>
      </w:hyperlink>
      <w:r>
        <w:rPr>
          <w:rFonts w:ascii="Arial" w:cs="Arial" w:eastAsia="Arial" w:hAnsi="Arial"/>
          <w:sz w:val="18"/>
          <w:szCs w:val="18"/>
          <w:i w:val="1"/>
          <w:iCs w:val="1"/>
          <w:color w:val="auto"/>
        </w:rPr>
        <w:t xml:space="preserve"> </w:t>
      </w:r>
      <w:hyperlink w:anchor="page63">
        <w:r>
          <w:rPr>
            <w:rFonts w:ascii="Arial" w:cs="Arial" w:eastAsia="Arial" w:hAnsi="Arial"/>
            <w:sz w:val="18"/>
            <w:szCs w:val="18"/>
            <w:u w:val="single" w:color="auto"/>
            <w:color w:val="0000FF"/>
          </w:rPr>
          <w:t>Proceedings</w:t>
        </w:r>
        <w:r>
          <w:rPr>
            <w:rFonts w:ascii="Arial" w:cs="Arial" w:eastAsia="Arial" w:hAnsi="Arial"/>
            <w:sz w:val="18"/>
            <w:szCs w:val="18"/>
            <w:color w:val="0000FF"/>
          </w:rPr>
          <w:t xml:space="preserve"> </w:t>
        </w:r>
        <w:r>
          <w:rPr>
            <w:rFonts w:ascii="Arial" w:cs="Arial" w:eastAsia="Arial" w:hAnsi="Arial"/>
            <w:sz w:val="18"/>
            <w:szCs w:val="18"/>
            <w:color w:val="000000"/>
          </w:rPr>
          <w:t>in Part II, Item 1 of this report.</w:t>
        </w:r>
      </w:hyperlink>
    </w:p>
    <w:p>
      <w:pPr>
        <w:spacing w:after="0" w:line="136" w:lineRule="exact"/>
        <w:rPr>
          <w:rFonts w:ascii="Arial" w:cs="Arial" w:eastAsia="Arial" w:hAnsi="Arial"/>
          <w:sz w:val="18"/>
          <w:szCs w:val="18"/>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Other Expense (Income)</w:t>
      </w:r>
    </w:p>
    <w:p>
      <w:pPr>
        <w:spacing w:after="0" w:line="193" w:lineRule="exact"/>
        <w:rPr>
          <w:rFonts w:ascii="Arial" w:cs="Arial" w:eastAsia="Arial" w:hAnsi="Arial"/>
          <w:sz w:val="18"/>
          <w:szCs w:val="18"/>
          <w:color w:val="auto"/>
        </w:rPr>
      </w:pPr>
    </w:p>
    <w:p>
      <w:pPr>
        <w:ind w:right="200" w:firstLine="324"/>
        <w:spacing w:after="0" w:line="256" w:lineRule="auto"/>
        <w:rPr>
          <w:sz w:val="20"/>
          <w:szCs w:val="20"/>
          <w:color w:val="auto"/>
        </w:rPr>
      </w:pPr>
      <w:r>
        <w:rPr>
          <w:rFonts w:ascii="Arial" w:cs="Arial" w:eastAsia="Arial" w:hAnsi="Arial"/>
          <w:sz w:val="18"/>
          <w:szCs w:val="18"/>
          <w:color w:val="auto"/>
        </w:rPr>
        <w:t>Total other expense, net in the three months ended September 26, 2020 of $0.8 million consisted primarily of interest expense on our debt balances. Total other income of $0.5 million in the prior-year period consisted primarily of $1.4 million in interest income partially offset by $0.9 million in interest expense on our debt balances.</w:t>
      </w:r>
    </w:p>
    <w:p>
      <w:pPr>
        <w:spacing w:after="0" w:line="148" w:lineRule="exact"/>
        <w:rPr>
          <w:rFonts w:ascii="Arial" w:cs="Arial" w:eastAsia="Arial" w:hAnsi="Arial"/>
          <w:sz w:val="18"/>
          <w:szCs w:val="18"/>
          <w:color w:val="auto"/>
        </w:rPr>
      </w:pPr>
    </w:p>
    <w:p>
      <w:pPr>
        <w:ind w:firstLine="324"/>
        <w:spacing w:after="0" w:line="261" w:lineRule="auto"/>
        <w:rPr>
          <w:sz w:val="20"/>
          <w:szCs w:val="20"/>
          <w:color w:val="auto"/>
        </w:rPr>
      </w:pPr>
      <w:r>
        <w:rPr>
          <w:rFonts w:ascii="Arial" w:cs="Arial" w:eastAsia="Arial" w:hAnsi="Arial"/>
          <w:sz w:val="18"/>
          <w:szCs w:val="18"/>
          <w:color w:val="auto"/>
        </w:rPr>
        <w:t>Total other expense, net in the nine months ended September 26, 2020 of $2.8 million consisted primarily of interest expense on our debt balances and loss on extinguishment of debt, partially offset by interest income.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ind w:right="20"/>
        <w:spacing w:after="0" w:line="261" w:lineRule="auto"/>
        <w:rPr>
          <w:sz w:val="20"/>
          <w:szCs w:val="20"/>
          <w:color w:val="auto"/>
        </w:rPr>
      </w:pPr>
      <w:r>
        <w:rPr>
          <w:rFonts w:ascii="Arial" w:cs="Arial" w:eastAsia="Arial" w:hAnsi="Arial"/>
          <w:sz w:val="18"/>
          <w:szCs w:val="18"/>
          <w:color w:val="auto"/>
        </w:rPr>
        <w:t>Total other expense in the prior-year period of $12.4 million consisted primarily of expense associated with the remeasurement of our warrant liability and interest on our debt balances partially offset by interest income.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Income from Operations</w:t>
      </w:r>
    </w:p>
    <w:p>
      <w:pPr>
        <w:spacing w:after="0" w:line="193" w:lineRule="exact"/>
        <w:rPr>
          <w:sz w:val="20"/>
          <w:szCs w:val="20"/>
          <w:color w:val="auto"/>
        </w:rPr>
      </w:pPr>
    </w:p>
    <w:p>
      <w:pPr>
        <w:ind w:right="140" w:firstLine="324"/>
        <w:spacing w:after="0" w:line="236" w:lineRule="auto"/>
        <w:rPr>
          <w:sz w:val="20"/>
          <w:szCs w:val="20"/>
          <w:color w:val="auto"/>
        </w:rPr>
      </w:pPr>
      <w:r>
        <w:rPr>
          <w:rFonts w:ascii="Arial" w:cs="Arial" w:eastAsia="Arial" w:hAnsi="Arial"/>
          <w:sz w:val="18"/>
          <w:szCs w:val="18"/>
          <w:color w:val="auto"/>
        </w:rPr>
        <w:t>Loss from operations in the three months ended September 26, 2020 was $18.5 million compared to income from operations of $3.6 million in the prior-year period. Loss from operations in the nine months ended September 26, 2020 was $24.8 million compared to income from operations of $0.4 million in the prior-year period. The decrease in income from operations in the three and nine months ended September 26, 2020 was driven by the year-over-year increase in cost of goods sold, higher operating expenses from increased personnel levels to support our long-term growth, increases in our marketing initiatives, higher share-based compensation expense, investments in international expansion and continued investments in innovation. The decrease in income from operations in the nine months ended September 26, 2020 was also due to product donation costs related to our COVID-19 relief campaign and higher restructuring expenses. In the nine months ended September 26, 2020, the increase in operating expenses was partially offset by the increase in gross profit.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w:t>
      </w:r>
    </w:p>
    <w:p>
      <w:pPr>
        <w:spacing w:after="0" w:line="193" w:lineRule="exact"/>
        <w:rPr>
          <w:sz w:val="20"/>
          <w:szCs w:val="20"/>
          <w:color w:val="auto"/>
        </w:rPr>
      </w:pPr>
    </w:p>
    <w:p>
      <w:pPr>
        <w:ind w:right="20" w:firstLine="324"/>
        <w:spacing w:after="0" w:line="236" w:lineRule="auto"/>
        <w:rPr>
          <w:sz w:val="20"/>
          <w:szCs w:val="20"/>
          <w:color w:val="auto"/>
        </w:rPr>
      </w:pPr>
      <w:r>
        <w:rPr>
          <w:rFonts w:ascii="Arial" w:cs="Arial" w:eastAsia="Arial" w:hAnsi="Arial"/>
          <w:sz w:val="18"/>
          <w:szCs w:val="18"/>
          <w:color w:val="auto"/>
        </w:rPr>
        <w:t>Net loss was $19.3 million and $27.7 million in the three and nine months ended September 26, 2020, respectively, compared to net income of $ 4.1 million and net loss of $12.0 million in the prior-year periods. The increase in net loss during the three months ended September 26, 2020 was due to lower gross profit and higher operating expenses compared to the prior-year period. The increase in net loss during the nine months ended September 26, 2020 was due to higher operating expenses partially offset by higher gross profit. During the three months ended September 26, 2020, net loss included $ 1.8 million in costs attributable to COVID-19 including inventory write-offs and reserves associated with foodservice products determined to be unsalable and costs associated with product repacking activities. During the nine months ended September 26, 2020, net loss included $10.4 million in costs attributable to COVID-19 including $6.6 million in costs associated with product repacking activities, $1.1 million in inventory write-offs and reserves associated with foodservice products determined to be unsalable and $2.7 million in product donation costs related to our COVID-19 relief efforts, and $1.5 million of debt extinguishment costs associated with our refinanced credit arrangements.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We use the non-GAAP financial measures set forth below in assessing our operating performance and in our financial communications. Management believes these non-GAAP financial measures provide useful additional information to investors about current trends in our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our industry as a measure of our operational performance. These non-GAAP financial measures should not be considered in isolation or as a substitute for the comparable GAAP measures. In addition, these non-GAAP financial measures may not be computed in the same manner as similarly titled measures used by other companies.</w:t>
      </w:r>
    </w:p>
    <w:p>
      <w:pPr>
        <w:spacing w:after="0" w:line="217"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w:t>
      </w:r>
      <w:r>
        <w:rPr>
          <w:rFonts w:ascii="Arial" w:cs="Arial" w:eastAsia="Arial" w:hAnsi="Arial"/>
          <w:sz w:val="18"/>
          <w:szCs w:val="18"/>
          <w:color w:val="auto"/>
        </w:rPr>
        <w:t>” is defined as net (loss) income adjusted to exclude, when applicable, income tax expense (benefit), interest expense, depreciation and amortization expense, restructuring expenses, share-based compensation expense, expenses attributable to COVID-19, remeasurement of our warrant liability, and Other, net, including interest income, loss on extinguishment of debt and foreign currency transaction gains and losses.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 as a % of net revenues</w:t>
      </w:r>
      <w:r>
        <w:rPr>
          <w:rFonts w:ascii="Arial" w:cs="Arial" w:eastAsia="Arial" w:hAnsi="Arial"/>
          <w:sz w:val="18"/>
          <w:szCs w:val="18"/>
          <w:color w:val="auto"/>
        </w:rPr>
        <w:t>” is defined as Adjusted EBITDA divided by net revenues.</w:t>
      </w:r>
    </w:p>
    <w:p>
      <w:pPr>
        <w:spacing w:after="0" w:line="189" w:lineRule="exact"/>
        <w:rPr>
          <w:sz w:val="20"/>
          <w:szCs w:val="20"/>
          <w:color w:val="auto"/>
        </w:rPr>
      </w:pPr>
    </w:p>
    <w:p>
      <w:pPr>
        <w:ind w:right="740" w:firstLine="324"/>
        <w:spacing w:after="0" w:line="246" w:lineRule="auto"/>
        <w:rPr>
          <w:sz w:val="20"/>
          <w:szCs w:val="20"/>
          <w:color w:val="auto"/>
        </w:rPr>
      </w:pPr>
      <w:r>
        <w:rPr>
          <w:rFonts w:ascii="Arial" w:cs="Arial" w:eastAsia="Arial" w:hAnsi="Arial"/>
          <w:sz w:val="18"/>
          <w:szCs w:val="18"/>
          <w:color w:val="auto"/>
        </w:rPr>
        <w:t>There are a number of limitations related to the use of Adjusted EBITDA rather than net (loss) income, which is the most directly comparable GAAP measure. Some of these limitations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52" w:name="page53"/>
    <w:bookmarkEnd w:id="52"/>
    <w:p>
      <w:pPr>
        <w:ind w:left="328" w:right="280" w:hanging="328"/>
        <w:spacing w:after="0" w:line="261"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35"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required to service our debt, which reduces cash available to us;</w:t>
      </w:r>
    </w:p>
    <w:p>
      <w:pPr>
        <w:spacing w:after="0" w:line="63"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63"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restructuring expenses that reduce cash available to us;</w:t>
      </w:r>
    </w:p>
    <w:p>
      <w:pPr>
        <w:spacing w:after="0" w:line="63"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expenses attributable to COVID-19 that reduce cash available to us;</w:t>
      </w:r>
    </w:p>
    <w:p>
      <w:pPr>
        <w:spacing w:after="0" w:line="63"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does not reflect share-based compensation expense and therefore does not include all of our compensation costs;</w:t>
      </w:r>
    </w:p>
    <w:p>
      <w:pPr>
        <w:spacing w:after="0" w:line="74" w:lineRule="exact"/>
        <w:rPr>
          <w:rFonts w:ascii="Arial" w:cs="Arial" w:eastAsia="Arial" w:hAnsi="Arial"/>
          <w:sz w:val="17"/>
          <w:szCs w:val="17"/>
          <w:color w:val="auto"/>
        </w:rPr>
      </w:pPr>
    </w:p>
    <w:p>
      <w:pPr>
        <w:ind w:left="328" w:right="440" w:hanging="328"/>
        <w:spacing w:after="0" w:line="261"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Other, net, including investment income, loss on extinguishment of debt and foreign currency transaction gains and losses, that may increase or decrease cash available to us; and</w:t>
      </w:r>
    </w:p>
    <w:p>
      <w:pPr>
        <w:spacing w:after="0" w:line="35" w:lineRule="exact"/>
        <w:rPr>
          <w:rFonts w:ascii="Arial" w:cs="Arial" w:eastAsia="Arial" w:hAnsi="Arial"/>
          <w:sz w:val="18"/>
          <w:szCs w:val="18"/>
          <w:color w:val="auto"/>
        </w:rPr>
      </w:pPr>
    </w:p>
    <w:p>
      <w:pPr>
        <w:ind w:left="328" w:right="80" w:hanging="328"/>
        <w:spacing w:after="0" w:line="261"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177800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1435" w:right="379" w:bottom="1440" w:gutter="0" w:footer="0" w:header="0"/>
        </w:sectPr>
      </w:pPr>
    </w:p>
    <w:bookmarkStart w:id="53" w:name="page54"/>
    <w:bookmarkEnd w:id="53"/>
    <w:p>
      <w:pPr>
        <w:ind w:right="620" w:firstLine="324"/>
        <w:spacing w:after="0" w:line="261" w:lineRule="auto"/>
        <w:rPr>
          <w:sz w:val="20"/>
          <w:szCs w:val="20"/>
          <w:color w:val="auto"/>
        </w:rPr>
      </w:pPr>
      <w:r>
        <w:rPr>
          <w:rFonts w:ascii="Arial" w:cs="Arial" w:eastAsia="Arial" w:hAnsi="Arial"/>
          <w:sz w:val="18"/>
          <w:szCs w:val="18"/>
          <w:color w:val="auto"/>
        </w:rPr>
        <w:t>The following table presents the reconciliation of Adjusted EBITDA to its most comparable GAAP measure, net (loss) income, as reported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92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ind w:left="140"/>
              <w:spacing w:after="0" w:line="158" w:lineRule="exact"/>
              <w:rPr>
                <w:sz w:val="20"/>
                <w:szCs w:val="20"/>
                <w:color w:val="auto"/>
              </w:rPr>
            </w:pPr>
            <w:r>
              <w:rPr>
                <w:rFonts w:ascii="Arial" w:cs="Arial" w:eastAsia="Arial" w:hAnsi="Arial"/>
                <w:sz w:val="16"/>
                <w:szCs w:val="16"/>
                <w:b w:val="1"/>
                <w:bCs w:val="1"/>
                <w:color w:val="auto"/>
              </w:rPr>
              <w:t>September 26,</w:t>
            </w:r>
          </w:p>
        </w:tc>
        <w:tc>
          <w:tcPr>
            <w:tcW w:w="2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271"/>
              <w:spacing w:after="0" w:line="158" w:lineRule="exact"/>
              <w:rPr>
                <w:sz w:val="20"/>
                <w:szCs w:val="20"/>
                <w:color w:val="auto"/>
              </w:rPr>
            </w:pPr>
            <w:r>
              <w:rPr>
                <w:rFonts w:ascii="Arial" w:cs="Arial" w:eastAsia="Arial" w:hAnsi="Arial"/>
                <w:sz w:val="16"/>
                <w:szCs w:val="16"/>
                <w:b w:val="1"/>
                <w:bCs w:val="1"/>
                <w:color w:val="auto"/>
              </w:rPr>
              <w:t>September 28,</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26,</w:t>
            </w:r>
          </w:p>
        </w:tc>
        <w:tc>
          <w:tcPr>
            <w:tcW w:w="1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91"/>
              <w:spacing w:after="0" w:line="158" w:lineRule="exact"/>
              <w:rPr>
                <w:sz w:val="20"/>
                <w:szCs w:val="20"/>
                <w:color w:val="auto"/>
              </w:rPr>
            </w:pPr>
            <w:r>
              <w:rPr>
                <w:rFonts w:ascii="Arial" w:cs="Arial" w:eastAsia="Arial" w:hAnsi="Arial"/>
                <w:sz w:val="16"/>
                <w:szCs w:val="16"/>
                <w:b w:val="1"/>
                <w:bCs w:val="1"/>
                <w:color w:val="auto"/>
              </w:rPr>
              <w:t>September 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ind w:right="672"/>
              <w:spacing w:after="0" w:line="175"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ind w:right="651"/>
              <w:spacing w:after="0" w:line="175"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452"/>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471"/>
              <w:spacing w:after="0" w:line="175"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as reported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(27,675)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9"/>
                <w:szCs w:val="19"/>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9,276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Restructuring expenses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rPr>
                <w:sz w:val="19"/>
                <w:szCs w:val="19"/>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6,842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20,377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Expenses attributable to COVID-19</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10,418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Remeasurement of warrant liability</w:t>
            </w:r>
          </w:p>
        </w:tc>
        <w:tc>
          <w:tcPr>
            <w:tcW w:w="240" w:type="dxa"/>
            <w:vAlign w:val="bottom"/>
          </w:tcPr>
          <w:p>
            <w:pPr>
              <w:spacing w:after="0"/>
              <w:rPr>
                <w:sz w:val="19"/>
                <w:szCs w:val="19"/>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Other, net</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rPr>
              <w:t>(4,286)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color w:val="auto"/>
              </w:rPr>
              <w:t>11,040</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2"/>
              <w:spacing w:after="0" w:line="196" w:lineRule="exact"/>
              <w:rPr>
                <w:sz w:val="20"/>
                <w:szCs w:val="20"/>
                <w:color w:val="auto"/>
              </w:rPr>
            </w:pPr>
            <w:r>
              <w:rPr>
                <w:rFonts w:ascii="Arial" w:cs="Arial" w:eastAsia="Arial" w:hAnsi="Arial"/>
                <w:sz w:val="18"/>
                <w:szCs w:val="18"/>
                <w:color w:val="auto"/>
              </w:rPr>
              <w:t>21,286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1"/>
              <w:spacing w:after="0" w:line="196" w:lineRule="exact"/>
              <w:rPr>
                <w:sz w:val="20"/>
                <w:szCs w:val="20"/>
                <w:color w:val="auto"/>
              </w:rPr>
            </w:pPr>
            <w:r>
              <w:rPr>
                <w:rFonts w:ascii="Arial" w:cs="Arial" w:eastAsia="Arial" w:hAnsi="Arial"/>
                <w:sz w:val="18"/>
                <w:szCs w:val="18"/>
                <w:color w:val="auto"/>
              </w:rPr>
              <w:t>15,785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as a % of net revenues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Adjusted EBITDA as a % of net revenues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44" w:lineRule="exact"/>
        <w:rPr>
          <w:sz w:val="20"/>
          <w:szCs w:val="20"/>
          <w:color w:val="auto"/>
        </w:rPr>
      </w:pPr>
    </w:p>
    <w:p>
      <w:pPr>
        <w:ind w:left="460" w:right="840" w:hanging="434"/>
        <w:spacing w:after="0" w:line="22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Primarily comprised of legal and other expenses associated with the dispute with a co-manufacturer with whom an exclusive supply agreement was terminated in May 2017.</w:t>
      </w:r>
    </w:p>
    <w:p>
      <w:pPr>
        <w:spacing w:after="0" w:line="26" w:lineRule="exact"/>
        <w:rPr>
          <w:rFonts w:ascii="Arial" w:cs="Arial" w:eastAsia="Arial" w:hAnsi="Arial"/>
          <w:sz w:val="18"/>
          <w:szCs w:val="18"/>
          <w:color w:val="auto"/>
        </w:rPr>
      </w:pPr>
    </w:p>
    <w:p>
      <w:pPr>
        <w:ind w:left="460" w:right="480" w:hanging="434"/>
        <w:spacing w:after="0" w:line="23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Comprised of $1.8 million in costs attributable to COVID-19, consisting of $1.1 million in inventory write-offs and reserves associated with foodservice products determined to be unsalable and $0.7 million in repacking costs in the three months ended September 26, 2020, and $10.4 million in costs attributable to COVID-19 consisting of $1.1 million in inventory write-offs and reserves associated with foodservice products determined to be unsalable, $6.6 million in repacking costs and $2.7 million in product donation costs related to our COVID-19 relief efforts in the nine months ended September 26, 2020. Expenses attributable to COVID-19 in the nine months ended September 26, 2020 include $1.2 million in product donation costs related to our COVID-19 relief efforts in the first quarter of 2020, which were not previously included in our Adjusted EBITDA calculation for the three months ended March 28, 2020 as these were deemed immaterial to our first quarter 2020 financial results. Given the significant increase in COVID-19-related expenses in the second and third quarters of 2020, and to facilitate better comparison from period to period, management determined that it was appropriate to recast its previous first quarter 2020 Adjusted EBITDA calculation to include these costs.</w:t>
      </w:r>
    </w:p>
    <w:p>
      <w:pPr>
        <w:spacing w:after="0" w:line="42" w:lineRule="exact"/>
        <w:rPr>
          <w:rFonts w:ascii="Arial" w:cs="Arial" w:eastAsia="Arial" w:hAnsi="Arial"/>
          <w:sz w:val="18"/>
          <w:szCs w:val="18"/>
          <w:color w:val="auto"/>
        </w:rPr>
      </w:pPr>
    </w:p>
    <w:p>
      <w:pPr>
        <w:ind w:left="460" w:hanging="434"/>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$1.5 million in loss on extinguishment of debt in the nine months ended September 26, 2020.</w:t>
      </w:r>
    </w:p>
    <w:p>
      <w:pPr>
        <w:spacing w:after="0" w:line="200" w:lineRule="exact"/>
        <w:rPr>
          <w:sz w:val="20"/>
          <w:szCs w:val="20"/>
          <w:color w:val="auto"/>
        </w:rPr>
      </w:pPr>
    </w:p>
    <w:p>
      <w:pPr>
        <w:spacing w:after="0" w:line="287" w:lineRule="exact"/>
        <w:rPr>
          <w:sz w:val="20"/>
          <w:szCs w:val="20"/>
          <w:color w:val="auto"/>
        </w:rPr>
      </w:pPr>
    </w:p>
    <w:p>
      <w:pPr>
        <w:jc w:val="center"/>
        <w:ind w:right="8400"/>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jc w:val="center"/>
        <w:ind w:right="840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93"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On April 21, 2020, we entered into a $150 million five-year secured revolving credit agreement (“2020 Credit Agreement”) by and among the Company, the lenders party thereto (the “Lenders”) and JPMorgan Chase Bank, N.A., as the administrative agent (the “Administrative Agent”). JPMorgan Chase Bank, N.A. and Silicon Valley Bank acted as joint bookrunners and joint lead arrangers under the 2020 Credit Agreement. The 2020 Credit Agreement includes an accordion feature for up to an additional $200 million. We incurred debt issuance costs, net of amortization, of $1.1 million in the nine months ended September 26, 2020 in connection with the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35" w:right="419" w:bottom="1440" w:gutter="0" w:footer="0" w:header="0"/>
        </w:sectPr>
      </w:pPr>
    </w:p>
    <w:bookmarkStart w:id="54" w:name="page55"/>
    <w:bookmarkEnd w:id="54"/>
    <w:p>
      <w:pPr>
        <w:ind w:right="560"/>
        <w:spacing w:after="0" w:line="267" w:lineRule="auto"/>
        <w:rPr>
          <w:rFonts w:ascii="Arial" w:cs="Arial" w:eastAsia="Arial" w:hAnsi="Arial"/>
          <w:sz w:val="18"/>
          <w:szCs w:val="18"/>
          <w:color w:val="auto"/>
        </w:rPr>
      </w:pPr>
      <w:r>
        <w:rPr>
          <w:rFonts w:ascii="Arial" w:cs="Arial" w:eastAsia="Arial" w:hAnsi="Arial"/>
          <w:sz w:val="18"/>
          <w:szCs w:val="18"/>
          <w:color w:val="auto"/>
        </w:rPr>
        <w:t xml:space="preserve">revolving credit facility. The revolving credit facility matures on April 21, 2025. See </w:t>
      </w:r>
      <w:hyperlink w:anchor="page25">
        <w:r>
          <w:rPr>
            <w:rFonts w:ascii="Arial" w:cs="Arial" w:eastAsia="Arial" w:hAnsi="Arial"/>
            <w:sz w:val="18"/>
            <w:szCs w:val="18"/>
            <w:u w:val="single" w:color="auto"/>
            <w:color w:val="0000FF"/>
          </w:rPr>
          <w:t>Note 7</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Unaudited Condensed Consolidated Financial Statements included in Part I, Item 1 of this report.</w:t>
      </w:r>
    </w:p>
    <w:p>
      <w:pPr>
        <w:spacing w:after="0" w:line="124" w:lineRule="exact"/>
        <w:rPr>
          <w:sz w:val="20"/>
          <w:szCs w:val="20"/>
          <w:color w:val="auto"/>
        </w:rPr>
      </w:pPr>
    </w:p>
    <w:p>
      <w:pPr>
        <w:ind w:right="160" w:firstLine="324"/>
        <w:spacing w:after="0" w:line="238" w:lineRule="auto"/>
        <w:rPr>
          <w:sz w:val="20"/>
          <w:szCs w:val="20"/>
          <w:color w:val="auto"/>
        </w:rPr>
      </w:pPr>
      <w:r>
        <w:rPr>
          <w:rFonts w:ascii="Arial" w:cs="Arial" w:eastAsia="Arial" w:hAnsi="Arial"/>
          <w:sz w:val="18"/>
          <w:szCs w:val="18"/>
          <w:color w:val="auto"/>
        </w:rPr>
        <w:t>Concurrently with the effectiveness of the 2020 Credit Agreement, on April 21, 2020, we terminated the $6.0 million revolving credit facility and $20.0 million term loan facility with Silicon Valley Bank (the “SVB Credit Facilities”), and the $5.0 million equipment loan facility with Structural Capital Investments II, LP, as Lender, and Ocean II, PLC, LLC, as collateral agent and administrative agent (the “Equipment Loan Facility”), and incurred an aggregate of $1.2 million of termination, prepayment, and related fees in connection with such terminations.</w:t>
      </w:r>
    </w:p>
    <w:p>
      <w:pPr>
        <w:spacing w:after="0" w:line="151" w:lineRule="exact"/>
        <w:rPr>
          <w:sz w:val="20"/>
          <w:szCs w:val="20"/>
          <w:color w:val="auto"/>
        </w:rPr>
      </w:pPr>
    </w:p>
    <w:p>
      <w:pPr>
        <w:ind w:right="600" w:firstLine="324"/>
        <w:spacing w:after="0" w:line="238" w:lineRule="auto"/>
        <w:rPr>
          <w:sz w:val="20"/>
          <w:szCs w:val="20"/>
          <w:color w:val="auto"/>
        </w:rPr>
      </w:pPr>
      <w:r>
        <w:rPr>
          <w:rFonts w:ascii="Arial" w:cs="Arial" w:eastAsia="Arial" w:hAnsi="Arial"/>
          <w:sz w:val="18"/>
          <w:szCs w:val="18"/>
          <w:color w:val="auto"/>
        </w:rPr>
        <w:t>As of September 26, 2020, we had outstanding borrowings of $50.0 million and $100.0 million in excess availability (excluding the accordion feature) under the revolving credit facility (subject to limitations in order to comply with our quarterly financial maintenance covenants). The interest rate on outstanding borrowings at September 26, 2020 was 3.5%. We were in compliance with the financial covenants in the 2020 Credit Agreement for the fiscal quarter ended September 26, 2020.</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w:t>
      </w:r>
    </w:p>
    <w:p>
      <w:pPr>
        <w:spacing w:after="0" w:line="193"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Our primary cash needs are for operating expenses, working capital and capital expenditures to support the growth in our business. Prior to our IPO, we financed our operations through private sales of equity securities and through sales of our products. Since our inception and through our IPO, we raised a total of $199.5 million from the sale of convertible preferred stock, including through sales of convertible notes which were converted into preferred stock, net of costs associated with such financings. In connection with our IPO, we sold an aggregate of 11,068,750 shares of our common stock, at a public offering price of $25.00 per share and received approximately $252.4 million in net proceeds.</w:t>
      </w:r>
    </w:p>
    <w:p>
      <w:pPr>
        <w:spacing w:after="0" w:line="151" w:lineRule="exact"/>
        <w:rPr>
          <w:sz w:val="20"/>
          <w:szCs w:val="20"/>
          <w:color w:val="auto"/>
        </w:rPr>
      </w:pPr>
    </w:p>
    <w:p>
      <w:pPr>
        <w:ind w:right="120" w:firstLine="324"/>
        <w:spacing w:after="0"/>
        <w:rPr>
          <w:sz w:val="20"/>
          <w:szCs w:val="20"/>
          <w:color w:val="auto"/>
        </w:rPr>
      </w:pPr>
      <w:r>
        <w:rPr>
          <w:rFonts w:ascii="Arial" w:cs="Arial" w:eastAsia="Arial" w:hAnsi="Arial"/>
          <w:sz w:val="18"/>
          <w:szCs w:val="18"/>
          <w:color w:val="auto"/>
        </w:rPr>
        <w:t>In connection with the Secondary Offering we sold 250,000 shares of our common stock. The shares were sold at a public offering price of $160.00 per share and we received net proceeds of approximately $37.4 million. We did not receive any proceeds from the sale of common stock by the selling stockholders in the Secondary Offering.</w:t>
      </w:r>
    </w:p>
    <w:p>
      <w:pPr>
        <w:spacing w:after="0" w:line="149"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As of September 26, 2020, we had $214.6 million in cash and cash equivalents. We believe that our cash and cash equivalents, cash flow from operating activities and available borrowings under our 2020 Credit Agreement will be sufficient to fund our working capital and meet our anticipated capital requirements for the next 12 months. Additionally, we may also raise funds by issuing debt or equity securities. Our future capital requirements may vary materially from those currently planned and will depend on many factors, including the impact of the COVID-19 global pandemic; the number and characteristics of any additional products or manufacturing processes we develop or acquire to serve new or existing markets; the expenses associated with our marketing initiatives; our investment in manufacturing and facilities to expand our manufacturing and production capacity; the costs required to fund domestic and international growth; the scope, progress, results and costs of researching and developing future products or improvements to existing products or manufacturing processes; any lawsuits related to our products or commenced against us, including the costs associated with our current litigation with a former co-manufacturer, the putative class action cases recently brought against us, and the shareholder derivative lawsuits putatively brought on our behalf; the expenses needed to attract and retain skilled personnel; the costs associated with being a public company; the costs involved in preparing, filing, prosecuting, maintaining, defending and enforcing intellectual property claims, including litigation costs and the outcome of such litigation; and the timing, receipt and amount of sales of, or royalties on, any future approved products, if any.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ind w:right="560" w:firstLine="324"/>
        <w:spacing w:after="0" w:line="256" w:lineRule="auto"/>
        <w:rPr>
          <w:sz w:val="20"/>
          <w:szCs w:val="20"/>
          <w:color w:val="auto"/>
        </w:rPr>
      </w:pPr>
      <w:r>
        <w:rPr>
          <w:rFonts w:ascii="Arial" w:cs="Arial" w:eastAsia="Arial" w:hAnsi="Arial"/>
          <w:sz w:val="18"/>
          <w:szCs w:val="18"/>
          <w:color w:val="auto"/>
        </w:rPr>
        <w:t>In the nine months ended September 26, 2020, approximately $ 90.6 million in aggregate expenditures to purchase inventory and property, plant and equipment were funded by net borrowings (after extinguishing prior credit facilities) of $17.8 million, $61.2 million of existing cash, and approximately $11.6 million from other operating, investing and financing activities.</w:t>
      </w:r>
    </w:p>
    <w:p>
      <w:pPr>
        <w:spacing w:after="0" w:line="148"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following table presents the major components of net cash flows used in and provided by operating, investing and financing activities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5" w:name="page56"/>
    <w:bookmarkEnd w:id="55"/>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ind w:left="8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3"/>
                <w:szCs w:val="13"/>
                <w:color w:val="auto"/>
              </w:rPr>
            </w:pPr>
          </w:p>
        </w:tc>
        <w:tc>
          <w:tcPr>
            <w:tcW w:w="170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rPr>
              <w:t>September 26,</w:t>
            </w:r>
          </w:p>
        </w:tc>
        <w:tc>
          <w:tcPr>
            <w:tcW w:w="240" w:type="dxa"/>
            <w:vAlign w:val="bottom"/>
          </w:tcPr>
          <w:p>
            <w:pPr>
              <w:spacing w:after="0"/>
              <w:rPr>
                <w:sz w:val="13"/>
                <w:szCs w:val="13"/>
                <w:color w:val="auto"/>
              </w:rPr>
            </w:pPr>
          </w:p>
        </w:tc>
        <w:tc>
          <w:tcPr>
            <w:tcW w:w="1580" w:type="dxa"/>
            <w:vAlign w:val="bottom"/>
          </w:tcPr>
          <w:p>
            <w:pPr>
              <w:jc w:val="right"/>
              <w:ind w:right="274"/>
              <w:spacing w:after="0" w:line="158" w:lineRule="exact"/>
              <w:rPr>
                <w:sz w:val="20"/>
                <w:szCs w:val="20"/>
                <w:color w:val="auto"/>
              </w:rPr>
            </w:pPr>
            <w:r>
              <w:rPr>
                <w:rFonts w:ascii="Arial" w:cs="Arial" w:eastAsia="Arial" w:hAnsi="Arial"/>
                <w:sz w:val="16"/>
                <w:szCs w:val="16"/>
                <w:b w:val="1"/>
                <w:bCs w:val="1"/>
                <w:color w:val="auto"/>
              </w:rPr>
              <w:t>September 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ind w:right="635"/>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ind w:right="654"/>
              <w:spacing w:after="0" w:line="175"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provided by:</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2"/>
          </w:tcPr>
          <w:p>
            <w:pPr>
              <w:ind w:left="10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ind w:left="900"/>
              <w:spacing w:after="0"/>
              <w:rPr>
                <w:sz w:val="20"/>
                <w:szCs w:val="20"/>
                <w:color w:val="auto"/>
              </w:rPr>
            </w:pPr>
            <w:r>
              <w:rPr>
                <w:rFonts w:ascii="Arial" w:cs="Arial" w:eastAsia="Arial" w:hAnsi="Arial"/>
                <w:sz w:val="18"/>
                <w:szCs w:val="18"/>
                <w:color w:val="auto"/>
                <w:w w:val="98"/>
              </w:rPr>
              <w:t>(42,737)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(18,339)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8"/>
              </w:rPr>
              <w:t>(39,746)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21,279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293,672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nine months ended September 26, 2020, we incurred a net loss of $27.7 million. The primary reason for net cash used in operating activities of $42.7 million was $48.2 million in net cash outflows from changes in our operating assets and liabilities, primarily due to the increase in raw materials inventory resulting from pea protein isolate received pursuant to agreed upon delivery schedules to meet our anticipated product demand. The cash outflows from increase in inventory were partially offset by the increase in accounts payable. Net loss in the nine months ended September 26, 2020, included $ 33.2 million in non-cash expenses primarily comprised of share-based compensation expense and depreciation and amortization expense.</w:t>
      </w:r>
    </w:p>
    <w:p>
      <w:pPr>
        <w:spacing w:after="0" w:line="154"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 xml:space="preserve">In the nine months ended September 28, 2019, we incurred a net loss of $12.0 million. </w:t>
      </w:r>
      <w:r>
        <w:rPr>
          <w:rFonts w:ascii="Arial" w:cs="Arial" w:eastAsia="Arial" w:hAnsi="Arial"/>
          <w:sz w:val="18"/>
          <w:szCs w:val="18"/>
          <w:color w:val="212529"/>
        </w:rPr>
        <w:t>The primary reason for net cash used in operating</w:t>
      </w:r>
      <w:r>
        <w:rPr>
          <w:rFonts w:ascii="Arial" w:cs="Arial" w:eastAsia="Arial" w:hAnsi="Arial"/>
          <w:sz w:val="18"/>
          <w:szCs w:val="18"/>
          <w:color w:val="auto"/>
        </w:rPr>
        <w:t xml:space="preserve"> </w:t>
      </w:r>
      <w:r>
        <w:rPr>
          <w:rFonts w:ascii="Arial" w:cs="Arial" w:eastAsia="Arial" w:hAnsi="Arial"/>
          <w:sz w:val="18"/>
          <w:szCs w:val="18"/>
          <w:color w:val="212529"/>
        </w:rPr>
        <w:t xml:space="preserve">activities of </w:t>
      </w:r>
      <w:r>
        <w:rPr>
          <w:rFonts w:ascii="Arial" w:cs="Arial" w:eastAsia="Arial" w:hAnsi="Arial"/>
          <w:sz w:val="18"/>
          <w:szCs w:val="18"/>
          <w:color w:val="000000"/>
        </w:rPr>
        <w:t>$18.3 million</w:t>
      </w:r>
      <w:r>
        <w:rPr>
          <w:rFonts w:ascii="Arial" w:cs="Arial" w:eastAsia="Arial" w:hAnsi="Arial"/>
          <w:sz w:val="18"/>
          <w:szCs w:val="18"/>
          <w:color w:val="212529"/>
        </w:rPr>
        <w:t xml:space="preserve"> was </w:t>
      </w:r>
      <w:r>
        <w:rPr>
          <w:rFonts w:ascii="Arial" w:cs="Arial" w:eastAsia="Arial" w:hAnsi="Arial"/>
          <w:sz w:val="18"/>
          <w:szCs w:val="18"/>
          <w:color w:val="000000"/>
        </w:rPr>
        <w:t>$30.8 million</w:t>
      </w:r>
      <w:r>
        <w:rPr>
          <w:rFonts w:ascii="Arial" w:cs="Arial" w:eastAsia="Arial" w:hAnsi="Arial"/>
          <w:sz w:val="18"/>
          <w:szCs w:val="18"/>
          <w:color w:val="212529"/>
        </w:rPr>
        <w:t xml:space="preserve"> in net cash outflows from changes in our operating assets and liabilities, primarily due to increases in accounts receivable and inventory. Net loss in the nine months ended </w:t>
      </w:r>
      <w:r>
        <w:rPr>
          <w:rFonts w:ascii="Arial" w:cs="Arial" w:eastAsia="Arial" w:hAnsi="Arial"/>
          <w:sz w:val="18"/>
          <w:szCs w:val="18"/>
          <w:color w:val="000000"/>
        </w:rPr>
        <w:t>September 28, 2019</w:t>
      </w:r>
      <w:r>
        <w:rPr>
          <w:rFonts w:ascii="Arial" w:cs="Arial" w:eastAsia="Arial" w:hAnsi="Arial"/>
          <w:sz w:val="18"/>
          <w:szCs w:val="18"/>
          <w:color w:val="212529"/>
        </w:rPr>
        <w:t xml:space="preserve">, included </w:t>
      </w:r>
      <w:r>
        <w:rPr>
          <w:rFonts w:ascii="Arial" w:cs="Arial" w:eastAsia="Arial" w:hAnsi="Arial"/>
          <w:sz w:val="18"/>
          <w:szCs w:val="18"/>
          <w:color w:val="000000"/>
        </w:rPr>
        <w:t>$24.4 million in non-cash</w:t>
      </w:r>
      <w:r>
        <w:rPr>
          <w:rFonts w:ascii="Arial" w:cs="Arial" w:eastAsia="Arial" w:hAnsi="Arial"/>
          <w:sz w:val="18"/>
          <w:szCs w:val="18"/>
          <w:color w:val="212529"/>
        </w:rPr>
        <w:t xml:space="preserve"> </w:t>
      </w:r>
      <w:r>
        <w:rPr>
          <w:rFonts w:ascii="Arial" w:cs="Arial" w:eastAsia="Arial" w:hAnsi="Arial"/>
          <w:sz w:val="18"/>
          <w:szCs w:val="18"/>
          <w:color w:val="000000"/>
        </w:rPr>
        <w:t xml:space="preserve">expenses comprised of </w:t>
      </w:r>
      <w:r>
        <w:rPr>
          <w:rFonts w:ascii="Arial" w:cs="Arial" w:eastAsia="Arial" w:hAnsi="Arial"/>
          <w:sz w:val="18"/>
          <w:szCs w:val="18"/>
          <w:color w:val="212529"/>
        </w:rPr>
        <w:t>change in warrant liability, depreciation and amortization expense, and share-based compensation expense.</w:t>
      </w:r>
    </w:p>
    <w:p>
      <w:pPr>
        <w:spacing w:after="0" w:line="151" w:lineRule="exact"/>
        <w:rPr>
          <w:sz w:val="20"/>
          <w:szCs w:val="20"/>
          <w:color w:val="auto"/>
        </w:rPr>
      </w:pPr>
    </w:p>
    <w:p>
      <w:pPr>
        <w:ind w:right="1040" w:firstLine="324"/>
        <w:spacing w:after="0" w:line="261" w:lineRule="auto"/>
        <w:rPr>
          <w:sz w:val="20"/>
          <w:szCs w:val="20"/>
          <w:color w:val="auto"/>
        </w:rPr>
      </w:pPr>
      <w:r>
        <w:rPr>
          <w:rFonts w:ascii="Arial" w:cs="Arial" w:eastAsia="Arial" w:hAnsi="Arial"/>
          <w:sz w:val="18"/>
          <w:szCs w:val="18"/>
          <w:color w:val="auto"/>
        </w:rPr>
        <w:t>Depreciation and amortization expense was $9.3 million and $6.0 million in the nine months ended September 26, 2020 and September 28, 2019, respectively.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3"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Net cash used in investing activities primarily relates to capital expenditures to support our growth and investment in property, plant and equipment.</w:t>
      </w:r>
    </w:p>
    <w:p>
      <w:pPr>
        <w:spacing w:after="0" w:line="144" w:lineRule="exact"/>
        <w:rPr>
          <w:sz w:val="20"/>
          <w:szCs w:val="20"/>
          <w:color w:val="auto"/>
        </w:rPr>
      </w:pPr>
    </w:p>
    <w:p>
      <w:pPr>
        <w:ind w:right="240" w:firstLine="324"/>
        <w:spacing w:after="0" w:line="237" w:lineRule="auto"/>
        <w:rPr>
          <w:sz w:val="20"/>
          <w:szCs w:val="20"/>
          <w:color w:val="auto"/>
        </w:rPr>
      </w:pPr>
      <w:r>
        <w:rPr>
          <w:rFonts w:ascii="Arial" w:cs="Arial" w:eastAsia="Arial" w:hAnsi="Arial"/>
          <w:sz w:val="18"/>
          <w:szCs w:val="18"/>
          <w:color w:val="auto"/>
        </w:rPr>
        <w:t>In the nine months ended September 26, 2020, net cash used in investing activities was $39.7 million and consisted of $38.0 million in cash outflows for purchases of property, plant and equipment, primarily driven by continued investments in production equipment and facilities related to our capacity expansion initiatives and international expansion, including the acquisition of a manufacturing facility in Europe located in Enschede, the Netherlands, which is expected to be operational by the end of 2020, and $2.3 million in cash outflows related to property, plant and equipment purchased for sale to co-manufacturers partially offset by $0.6 million in cash received from co-manufacturers for equipment purchases.</w:t>
      </w:r>
    </w:p>
    <w:p>
      <w:pPr>
        <w:spacing w:after="0" w:line="151" w:lineRule="exact"/>
        <w:rPr>
          <w:sz w:val="20"/>
          <w:szCs w:val="20"/>
          <w:color w:val="auto"/>
        </w:rPr>
      </w:pPr>
    </w:p>
    <w:p>
      <w:pPr>
        <w:ind w:right="340" w:firstLine="324"/>
        <w:spacing w:after="0" w:line="238" w:lineRule="auto"/>
        <w:rPr>
          <w:sz w:val="20"/>
          <w:szCs w:val="20"/>
          <w:color w:val="auto"/>
        </w:rPr>
      </w:pPr>
      <w:r>
        <w:rPr>
          <w:rFonts w:ascii="Arial" w:cs="Arial" w:eastAsia="Arial" w:hAnsi="Arial"/>
          <w:sz w:val="18"/>
          <w:szCs w:val="18"/>
          <w:color w:val="auto"/>
        </w:rPr>
        <w:t>In the nine months ended September 28, 2019, net cash used in investing activities was $17.2 million and consisted of $9.5 million in cash outflows for purchases of property, plant and equipment, primarily for manufacturing facility improvements and manufacturing equipment, $7.4 million in cash outflows related to property, plant and equipment purchased for sale to co-manufacturers and security deposits.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the nine months ended September 26, 2020, net cash provided by financing activities was $21.3 million primarily from net borrowings (after extinguishing prior credit facilities) of $17.8 million on our revolving credit facility and $6.5 million in proceeds from stock option exercises, partially offset by debt issuance costs of $1.2 million associated with our new revolving credit facility, debt extinguishment costs of $1.2 million associated with our refinanced credit arrangements, $1.7 million in payments of minimum withholding taxes on net share settlement of equity awards, and payments under finance lease obligations.</w:t>
      </w:r>
    </w:p>
    <w:p>
      <w:pPr>
        <w:spacing w:after="0" w:line="151"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In the nine months ended September 28, 2019, net cash provided by financing activities was $293.7 million primarily as a result of $254.9 million in net proceeds from our IPO, net of issuance costs, $37.9 million in net proceeds to us from the Secondary Offering, net of issuance costs and $0.9 million in proceeds from stock option exercises, partially offset by $31,000 in payments under capital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significant changes during the nine months ended September 26, 2020 to the contractual obligations disclosed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set forth in the 2019 10-K, other than the following:</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93" w:lineRule="exact"/>
        <w:rPr>
          <w:sz w:val="20"/>
          <w:szCs w:val="20"/>
          <w:color w:val="auto"/>
        </w:rPr>
      </w:pPr>
    </w:p>
    <w:p>
      <w:pPr>
        <w:ind w:right="340" w:firstLine="324"/>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On April 21, 2020, we entered into the 2020 Credit Agreement. Concurrently with the effectiveness of the 2020 Credit Agreement, on April 21, 2020, we terminated the SVB Credit Facilities and the Equipment Loan Facility, paying off an aggregate of $31.0 million in loan balances. See </w:t>
      </w:r>
      <w:hyperlink w:anchor="page25">
        <w:r>
          <w:rPr>
            <w:rFonts w:ascii="Arial" w:cs="Arial" w:eastAsia="Arial" w:hAnsi="Arial"/>
            <w:sz w:val="18"/>
            <w:szCs w:val="18"/>
            <w:u w:val="single" w:color="auto"/>
            <w:color w:val="0000FF"/>
          </w:rPr>
          <w:t>Note 7</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Notes to Unaudited Condensed Consolidated Financial Statements included in Part I, Item 1 of this report.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66"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On January 1, 2020, we adopted ASU 2016-02 using the modified retrospective approach, which permits application of this new guidance at the beginning of the period of adoption, with comparative periods continuing to be reported under ASC 840. Upon adoption of ASU 2016-02, we recognized operating lease right-of-use assets of $11.9 million adjusted for $0.3 million previously recorded as deferred rent and $0.2 million previously recorded as prepaid rent on our condensed consolidated balance sheets.</w:t>
      </w:r>
    </w:p>
    <w:p>
      <w:pPr>
        <w:spacing w:after="0" w:line="15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part of this adoption, we elected to not record operating lease right-of-use assets or operating lease liabilities for leases with an initial term of 12 months or less. We elected to separate the lease and non-lease components on all new or modified operating leases for the co-manufacturing class of assets for the purpose of recording operating lease right-of-use assets and operating lease liabilities and to combine lease and non-lease components on all new or modified operating leases into a single lease component for all other classes of assets. Short-term lease payments for the three and nine months ended September 26, 2020 totaled $0.1 million and $0.3 million, respectively.</w:t>
      </w:r>
    </w:p>
    <w:p>
      <w:pPr>
        <w:spacing w:after="0" w:line="151"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As of September 26, 2020, we had recorded $13.7 million in operating lease right-of-use assets, $2.5 million in current operating lease liabilities and $11.4 million in operating lease liabilities, net of current portion.</w:t>
      </w:r>
    </w:p>
    <w:p>
      <w:pPr>
        <w:spacing w:after="0" w:line="144" w:lineRule="exact"/>
        <w:rPr>
          <w:sz w:val="20"/>
          <w:szCs w:val="20"/>
          <w:color w:val="auto"/>
        </w:rPr>
      </w:pPr>
    </w:p>
    <w:p>
      <w:pPr>
        <w:ind w:right="60" w:firstLine="324"/>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During the nine months ended September 26, 2020, we amended two operating leases for our manufacturing facilities in Columbia, Missouri, one to extend the lease term by two years and another to include land adjacent to the facility upon which the landlord will construct a parking lot. We also assumed an operating lease under which we are leasing certain real property and a building consisting of approximately 142,317 square feet in Columbia, Missouri, for a term expiring on April 30, 2023 with no renewal options. See </w:t>
      </w:r>
      <w:hyperlink w:anchor="page20">
        <w:r>
          <w:rPr>
            <w:rFonts w:ascii="Arial" w:cs="Arial" w:eastAsia="Arial" w:hAnsi="Arial"/>
            <w:sz w:val="18"/>
            <w:szCs w:val="18"/>
            <w:u w:val="single" w:color="auto"/>
            <w:color w:val="0000FF"/>
          </w:rPr>
          <w:t>Note 4</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the Notes to Unaudited Condensed Consolidated Financial Statements included in Part I, Item 1 of this report.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166" w:lineRule="exact"/>
        <w:rPr>
          <w:sz w:val="20"/>
          <w:szCs w:val="20"/>
          <w:color w:val="auto"/>
        </w:rPr>
      </w:pPr>
    </w:p>
    <w:p>
      <w:pPr>
        <w:ind w:right="80" w:firstLine="324"/>
        <w:spacing w:after="0" w:line="236" w:lineRule="auto"/>
        <w:rPr>
          <w:sz w:val="20"/>
          <w:szCs w:val="20"/>
          <w:color w:val="auto"/>
        </w:rPr>
      </w:pPr>
      <w:r>
        <w:rPr>
          <w:rFonts w:ascii="Arial" w:cs="Arial" w:eastAsia="Arial" w:hAnsi="Arial"/>
          <w:sz w:val="18"/>
          <w:szCs w:val="18"/>
          <w:color w:val="auto"/>
        </w:rPr>
        <w:t>On September 22, 2020, we and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we have agreed to guarantee certain repayment obligations of BYND JX under such agreement. During Phase 1, the Company has agreed to invest $ 10.0 million in the JXEDZ through an intercompany investment in BYND JX and BYND JX has agreed to lease a facility in the JXEDZ for a minimum of two (2) years. In connection with such agreement, BYND JX entered into a factory leasing contract as of September 11, 2020 with an affiliate of the JX Committee, pursuant to which BYND JX has agreed to lease and renovate a facility in the JXEDZ for a minimum of two (2) years. In the event that the Company and BYND JX determine, in their sole discretion, to proceed with the Phase 2 development in the JXEDZ, BYND JX has agreed in the first stage of Phase 2 to invest $30.0 million to acquire the land use right to a state-owned land plot in the JXEDZ to conduct development and construction of a new production facility. Following the first stage of Phase 2, the Company and BYND JX may determine, in their sole discretion, to permit BYND JX to invest an additional $10.0 million to obtain a second state-owned land plot in the JXEDZ in order to construct an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ind w:right="400"/>
        <w:spacing w:after="0" w:line="267" w:lineRule="auto"/>
        <w:rPr>
          <w:rFonts w:ascii="Arial" w:cs="Arial" w:eastAsia="Arial" w:hAnsi="Arial"/>
          <w:sz w:val="18"/>
          <w:szCs w:val="18"/>
          <w:color w:val="auto"/>
        </w:rPr>
      </w:pPr>
      <w:r>
        <w:rPr>
          <w:rFonts w:ascii="Arial" w:cs="Arial" w:eastAsia="Arial" w:hAnsi="Arial"/>
          <w:sz w:val="18"/>
          <w:szCs w:val="18"/>
          <w:color w:val="auto"/>
        </w:rPr>
        <w:t xml:space="preserve">additional facility thereon. See </w:t>
      </w:r>
      <w:hyperlink w:anchor="page31">
        <w:r>
          <w:rPr>
            <w:rFonts w:ascii="Arial" w:cs="Arial" w:eastAsia="Arial" w:hAnsi="Arial"/>
            <w:sz w:val="18"/>
            <w:szCs w:val="18"/>
            <w:u w:val="single" w:color="auto"/>
            <w:color w:val="0000FF"/>
          </w:rPr>
          <w:t>Note 10</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Notes to Unaudited Condensed Consolidated Financial Statements included in Part I, Item 1 of this report.</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On January 10, 2020, we and Roquette Frères (“Roquette”) entered into a multi-year sales agreement pursuant to which Roquette will provide us with plant-based protein. The agreement expires on December 31, 2022; however it can be terminated after 18 months under certain circumstances. This agreement increases the amount of plant-based protein to be supplied by Roquette in each of 2020, 2021 and 2022 compared to the amount supplied 2019. The plant-based protein sourced under the supply agreement is secured on a purchase order basis regularly, per specified minimum monthly and semi-annual quantities, throughout the term. We are not required to purchase plant-based protein in amounts in excess of such specified minimum quantities; however, we have the option to increase such minimum quantities for delivery in each of 2021 and 2022. The total annual amount purchased each year by us must be at least the minimum amount specified in the agreement, which totals in the aggregate $154.1 million over the term of the agreement. We also have the right to be indemnified by Roquette in certain circumstances.</w:t>
      </w:r>
    </w:p>
    <w:p>
      <w:pPr>
        <w:spacing w:after="0" w:line="15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As of September 26, 2020, we had committed to purchase pea protein inventory totaling $177.5 million, approximately $36.9 million in the remainder of 2020, $ 82.1 million in 2021, and $58.5 million in 2022. In addition, as of September 26, 2020, we had approximately $19.3 million in purchase order commitments for capital expenditures primarily to purchase machinery and equipment. Payments for these purchases will be due within twelve months. W</w:t>
      </w:r>
      <w:r>
        <w:rPr>
          <w:rFonts w:ascii="Arial" w:cs="Arial" w:eastAsia="Arial" w:hAnsi="Arial"/>
          <w:sz w:val="18"/>
          <w:szCs w:val="18"/>
          <w:color w:val="222222"/>
        </w:rPr>
        <w:t>e intend to use cash from operations to fund these purchase commitments.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 or any holdings in variable interest entities.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154" w:lineRule="exact"/>
        <w:rPr>
          <w:sz w:val="20"/>
          <w:szCs w:val="20"/>
          <w:color w:val="auto"/>
        </w:rPr>
      </w:pPr>
    </w:p>
    <w:p>
      <w:pPr>
        <w:ind w:right="520" w:firstLine="324"/>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 xml:space="preserve">There have been no material changes in our critical accounting policies during the three months ended September 26, 2020, as compared to those disclosed in the </w:t>
      </w:r>
      <w:r>
        <w:rPr>
          <w:rFonts w:ascii="Arial" w:cs="Arial" w:eastAsia="Arial" w:hAnsi="Arial"/>
          <w:sz w:val="18"/>
          <w:szCs w:val="18"/>
          <w:i w:val="1"/>
          <w:iCs w:val="1"/>
          <w:color w:val="auto"/>
        </w:rPr>
        <w:t>“Management’s Discussion and Analysis of Financial Condition and Results of Operations—Critical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 the 2019 10-K other than as described in</w:t>
      </w:r>
      <w:r>
        <w:rPr>
          <w:rFonts w:ascii="Arial" w:cs="Arial" w:eastAsia="Arial" w:hAnsi="Arial"/>
          <w:sz w:val="18"/>
          <w:szCs w:val="18"/>
          <w:i w:val="1"/>
          <w:iCs w:val="1"/>
          <w:color w:val="auto"/>
        </w:rPr>
        <w:t xml:space="preserve"> </w:t>
      </w:r>
      <w:hyperlink w:anchor="page15">
        <w:r>
          <w:rPr>
            <w:rFonts w:ascii="Arial" w:cs="Arial" w:eastAsia="Arial" w:hAnsi="Arial"/>
            <w:sz w:val="18"/>
            <w:szCs w:val="18"/>
            <w:u w:val="single" w:color="auto"/>
            <w:color w:val="0000FF"/>
          </w:rPr>
          <w:t>Note 2</w:t>
        </w:r>
      </w:hyperlink>
      <w:r>
        <w:rPr>
          <w:rFonts w:ascii="Arial" w:cs="Arial" w:eastAsia="Arial" w:hAnsi="Arial"/>
          <w:sz w:val="18"/>
          <w:szCs w:val="18"/>
          <w:color w:val="auto"/>
        </w:rPr>
        <w:t>,</w:t>
      </w: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to the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Unaudited Condensed Consolidated Financial Statements included in Part I, Item 1 of this report.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are an “emerging growth company” (“EGC”) as defined in the Jumpstart Our Business Startups Act (the “JOBS Act”). As an EGC, the JOBS Act allows us to delay adoption of new or revised accounting pronouncements applicable to public companies until such pronouncements are made applicable to private companies. We will no longer qualify as an EGC as of the end of the fiscal year ending December 31, 2020, when we become a Large Accelerated Filer under Rule 12b-2 of the Securities Exchange Act of 1934, as amended (the “Exchange Act”). Therefore, we have elected to use the adoption dates applicable to public companies beginning in the first quarter of 2020. For as long as we continue to be an EGC, we intend to take advantage of certain other exemptions from various reporting requirements that are applicable to other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8" w:name="page59"/>
    <w:bookmarkEnd w:id="58"/>
    <w:p>
      <w:pPr>
        <w:spacing w:after="0" w:line="254" w:lineRule="auto"/>
        <w:rPr>
          <w:sz w:val="20"/>
          <w:szCs w:val="20"/>
          <w:color w:val="auto"/>
        </w:rPr>
      </w:pPr>
      <w:r>
        <w:rPr>
          <w:rFonts w:ascii="Arial" w:cs="Arial" w:eastAsia="Arial" w:hAnsi="Arial"/>
          <w:sz w:val="18"/>
          <w:szCs w:val="18"/>
          <w:color w:val="auto"/>
        </w:rPr>
        <w:t>companies that are not emerging growth companies, including, but not limited to, not being required to comply with the auditor attestation requirements of Section 404 of the Sarbanes-Oxley Act, reduced disclosure obligations regarding executive compensation and exemptions from the requirements of holding non-binding advisory votes on executive compensation and stockholder approval of any golden parachute payments not previously approved.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60" w:firstLine="324"/>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Please refer to </w:t>
      </w:r>
      <w:hyperlink w:anchor="page15">
        <w:r>
          <w:rPr>
            <w:rFonts w:ascii="Arial" w:cs="Arial" w:eastAsia="Arial" w:hAnsi="Arial"/>
            <w:sz w:val="18"/>
            <w:szCs w:val="18"/>
            <w:u w:val="single" w:color="auto"/>
            <w:color w:val="0000FF"/>
          </w:rPr>
          <w:t>Note 2</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the Notes to Unaudited Condensed Consolidated Financial Statements included in Part I, Item 1 of this report for a discussion of recently adopted accounting pronouncements and new accounting pronouncements that may impact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435" w:right="5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We are exposed to certain market risks in the ordinary course of our business, including fluctuations in interest rates, raw material prices, foreign currency exchange fluctuations, and inflation as follows: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3"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Our cash consists of amounts held by third-party financial institutions. In May 2019, upon closing of our IPO, we adopted an investment policy which has as its primary objective investment activities which preserve principal without significantly increasing risk.</w:t>
      </w:r>
    </w:p>
    <w:p>
      <w:pPr>
        <w:spacing w:after="0" w:line="14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are subject to interest rate risk in connection with our borrowings under credit facilities. Borrowings under the 2020 Credit Agreement bear interest, at the Company’s option, calculated according to an Alternate Base Rate or LIBO Rate, as the case may be, plus an applicable margin. Until the delivery to the Administrative Agent of the Company’s consolidated financial information for the fiscal quarter ended September 26, 2020, the applicable margin was 1.5% per annum for Alternate Base Rate loans and 2.5% per annum for LIBO Rate loans. Thereafter, the applicable margin for Alternate Base Rate loans will range from 1.25% to 1.75% per annum, and the applicable margin for LIBO Rate loans will range from 2.25% to 2.75% per annum, in each case, based on the Company’s total leverage ratio at the end of each quarter. In addition, we are required to pay an unused commitment fee of 0.375% per annum, which shall accrue at the applicable rate on the daily amount of the undrawn portion of the commitment of each Lender, and fees relating to the issuance of letters of credit.</w:t>
      </w:r>
    </w:p>
    <w:p>
      <w:pPr>
        <w:spacing w:after="0" w:line="15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of September 26, 2020, we had outstanding borrowings of $50.0 million and $100.0 million in excess availability (excluding the accordion feature) under the revolving credit facility (subject to limitations in order to comply with our quarterly financial maintenance covenants). The interest rate on outstanding borrowings at September 26, 2020 was 3.5%. Based on the average interest rate on our 2020 Credit Agreement and to the extent that borrowings were outstanding, we do not believe that a 1.0% change in the interest rate would have a material effect on our results of operations or financial condition.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Ingredient Risk</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are exposed to risk related to the price and availability of our ingredients because our profitability is dependent on, among other things, our ability to anticipate and react to raw material and food costs. Currently, the main ingredient in our products is pea protein, which is sourced from peas grown in the United States, France and Canada. The prices of pea protein and other ingredients we use are subject to many factors beyond our control, such as the number and size of farms that grow yellow peas, the vagaries of these farming businesses, including poor harvests due to adverse weather conditions, natural disasters and pestilence, and changes in national and world economic conditions, including as a result of the COVID-19 pandemic. In addition, we purchase some ingredients and other materials offshore, and the price and availability of such ingredients and materials may be affected by political events or other conditions in these countries or tariffs or trade wars.</w:t>
      </w:r>
    </w:p>
    <w:p>
      <w:pPr>
        <w:spacing w:after="0" w:line="151" w:lineRule="exact"/>
        <w:rPr>
          <w:sz w:val="20"/>
          <w:szCs w:val="20"/>
          <w:color w:val="auto"/>
        </w:rPr>
      </w:pPr>
    </w:p>
    <w:p>
      <w:pPr>
        <w:ind w:right="8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During the three and nine months ended September 26, 2020, a hypothetical 10% increase or 10% decrease in the weighted-average cost of pea protein, our primary ingredient, would have resulted in an increase of approximately $ 0.8 million and $2.4 million, respectively, or a decrease of approximately $0.8 million and $2.4 million, respectively, to cost of goods sold. We are working to diversify our sources of supply and intend to enter into long-term contracts to better ensure stability of prices of our raw materials. In the nine months ended September 26, 2020, we entered into a multi-year sales agreement with Roquette for the supply of pea protein. See </w:t>
      </w:r>
      <w:hyperlink w:anchor="page31">
        <w:r>
          <w:rPr>
            <w:rFonts w:ascii="Arial" w:cs="Arial" w:eastAsia="Arial" w:hAnsi="Arial"/>
            <w:sz w:val="18"/>
            <w:szCs w:val="18"/>
            <w:u w:val="single" w:color="auto"/>
            <w:color w:val="0000FF"/>
          </w:rPr>
          <w:t>Note 10</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to the Notes to Unaudited Condensed Consolidated Financial Statements included in Part I, Item 1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93"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We are exposed to foreign currency risks that arise from normal business operations. These risks include the translation of local currency balances of foreign subsidiaries, transaction gains and losses associated with intercompany loans with foreign subsidiaries and transactions denominated in currencies other than a location's functional currency. Our foreign entities use their local currency as the functional currency. For these entities, we translate net assets into U.S. dollars at period end exchange rates, while revenue and expense accounts are translated at average exchange rates prevailing during the periods being reported. Resulting currency translation adjustments are included in accumulated other comprehensive income and foreign currency transaction gains and losses are included in other, net. Transaction gains and losses on long-term intra-entity transactions are recorded as a component of other comprehensive income. Transactions denominated in a currency other than the reporting entity’s functional currency may give rise to transaction gains and losses that impact our results of operations.</w:t>
      </w:r>
    </w:p>
    <w:p>
      <w:pPr>
        <w:spacing w:after="0" w:line="153"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Unrealized translation gains, net of tax, reported as cumulative translation adjustments through other comprehensive income were $0.5 million as of September 26, 2020. Foreign currency transaction (losses) gains included in other, net were $(15,000) and $0.1 million during the three and nine months ended September 26, 2020, respectively.</w:t>
      </w:r>
    </w:p>
    <w:p>
      <w:pPr>
        <w:spacing w:after="0" w:line="148" w:lineRule="exact"/>
        <w:rPr>
          <w:sz w:val="20"/>
          <w:szCs w:val="20"/>
          <w:color w:val="auto"/>
        </w:rPr>
      </w:pPr>
    </w:p>
    <w:p>
      <w:pPr>
        <w:ind w:left="340" w:right="1760"/>
        <w:spacing w:after="0" w:line="438" w:lineRule="auto"/>
        <w:rPr>
          <w:sz w:val="20"/>
          <w:szCs w:val="20"/>
          <w:color w:val="auto"/>
        </w:rPr>
      </w:pPr>
      <w:r>
        <w:rPr>
          <w:rFonts w:ascii="Arial" w:cs="Arial" w:eastAsia="Arial" w:hAnsi="Arial"/>
          <w:sz w:val="18"/>
          <w:szCs w:val="18"/>
          <w:color w:val="auto"/>
        </w:rPr>
        <w:t xml:space="preserve">Sensitivity to foreign currency exchange rates was not material as of September 26, 2020 and December 31, 2019. </w:t>
      </w:r>
      <w:r>
        <w:rPr>
          <w:rFonts w:ascii="Arial" w:cs="Arial" w:eastAsia="Arial" w:hAnsi="Arial"/>
          <w:sz w:val="18"/>
          <w:szCs w:val="18"/>
          <w:b w:val="1"/>
          <w:bCs w:val="1"/>
          <w:i w:val="1"/>
          <w:iCs w:val="1"/>
          <w:color w:val="auto"/>
        </w:rPr>
        <w:t>Inflation Risk</w:t>
      </w:r>
    </w:p>
    <w:p>
      <w:pPr>
        <w:spacing w:after="0" w:line="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26, 2020 that have materially affected, or are reasonably likely to materially affect, our internal control over financial reporting.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are subject to various legal proceedings and claims that arise in the ordinary course of our business. The Company establishes an accrued liability for legal matters when those matters present loss contingencies that are both probable and estimable. Although the outcome of these and other claims cannot be predicted with certainty, management is not currently able to estimate the reasonable possible amount of loss or range of loss and does not believe that it is probable that the ultimate resolution of the current matters will have a material adverse effect on our business, financial condition, results of operations or cash flows. However, the final results of any current or future proceeding cannot be predicted with certainty, and until there is final resolution on any such matter that we may be required to accrue for, we may be exposed to loss in excess of the amount accrued. Regardless of the outcome, litigation can have an adverse impact on us because of defense and settlement costs, diversion of management resources, and other factors.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12529"/>
        </w:rPr>
        <w:t>Don Lee Farms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On May 25, 2017, Don Lee Farms, a division of Goodman Food Products, Inc., filed a complaint against us in the Superior Court of the State of California for the County of Los Angeles asserting claims for breach of contract, misappropriation of trade secrets, unfair competition under the California Business and Professions Code, money owed and due, declaratory relief and injunctive relief, each arising out of our decision to terminate an exclusive supply agreement between us and Don Lee Farms. We denied all of these claims and filed counterclaims on July 27, 2017, alleging breach of contract, unfair competition under the California Business and Professions Code and conversion. In October 2018, Don Lee Farms filed an amended complaint that added ProPortion Foods, LLC (one of Beyond Meat’s current contract manufacturers) as a defendant, principally for claims arising from ProPortion’s alleged use of Don Lee Farms’ alleged trade secrets, and for replacing Don Lee Farms as one of Beyond Meat’s current co-manufacturers. ProPortion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us. On May 30, 2019, the judge denied our motion to dismiss the fraud and negligent misrepresentation claims, allowing the claims to proceed. On June 19, 2019, the Company filed an answer denying Don Lee Farms' claims.</w:t>
      </w:r>
    </w:p>
    <w:p>
      <w:pPr>
        <w:spacing w:after="0" w:line="15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On January 24, 2020, a writ judge granted Don Lee Farms a right to attach in the amount of $628,689 on the grounds that Don Lee Farms had established a “probable validity” of its claim that we owe it money for a small batch of unpaid invoices. This determination was not made by the trial judge. The trial judge has yet to determine the legitimacy or merits of Don Lee Farms’ claims.</w:t>
      </w:r>
    </w:p>
    <w:p>
      <w:pPr>
        <w:spacing w:after="0" w:line="148"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On January 27, 2020, Don Lee Farms filed a third amended complaint to add three individual defendants, all of whom are current or former employees of ours, including Mark Nelson, our Chief Financial Officer and Treasurer, to Don Lee Farms’ existing fraud and negligent misrepresentation claims alleging that those individuals were involved in the alleged fraud and negligent misrepresentations. On June 23, 2020, the judge denied Beyond Meat and the individual defendants’ motion to dismiss the fraud and negligent misrepresentation claims, allowing the claims to proceed. On July 6, 2020, the Company and the individual defendants filed an answer denying all of Don Lee Farms’ claims, including denying all allegations of fraud and negligent misrepresentation.</w:t>
      </w:r>
    </w:p>
    <w:p>
      <w:pPr>
        <w:spacing w:after="0" w:line="15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On August 11, 2020, the Company filed an amended cross-complaint against Don Lee Farms, its parent Goodman Food Products, Inc., and its owners and employees, Donald, Daniel, and Brandon Goodman. Among other claims, the amended cross-complaint alleges that Don Lee Farms defrauded Beyond Meat, misappropriated its trade secrets, and infringed its trademarks.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previous trial date, February 8, 2021, was vacated. Trial is currently set for June 14, 2021.</w:t>
      </w:r>
    </w:p>
    <w:p>
      <w:pPr>
        <w:spacing w:after="0" w:line="17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Don Lee Farms is seeking from Beyond Meat, the individual defendants, and ProPortion unspecified compensatory and punitive damages, declaratory and injunctive relief, including the prohibition of Beyond Meat’s use or disclosure of the alleged trade secrets, and attorneys’ fees and costs. We are seeking from Don Lee Farms monetary damages, restitution of monies paid to Don Lee Farms, injunctive relief,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3" w:name="page64"/>
    <w:bookmarkEnd w:id="63"/>
    <w:p>
      <w:pPr>
        <w:ind w:right="220"/>
        <w:spacing w:after="0" w:line="256" w:lineRule="auto"/>
        <w:rPr>
          <w:sz w:val="20"/>
          <w:szCs w:val="20"/>
          <w:color w:val="auto"/>
        </w:rPr>
      </w:pPr>
      <w:r>
        <w:rPr>
          <w:rFonts w:ascii="Arial" w:cs="Arial" w:eastAsia="Arial" w:hAnsi="Arial"/>
          <w:sz w:val="18"/>
          <w:szCs w:val="18"/>
          <w:color w:val="auto"/>
        </w:rPr>
        <w:t>prohibition of Don Lee Farms’ use or disclosure of Beyond Meat’s trade secrets and the prohibition of Don Lee Farms’ infringing use of Beyond Meat’s trademarks, and attorneys’ fees and costs. ProPortion is seeking indemnity, contribution, or repayment from us of any or all damages that ProPortion may be found liable to Don Lee Farms, and attorneys’ fees and costs.</w:t>
      </w:r>
    </w:p>
    <w:p>
      <w:pPr>
        <w:spacing w:after="0" w:line="14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believe we were justified in terminating the supply agreement with Don Lee Farms, that we did not misappropriate Don Lee Farms’ alleged trade secrets, that we are not liable for the fraud or negligent misrepresentation alleged in the third amended complaint, that Don Lee Farms is liable for the conduct alleged in our amended cross-complaint, and that we are not liable to ProPortion for any indemnity, contribution, or repayment, including for any damages or attorneys’ fees and costs. Conversely, as alleged in the Company’s amended cross-complaint, we believe Don Lee Farms misappropriated our trade secrets, defrauded us, and ultimately has infringed our trademarks.</w:t>
      </w:r>
    </w:p>
    <w:p>
      <w:pPr>
        <w:spacing w:after="0" w:line="15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are currently in the process of litigating this matter and intend to vigorously defend ourselves and our current and former employees against the claims and to prosecute our own claims. We cannot assure you that Don Lee Farms or ProPortion will not prevail in all or some of their claims against us or the individual defendants,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and Don Lee Farms could also claim some ownership in the intellectual property associated with the production of certain of our products or in the products themselves, and thus claim a stake in the value we have derived and will derive from the use of that intellectual property after we terminated our supply agreement with Don Lee Farms. Based on our current knowledge, we have determined that the amount of any material loss or range of any losses that is reasonably possible to result from this lawsuit is not estimable.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12529"/>
        </w:rPr>
        <w:t>Securities Related Litigation</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On January 30, 2020, Larry Tran, a purported shareholder of Beyond Meat, filed a putative securities class action lawsuit in the United States District Court for the Central District of California against Beyond Meat and two of our executive officers, our President and CEO, Ethan Brown, and our Chief Financial Officer and Treasurer, Mark Nelson. The lawsuit asserts claims under Sections 10(b) and 20(a) of the Exchange Act, and is premised on allegedly false or misleading statements, and alleged non-disclosure of material facts, related to our public disclosures regarding our ongoing litigation with Don Lee Farms during the proposed class period of May 2, 2019 to January 27, 2020. The Court appointed a lead plaintiff and lead counsel on May 18, 2020, and a First Amended Complaint (“FAC”) was filed on July 1, 2020. The FAC names the same defendants, proposes the same class period, and similarly asserts claims under Sections 10(b) and 20(a) of the Exchange Act premised on allegedly false or misleading statements, and alleged non-disclosure of material facts, related to the Company’s public disclosures regarding the Company’s ongoing litigation with Don Lee Farms. We filed a motion to dismiss on behalf of all defendants on July 31, 2020. On October 8, 2020, the Court entered an opinion and order granting defendants’ motion to dismiss with leave to amend. Plaintiffs did not file an amended complaint by the deadline set by the Court. As a result, on October 27, 2020, the Court entered an order dismissing the action with prejudice, except for the class allegations of absent putative class members, which were dismissed without prejudice. The dismissal is final pending appeal. We believe the claims are without merit and intend to vigorously defend all claims asserted.</w:t>
      </w:r>
    </w:p>
    <w:p>
      <w:pPr>
        <w:spacing w:after="0" w:line="15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On March 16, 2020, Eric Weiner, a purported shareholder of Beyond Meat, filed a shareholder derivative lawsuit in the United States District Court for the Central District of California, putatively on behalf of the Company, against two of our executive officers, our President and CEO, Ethan Brown, and our Chief Financial Officer and Treasurer, Mark Nelson, and each of our directors, including one former director, who signed our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our ongoing litigation with Don Lee Farms, related actions taken by Beyond Meat and the named individuals during the period of May 2, 2019 to March 16, 2020, and the securities case brought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64" w:name="page65"/>
    <w:bookmarkEnd w:id="64"/>
    <w:p>
      <w:pPr>
        <w:ind w:right="120" w:firstLine="324"/>
        <w:spacing w:after="0" w:line="252" w:lineRule="auto"/>
        <w:rPr>
          <w:sz w:val="20"/>
          <w:szCs w:val="20"/>
          <w:color w:val="auto"/>
        </w:rPr>
      </w:pPr>
      <w:r>
        <w:rPr>
          <w:rFonts w:ascii="Arial" w:cs="Arial" w:eastAsia="Arial" w:hAnsi="Arial"/>
          <w:sz w:val="18"/>
          <w:szCs w:val="18"/>
          <w:color w:val="auto"/>
        </w:rPr>
        <w:t>On March 18, 2020, Kimberly Brink and Melvyn Klein, purported shareholders of Beyond Meat, filed a shareholder derivative lawsuit in the United States District Court for the Central District of California, putatively on behalf of the Company, against two of our executive officers, our President and CEO, Ethan Brown, and our Chief Financial Officer and Treasurer, Mark Nelson, and each of our directors, including one former director, who signed our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our ongoing litigation with Don Lee Farms, related actions taken by Beyond Meat and the named individuals during the period of May 2, 2019 to March 18, 2020, and the securities case brought against us.</w:t>
      </w:r>
    </w:p>
    <w:p>
      <w:pPr>
        <w:spacing w:after="0" w:line="15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On April 1, 2020, the United States District Court for the Central District of California entered an order consolidating the Weiner action and the Brink action for all purposes and designated the consolidated case In re: Beyond Meat, Inc. Derivative Litigation. On April 13, 2020, the Court entered an order appointing co-lead counsel for the consolidated derivative action. On June 23, 2020, the Court entered an order approving a Joint Stipulation Regarding Stay of Actions. Under the terms of the stay approval order, all proceedings in the consolidated derivative case are stayed until (1) the securities class action is dismissed, with prejudice, and all appeals related thereto have been exhausted; or (2) any motion to dismiss the securities class action is denied in whole or in part. Based on the early stages of this matter, we are unable to estimate potential losses, if any, related to this lawsuit.</w:t>
      </w:r>
    </w:p>
    <w:p>
      <w:pPr>
        <w:spacing w:after="0" w:line="15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On May 27, 2020, Kevin Chew, a purported shareholder of Beyond Meat, filed a shareholder derivative lawsuit in the United States District Court of the District of Delaware, putatively on behalf of the Company, against two of the Company’s executive officers, the Company’s President and CEO, Ethan Brown, and the Company’s Chief Financial Officer and Treasurer, Mark Nelson, and each of the Company’s directors, including one former director, who signed the Company’s initial public offering registration statement. The lawsuit asserts claims under Sections 10(b) and 21D of the Exchange Act and claims of breaches of fiduciary duty, relating to the Company’s ongoing litigation with Don Lee Farms, related actions taken by Beyond Meat and the named individuals during the period of May 2, 2019 to May 27, 2020. On June 16, 2020, the Court entered an order staying all proceedings in the derivative action until (1) the securities class action is dismissed, with prejudice, and all appeals related thereto have been exhausted; or (2) any motion to dismiss the securities class action is denied in whole or in part. On June 17, 2020, the Court entered an order administratively closing the derivative case based on the stay order. Based on the early stages of this matter, the Company is unable to estimate potential losses, if any, related to this lawsuit.</w:t>
      </w:r>
    </w:p>
    <w:p>
      <w:pPr>
        <w:spacing w:after="0" w:line="15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On June 17, 2020, James Janolek, a purported shareholder of Beyond Meat, filed a shareholder derivative lawsuit in the United States District Court of the District of Delaware, putatively on behalf of the Company, against two of the Company’s executive officers, the Company’s President and CEO, Ethan Brown, and the Company’s Chief Financial Officer and Treasurer, Mark Nelson, and each of the Company’s directors, including one former director, who signed the Company’s initial public offering registration statement. The lawsuit asserts claims under Sections 14(a) and 20(a) of the Exchange Act, claims of breaches of fiduciary duty as directors and/or officers of Beyond Meat, and claims of unjust enrichment and waste of corporate assets, all relating to the Company’s ongoing litigation with Don Lee Farms, related actions taken by Beyond Meat and the named individuals during the period of May 2, 2019 to June 17, 2020. On July 10, 2020, the Court entered an order staying all proceedings in the derivative action until (1) the securities class action is dismissed, with prejudice, and all appeals related thereto have been exhausted; or (2) any motion to dismiss the securities class action is denied in whole or in part. On July 10, 2020, the Court entered an order administratively closing the derivative case based on the stay order. On November 9, 2020, Plaintiff filed a Notice of Voluntary Dismissal without prejudice and without costs or attorney fees to either party. Based on the early stages of this matter, the Company is unable to estimate potential losses, if any, related to this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35"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2019 Form 10-K, as updated and supplemented below and in subsequent filings. These risk factors could materially harm our business, operating results and financial condition. Additional factors and uncertainties not currently known to us or that we currently consider immaterial also may materially adversely affect our business, financial condition or future results.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Our Brand, and Our Products</w:t>
      </w:r>
    </w:p>
    <w:p>
      <w:pPr>
        <w:spacing w:after="0" w:line="225"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b w:val="1"/>
          <w:bCs w:val="1"/>
          <w:i w:val="1"/>
          <w:iCs w:val="1"/>
          <w:color w:val="auto"/>
        </w:rPr>
        <w:t>The COVID-19 pandemic has had, and we expect will continue to have, certain negative impacts on our business, and such impacts have had, and are expected to continue to have a material adverse impact on our business, results of operations, financial condition and cash flows.</w:t>
      </w:r>
    </w:p>
    <w:p>
      <w:pPr>
        <w:spacing w:after="0" w:line="139"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The global spread and unprecedented impact of the ongoing COVID-19 pandemic continues to create significant volatility, uncertainty and economic disruption. The pandemic has led governments and other authorities around the world to implement significant measures intended to control the spread of the virus, including shelter-in-place orders, social distancing measures, business closures or restrictions on operations, quarantines, travel bans, and restrictions and multi-step policies with the goal of re-opening these markets. While some of these restrictions have been lifted or eased in many jurisdictions as the rates of COVID-19 infections have decreased or stabilized, a resurgence of the pandemic in some markets has slowed, halted or reversed the reopening process altogether. Most recently, as the number of COVID cases has dramatically spiked in parts of the United States and European Union, certain jurisdictions have reinstated restrictive measures, including, among other things, restaurant and bar closures or prohibitions on indoor dining, shelter-in-place orders and limitations on social gatherings. If COVID-19 infection trends continue to reverse and the pandemic intensifies and expands geographically, its negative impacts on our business, particularly on our net revenues in our foodservice channel, our operating expenses, gross profit and gross margin, and our sales could be more prolonged and may become more severe. Even if not required by governments and other authorities, companies are also taking precautions, such as requiring employees to work remotely, imposing travel restrictions, reducing operating hours, imposing operating restrictions and temporarily closing businesses. These continuing restrictions, and future prevention, mitigation measures, and multi-step reopening policies imposed by governments and companies, are likely to continue to have an adverse impact on global economic conditions and consumer confidence and spending (including as a result of lower discretionary income due to unemployment or reduced or limited work as a result of measures taken in response to the pandemic), which has had, and is expected to continue to have, a material adverse impact on the demand for our products, particularly in our foodservice channel, and could materially adversely affect the supply of our products. Sustained market turmoil and business disruption due to the COVID-19 pandemic have negatively impacted and are expected to continue to negatively impact our business, results of operations, financial condition and cash flows.</w:t>
      </w:r>
    </w:p>
    <w:p>
      <w:pPr>
        <w:spacing w:after="0" w:line="15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COVID-19 pandemic has impacted our business operations and customer and consumer demand. The governors of many states, as well as certain governments abroad, have temporarily closed bars and restaurants or limited or prohibited indoor dining, and limited the operations of many of our foodservice customers. Although certain of these restrictions have begun to be lifted pursuant to multi-step reopening plans and carve-outs to these restrictions to allow for carry-out and delivery have enabled certain of our customers to continue to generate business, we experienced a significant deterioration in sales to foodservice customers as domestic and international stay-at-home orders became and remained more widespread. For example, in the three months ended June 27, 2020 and March 28, 2020, we generated total foodservice channel net revenues of $13.7 million and $41.2 million, respectively, a decrease of 66.7%. For the three months ended September 26, 2020, we generated total foodservice revenue of $24.4 million compared to $41.5 million in the prior year period, a decrease of 41.2%. Such closures or scaled back operations have also resulted in delays in tests or launches of our products among our foodservice customers and negatively impacted the rate of our growth. Even after these restrictions are lifted, demand from our foodservice customers may continue to be negatively impacted due to continuing consumer concerns regarding the risk of COVID-19 transmission, decreased consumer confidence and spending, and changes in consumer habits, among other things. Additionally, such restrictions have been and may continue to be re-implemented as transmission rates of the COVID-19 virus have increased in numerous jurisdictions, particularly in the United States and European Union.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66" w:name="page67"/>
    <w:bookmarkEnd w:id="66"/>
    <w:p>
      <w:pPr>
        <w:jc w:val="both"/>
        <w:ind w:right="140"/>
        <w:spacing w:after="0" w:line="256" w:lineRule="auto"/>
        <w:rPr>
          <w:sz w:val="20"/>
          <w:szCs w:val="20"/>
          <w:color w:val="auto"/>
        </w:rPr>
      </w:pPr>
      <w:r>
        <w:rPr>
          <w:rFonts w:ascii="Arial" w:cs="Arial" w:eastAsia="Arial" w:hAnsi="Arial"/>
          <w:sz w:val="18"/>
          <w:szCs w:val="18"/>
          <w:color w:val="auto"/>
        </w:rPr>
        <w:t>environment remains highly uncertain and it is unclear how long it will take for foodservice demand to return to pre-pandemic levels, if at all. We expect revenues in our foodservice channel will continue to be significantly negatively impacted through at least the remainder of 2020, and likely into 2021.</w:t>
      </w:r>
    </w:p>
    <w:p>
      <w:pPr>
        <w:spacing w:after="0" w:line="14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While we initially experienced an increase in retail demand during the second quarter as consumers shifted toward more at-home consumption, the level of retail demand meaningfully slowed during the third quarter. For example, for the three months ended September 26, 2020 and June 27, 2020, we generated retail channel net revenues of $70.0 million and $99.6 million, respectively, a decrease of 29.7%. As COVID-19 rates surge in numerous regions of the world, the environment is continuously evolving and remains highly uncertain. It is, therefore, difficult to predict retail demand levels going forward. Additionally, we could suffer product inventory losses or markdowns and lost revenue in the event of the loss or a shutdown of a major supplier, co-manufacturer or distributor, disruption of our distribution network, or decreased consumer confidence and spending. We also have been providing heavier discounting on some of our products in response to the pandemic. Although these actions are intended to build brand awareness and increase consumer trials of our products, they have and are likely to continue to have a negative to impact on our gross profit and gross margin in the near term. While we have experienced an increase in demand in our retail channel since the pandemic began, such increased sale levels did not fully offset the decline in sales to foodservice customers in the third quarter of 2020. We expect that retail channel sales levels likely will not fully offset the decline in sales to foodservice customers while COVID-19 restrictions remain in effect and potentially beyond.</w:t>
      </w:r>
    </w:p>
    <w:p>
      <w:pPr>
        <w:spacing w:after="0" w:line="156" w:lineRule="exact"/>
        <w:rPr>
          <w:sz w:val="20"/>
          <w:szCs w:val="20"/>
          <w:color w:val="auto"/>
        </w:rPr>
      </w:pPr>
    </w:p>
    <w:p>
      <w:pPr>
        <w:ind w:right="80" w:firstLine="324"/>
        <w:spacing w:after="0" w:line="259" w:lineRule="auto"/>
        <w:rPr>
          <w:sz w:val="20"/>
          <w:szCs w:val="20"/>
          <w:color w:val="auto"/>
        </w:rPr>
      </w:pPr>
      <w:r>
        <w:rPr>
          <w:rFonts w:ascii="Arial" w:cs="Arial" w:eastAsia="Arial" w:hAnsi="Arial"/>
          <w:sz w:val="17"/>
          <w:szCs w:val="17"/>
          <w:color w:val="auto"/>
        </w:rPr>
        <w:t>We source ingredients from multiple suppliers around the world. Currently, the principal ingredient in most of our products is pea protein. Given that we scaled back our production in response to the COVID-19 pandemic and to reduce our existing finished goods and work in process inventory levels, we have seen an increase in our pea protein stocks. However, in light of the expected shelf life of our pea protein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raw materials, we do not believe there is a risk of inventory obsolescence of these raw materials at this time. The impact of COVID-19 on any of our suppliers, co-manufacturers, distributors or transportation or logistics providers, including problems with their respective businesses, finances, labor matters (including illness or absenteeism in workforce), ability to import raw materials, product quality issues, costs, production, insurance and reputation, may negatively affect the price and availability of our ingredients and/or packaging materials and impact our supply chain.If the disruptions caused by COVID-19 continue for an extended period of time or there are one or more resurgences of COVID-19, our ability to meet the demands of our customers may be materially impacted.</w:t>
      </w:r>
    </w:p>
    <w:p>
      <w:pPr>
        <w:spacing w:after="0" w:line="230"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Additionally, we operate two production facilities in Columbia, Missouri where we produce our woven protein. We also operate our Manhattan Beach Project Innovation Center, where our teams of scientists and engineers work to create new products and make improvements to existing products. Subsequent to the quarter ended September 26, 2020, on October 30, 2020, we acquired certain assets including land, building, vehicles, machinery and equipment, and certain workforce from one of our former co-manufacturers. We intend to use this manufacturing facility for the production of our finished goods. We have implemented and continue to practice a series of physical distancing and hygienic practices at these facilities. If we are forced to make further modifications, scale back hours of production or close these facilities in response to the pandemic, we expect our business, results of operations, financial condition and cash flows would be materially adversely affected. Moreover, we have transitioned a significant subset of our office-based employee population to a remote work environment in an effort to mitigate the spread of COVID-19, which may exacerbate certain risks to our business, including cybersecurity attacks and risk of phishing due to an increase in the number of points of potential attack, such as laptops and mobile devices (both of which are now being used in increased numbers). In the event that an employee tests positive for COVID-19, we may have to temporarily close one or more of our facilities for cleaning and/or quarantine one or more employees, which could negatively impact our financial results.</w:t>
      </w:r>
    </w:p>
    <w:p>
      <w:pPr>
        <w:spacing w:after="0" w:line="231" w:lineRule="exact"/>
        <w:rPr>
          <w:sz w:val="20"/>
          <w:szCs w:val="20"/>
          <w:color w:val="auto"/>
        </w:rPr>
      </w:pPr>
    </w:p>
    <w:p>
      <w:pPr>
        <w:ind w:right="240" w:firstLine="324"/>
        <w:spacing w:after="0" w:line="238" w:lineRule="auto"/>
        <w:rPr>
          <w:sz w:val="20"/>
          <w:szCs w:val="20"/>
          <w:color w:val="auto"/>
        </w:rPr>
      </w:pPr>
      <w:r>
        <w:rPr>
          <w:rFonts w:ascii="Arial" w:cs="Arial" w:eastAsia="Arial" w:hAnsi="Arial"/>
          <w:sz w:val="18"/>
          <w:szCs w:val="18"/>
          <w:color w:val="auto"/>
        </w:rPr>
        <w:t>Part of our growth strategy includes increasing the number of international customers and expanding into additional geographies. For example, we have announced several new partnerships in China. We are also exploring adding co-manufacturing partners and production facilities abroad, including in Asia. The timing and success of our international expansion with respect to customers, co-manufacturing partners and/or production facilities, especially in China and other parts of Asia, may be negatively impacted by COVID-19, which could impede our anticipated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35" w:right="359" w:bottom="1440" w:gutter="0" w:footer="0" w:header="0"/>
        </w:sectPr>
      </w:pPr>
    </w:p>
    <w:bookmarkStart w:id="67" w:name="page68"/>
    <w:bookmarkEnd w:id="67"/>
    <w:p>
      <w:pPr>
        <w:ind w:right="100" w:firstLine="324"/>
        <w:spacing w:after="0" w:line="238" w:lineRule="auto"/>
        <w:rPr>
          <w:sz w:val="20"/>
          <w:szCs w:val="20"/>
          <w:color w:val="auto"/>
        </w:rPr>
      </w:pPr>
      <w:r>
        <w:rPr>
          <w:rFonts w:ascii="Arial" w:cs="Arial" w:eastAsia="Arial" w:hAnsi="Arial"/>
          <w:sz w:val="18"/>
          <w:szCs w:val="18"/>
          <w:color w:val="auto"/>
        </w:rPr>
        <w:t>Additionally, the COVID-19 pandemic has created significant disruptions in the credit and financial markets, which could adversely affect our ability to access capital on favorable terms or at all. On April 21, 2020, we entered into a $150 million five-year secured revolving credit agreement. However, we may be unable to borrow these funds if a deterioration in our financial condition prohibits us from satisfying certain conditions, including the financial covenants, in the 2020 Credit Agreement, or if one or more lenders refuses or fails to fund its financing commitment to us.</w:t>
      </w:r>
    </w:p>
    <w:p>
      <w:pPr>
        <w:spacing w:after="0" w:line="229"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The extent of COVID-19’s effect on our operational and financial performance will depend on future developments, including the duration, spread and intensity of the pandemic (including any resurgences), all of which are uncertain and difficult to predict considering the rapidly evolving landscape. Furthermore, the uncertainty created by COVID-19 significantly increases the difficulty in forecasting operating results and of strategic planning. As a result, it is not currently possible to ascertain the overall impact of COVID-19 on our business. However, the pandemic has had and may continue to have a material adverse impact on our business, results of operations, financial condition and cash flows and adversely impact the trading price of our common stock. The impact of COVID-19 may also heighten other risks discussed in Part I, Item 1A, “Risk Factors” in our 2019 Form 10-K, and Part II, Item 1A, “Risk Factors” and “Note Regarding Forward-Looking Statements” included in this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Proceedings</w:t>
      </w:r>
    </w:p>
    <w:p>
      <w:pPr>
        <w:spacing w:after="0" w:line="225"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12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Don Lee Farms</w:t>
      </w:r>
    </w:p>
    <w:p>
      <w:pPr>
        <w:spacing w:after="0" w:line="18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For example, on May 25, 2017, following our termination of our supply agreement with Don Lee Farms, a former co-manufacturer, Don Lee Farms filed a lawsuit against us in California state court claiming, among other things, that we wrongfully terminated the parties’ contract and that we misappropriated their trade secrets principally by sharing with subsequent co-manufacturers the processes for manufacturing our products—processes which they claim to have developed.</w:t>
      </w:r>
    </w:p>
    <w:p>
      <w:pPr>
        <w:spacing w:after="0" w:line="150"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On July 27, 2017 we filed a cross-complaint, alleging that Don Lee Farms (1) breached the supply agreement, including by failing to provide salable product, as certain of our products manufactured by Don Lee Farms were contaminated with salmonella and other foreign objects, and that Don Lee Farms did not take appropriate actions to address these issues; (2) engaged in unfair competition in violation of California’s Unfair Competition Law; and (3) unlawfully converted certain Beyond Meat property, including certain pieces of equipment. In October 2018, Don Lee Farms filed an amended complaint that added ProPortion Foods, LLC (one of Beyond Meat’s current contract manufacturers) as a defendant, principally for claims arising from ProPortion’s alleged use of Don Lee Farms’ alleged trade secrets, and for replacing Don Lee Farms as one of Beyond Meat’s current co-manufacturers. ProPortion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us. On May 30, 2019, the judge denied our motion to dismiss the fraud and negligent misrepresentation claims, allowing the claims to proceed. On June 19, 2019, we filed an answer denying Don Lee Farms' claims.</w:t>
      </w:r>
    </w:p>
    <w:p>
      <w:pPr>
        <w:spacing w:after="0" w:line="15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On January 24, 2020, a writ judge granted Don Lee Farms a right to attach in the amount of $628,689 on the grounds that Don Lee Farms had established a “probable validity” of its claim that we owe it money for a small batch of unpaid invoices. This determination was not made by the trial judge. The trial judge has yet to determine the legitimacy or merits of Don Lee Farms’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68" w:name="page69"/>
    <w:bookmarkEnd w:id="68"/>
    <w:p>
      <w:pPr>
        <w:ind w:right="160" w:firstLine="324"/>
        <w:spacing w:after="0" w:line="252" w:lineRule="auto"/>
        <w:rPr>
          <w:sz w:val="20"/>
          <w:szCs w:val="20"/>
          <w:color w:val="auto"/>
        </w:rPr>
      </w:pPr>
      <w:r>
        <w:rPr>
          <w:rFonts w:ascii="Arial" w:cs="Arial" w:eastAsia="Arial" w:hAnsi="Arial"/>
          <w:sz w:val="18"/>
          <w:szCs w:val="18"/>
          <w:color w:val="auto"/>
        </w:rPr>
        <w:t>On January 27, 2020, Don Lee Farms filed a third amended complaint to add three individual defendants, all of whom are current or former employees of ours, including Mark Nelson, our Chief Financial Officer and Treasurer, to Don Lee Farms’ existing fraud and negligent misrepresentation claims alleging that those individuals were involved in the alleged fraud and negligent misrepresentations. On June 23, 2020, the judge denied Beyond Meat and the individual defendants’ motion to dismiss the fraud and negligent misrepresentation claims, allowing the claims to proceed. On July 6, 2020, the Company and the individual defendants filed an answer denying all of Don Lee Farms’ claims, including denying all allegations of fraud and negligent misrepresentation.</w:t>
      </w:r>
    </w:p>
    <w:p>
      <w:pPr>
        <w:spacing w:after="0" w:line="154"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On August 11, 2020, Beyond Meat filed an amended cross-complaint against Don Lee Farms, its parent Goodman Food Products, Inc., and its owners and employees, Donald, Daniel, and Brandon Goodman. Among other claims, the amended cross-complaint alleges that Don Lee Farms defrauded Beyond Meat, misappropriated its trade secrets, and infringed its trademarks.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previous trial date, February 8, 2021, has been vacated. Trial is currently set for June 14, 2021.</w:t>
      </w:r>
    </w:p>
    <w:p>
      <w:pPr>
        <w:spacing w:after="0" w:line="17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Don Lee Farms is seeking from us, the individual defendants, and ProPortion unspecified compensatory and punitive damages, declaratory and injunctive relief, including the prohibition of our use or disclosure of the alleged trade secrets, and attorneys’ fees and costs. We are seeking from Don Lee Farms monetary damages, restitution of monies paid to Don Lee Farms, injunctive relief, including the prohibition of Don Lee Farms’ use or disclosure of Beyond Meat’s trade secrets and the prohibition of Don Lee Farms’ infringing use of Beyond Meat’s trademarks, attorneys’ fees and costs. ProPortion is seeking indemnity, contribution, or repayment from us of any or all damages that ProPortion may be found liable to Don Lee Farms, and attorneys’ fees and costs.</w:t>
      </w:r>
    </w:p>
    <w:p>
      <w:pPr>
        <w:spacing w:after="0" w:line="15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believe we were justified in terminating the supply agreement with Don Lee Farms, that we did not misappropriate Don Lee Farms’ alleged trade secrets, that we are not liable for the fraud or negligent misrepresentation alleged in the third amended complaint, that Don Lee Farms is liable for the conduct alleged in our amended cross-complaint, and that we are not liable to ProPortion for any indemnity, contribution, or repayment, including for any damages or attorneys’ fees and costs.</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intend to vigorously defend ourselves and our current and former employees against the claims and prosecute our own. However, we cannot assure you that Don Lee Farms or ProPortion will not prevail in all or some of their claims against us or the individual defendants,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and Don Lee Farms could also claim some ownership in the intellectual property associated with the production of certain of our products or in the products themselves, and thus claim a stake in the value we have derived and will derive from the use of that intellectual property after we terminated our supply agreement with Don Lee Farms. As another example, we also could be required to pay attorneys’ fees and costs incurred by Don Lee Farms or ProPortion.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Securities Related Litigation</w:t>
      </w:r>
    </w:p>
    <w:p>
      <w:pPr>
        <w:spacing w:after="0" w:line="189"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On January 30, 2020, Larry Tran, a purported shareholder of Beyond Meat, filed a putative securities class action lawsuit in the United States District Court for the Central District of California against Beyond Meat and two of our executive officers, our President and CEO, Ethan Brown, and our Chief Financial Officer and Treasurer, Mark Nelson. The lawsuit asserts claims under Sections 10(b) and 20(a) of the Exchange Act and is premised on allegedly false or misleading statements, and alleged non-disclosure of material facts, related to our public disclosures regarding our ongoing litigation with Don Lee Farms during the proposed class period of May 2, 2019 to January 27, 2020. The Court appointed a lead plaintiff and lead counsel on May 18, 2020, and a First Amended Complaint (“FAC”) was filed on July 1, 2020. The FAC names the same defendants, proposes the same class period, and similarly asserts claims under Sections 10(b) and 20(a) of the Exchange Act premised on allegedly false or misleading statements, and alleged non-disclosure of material facts, related to our public disclosures regarding our ongoing litigation with Don Lee Farms. We filed a motion to dismiss on behalf of all defendants on July 31, 2020. On October 8, 2020, the Court entered an opinion and order granting defendants’ motion to dismiss with leave to amend. Plaintiffs did not file an amended complaint by the deadline set by the Court. As a result, on October 27, 2020, the Court entered an order dismissing the action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69" w:name="page70"/>
    <w:bookmarkEnd w:id="69"/>
    <w:p>
      <w:pPr>
        <w:ind w:right="160"/>
        <w:spacing w:after="0" w:line="261" w:lineRule="auto"/>
        <w:rPr>
          <w:sz w:val="20"/>
          <w:szCs w:val="20"/>
          <w:color w:val="auto"/>
        </w:rPr>
      </w:pPr>
      <w:r>
        <w:rPr>
          <w:rFonts w:ascii="Arial" w:cs="Arial" w:eastAsia="Arial" w:hAnsi="Arial"/>
          <w:sz w:val="18"/>
          <w:szCs w:val="18"/>
          <w:color w:val="auto"/>
        </w:rPr>
        <w:t>prejudice, except for the class allegations of absent putative class members, which were dismissed without prejudice. The dismissal is final pending appeal. We believe the claims are without merit and intend to vigorously defend all claims asserted.</w:t>
      </w:r>
    </w:p>
    <w:p>
      <w:pPr>
        <w:spacing w:after="0" w:line="14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On March 16, 2020, Eric Weiner, a purported shareholder of Beyond Meat, filed a shareholder derivative lawsuit in the United States District Court for the Central District of California, putatively on behalf of the Company, against two of our executive officers, our President and CEO, Ethan Brown, and our Chief Financial Officer and Treasurer, Mark Nelson, and each of our directors, including one former director, who signed our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our ongoing litigation with Don Lee Farms, related actions taken by Beyond Meat and the named individuals during the period of May 2, 2019 to March 16, 2020, and the securities case brought against us.</w:t>
      </w:r>
    </w:p>
    <w:p>
      <w:pPr>
        <w:spacing w:after="0" w:line="15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On March 18, 2020, Kimberly Brink and Melvyn Klein, purported shareholders of Beyond Meat, filed a shareholder derivative lawsuit in the United States District Court for the Central District of California, putatively on behalf of the Company, against two of our executive officers, our President and CEO, Ethan Brown, and our Chief Financial Officer and Treasurer, Mark Nelson, and each of our directors who signed our initial public offering registration statement. The lawsuit asserts claims under Sections 10(b) and 21D of the Exchange Act, claims of breaches of fiduciary duty as directors and/or officers of Beyond Meat, and claims of unjust enrichment and waste of corporate assets, all relating to our ongoing litigation with Don Lee Farms, related actions taken by Beyond Meat and the named individuals during the period of May 2, 2019 to March 18, 2020, and the securities case brought against us.</w:t>
      </w:r>
    </w:p>
    <w:p>
      <w:pPr>
        <w:spacing w:after="0" w:line="15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On April 1, 2020, the United States District Court for the Central District of California entered an order consolidating the Weiner action and the Brink action for all purposes and designated the consolidated case In re: Beyond Meat, Inc. Derivative Litigation. On April 13, 2020, the Court entered an order appointing co-lead counsel for the consolidated derivative action. On June 23, 2020, the Court entered an order approving a Joint Stipulation Regarding Stay of Actions. Under the terms of the stay approval order, all proceedings in the consolidated derivative case are stayed until (1) the securities class action is dismissed, with prejudice, and all appeals related thereto have been exhausted; or (2) any motion to dismiss the securities class action is denied in whole or in part. Based on the early stages of this matter, we are unable to estimate potential losses, if any, related to this lawsuit.</w:t>
      </w:r>
    </w:p>
    <w:p>
      <w:pPr>
        <w:spacing w:after="0" w:line="15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On May 27, 2020, Kevin Chew, a purported shareholder of Beyond Meat, filed a shareholder derivative lawsuit in the United States District Court of the District of Delaware, putatively on behalf of the Company, against two of our executive officers, our President and CEO, Ethan Brown, and our Chief Financial Officer and Treasurer, Mark Nelson, and each of our directors, including one former director, who signed our initial public offering registration statement. The lawsuit asserts claims under Sections 10(b) and 21D of the Exchange Act and claims of breaches of fiduciary duty, relating to our ongoing litigation with Don Lee Farms, related actions taken by Beyond Meat and the named individuals during the period of May 2, 2019 to May 27, 2020. On June 16, 2020, the Court entered an order staying all proceedings in the derivative action until (1) the securities class action is dismissed, with prejudice, and all appeals related thereto have been exhausted; or (2) any motion to dismiss the securities class action is denied in whole or in part. On June 17, 2020, the Court entered an order administratively closing the derivative case based on the stay order. Based on the early stages of this matter, we are unable to estimate potential losses, if any, related to this lawsuit.</w:t>
      </w:r>
    </w:p>
    <w:p>
      <w:pPr>
        <w:spacing w:after="0" w:line="15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June 17, 2020, James Janolek, purported shareholder of Beyond Meat, filed a shareholder derivative lawsuit in the United States District Court of the District of Delaware, putatively on behalf of the Company, against two of our executive officers, our President and CEO, Ethan Brown, and our Chief Financial Officer and Treasurer, Mark Nelson, and each of our directors, including one former director, who signed our initial public offering registration statement. The lawsuit asserts claims under Sections 14(a) and 20(a) of the Exchange Act, claims of breaches of fiduciary duty as directors and/or officers of Beyond Meat, and claims of unjust enrichment and waste of corporate assets, all relating to our ongoing litigation with Don Lee Farms, related actions taken by Beyond Meat and the named individuals during the period of May 2, 2019 to June 17, 2020. On July 10, 2020, the Court entered an order staying all proceedings in the derivative action until (1) the securities class action is dismissed, with prejudice, and all appeals related thereto have been exhausted; or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35" w:right="379" w:bottom="1440" w:gutter="0" w:footer="0" w:header="0"/>
        </w:sectPr>
      </w:pPr>
    </w:p>
    <w:bookmarkStart w:id="70" w:name="page71"/>
    <w:bookmarkEnd w:id="70"/>
    <w:p>
      <w:pPr>
        <w:ind w:right="120"/>
        <w:spacing w:after="0" w:line="254" w:lineRule="auto"/>
        <w:rPr>
          <w:sz w:val="20"/>
          <w:szCs w:val="20"/>
          <w:color w:val="auto"/>
        </w:rPr>
      </w:pPr>
      <w:r>
        <w:rPr>
          <w:rFonts w:ascii="Arial" w:cs="Arial" w:eastAsia="Arial" w:hAnsi="Arial"/>
          <w:sz w:val="18"/>
          <w:szCs w:val="18"/>
          <w:color w:val="auto"/>
        </w:rPr>
        <w:t>any motion to dismiss the securities class action is denied in whole or in part. On July 10, 2020, the Court entered an order administratively closing the derivative case based on the stay order. On November 9, 2020, Plaintiff filed a Notice of Voluntary Dismissal without prejudice and without costs or attorney fees to either party. Based on the early stages of this matter, we are unable to estimate potential losses, if any, related to this lawsuit.</w:t>
      </w:r>
    </w:p>
    <w:p>
      <w:pPr>
        <w:spacing w:after="0" w:line="15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5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self-insured retentions,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Financial Position, and Need for Additional Capital</w:t>
      </w:r>
    </w:p>
    <w:p>
      <w:pPr>
        <w:spacing w:after="0" w:line="225"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b w:val="1"/>
          <w:bCs w:val="1"/>
          <w:i w:val="1"/>
          <w:iCs w:val="1"/>
          <w:color w:val="auto"/>
        </w:rPr>
        <w:t>Covenants in our revolving credit agreement may restrict our operations and the ongoing needs of our business, and if we do not effectively manage our business to comply with these covenants, our liquidity and financial condition could be adversely impacted.</w:t>
      </w:r>
    </w:p>
    <w:p>
      <w:pPr>
        <w:spacing w:after="0" w:line="139" w:lineRule="exact"/>
        <w:rPr>
          <w:sz w:val="20"/>
          <w:szCs w:val="20"/>
          <w:color w:val="auto"/>
        </w:rPr>
      </w:pPr>
    </w:p>
    <w:p>
      <w:pPr>
        <w:ind w:right="60" w:firstLine="324"/>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We entered into a five-year secured revolving credit agreement with JPMorgan Chase Bank, N.A. and the lenders party thereto, providing for a $150 million secured revolving line of credit, which includes an accordion feature for up to an additional $200 million. The 2020 Credit Agreement contains various restrictive financial covenants, including, among other things, maintenance of (i) a maximum total leverage ratio of 3.00 to 1.00 and (ii) a minimum fixed charge coverage ratio of 1.25 to 1.00, in each case, on a quarterly basis. The 2020 Credit Agreement also contains certain restrictive covenants, including limitations on incurrence of indebtedness, creation of liens, making acquisitions, loans or other investments, disposition of assets, payment of dividends and other restricted payments, and entering into transactions with affiliates, in each case, subject to certain exceptions. We, therefore, may not be able to engage in any of the foregoing transactions unless we obtain the consent of our lenders or terminate the 2020 Credit Agreement. These restrictions may restrict our current and future operations, particularly our ability to respond to certain changes in our business or industry, or take future actions. Additionally, we may be unable to borrow funds under our 2020 Credit Agreement if we fail to satisfy certain conditions, including compliance with our financial and other restrictive covenants. Pursuant to the 2020 Credit Agreement, we granted the parties thereto a security interest in substantially all of our assets. See </w:t>
      </w:r>
      <w:hyperlink w:anchor="page25">
        <w:r>
          <w:rPr>
            <w:rFonts w:ascii="Arial" w:cs="Arial" w:eastAsia="Arial" w:hAnsi="Arial"/>
            <w:sz w:val="18"/>
            <w:szCs w:val="18"/>
            <w:u w:val="single" w:color="auto"/>
            <w:color w:val="0000FF"/>
          </w:rPr>
          <w:t>Note 7</w:t>
        </w:r>
      </w:hyperlink>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Notes to Unaudited Condensed Consolidated Financial Statements included in Part I, Item 1 of this report for additional information.</w:t>
      </w:r>
    </w:p>
    <w:p>
      <w:pPr>
        <w:spacing w:after="0" w:line="156"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Our ability to meet these restrictive covenants can be impacted by events beyond our control and we may be unable to do so. The 2020 Credit Agreement provides that our breach or failure to satisfy certain covenants constitutes an event of default. The 2020 Credit Agreement also provides for other customary events of default, including (among others) nonpayment, breaches of representations or warranties, bankruptcy and insolvency events and a change of control. Upon the occurrence of an event of default, our lenders could elect to declare all amounts outstanding under its debt agreements to be immediately due and payable and commitments of the lenders may be terminated. In addition, our lenders would have the right to proceed against the assets we provided as collateral pursuant to the 2020 Credit Agreement. If the debt under the 2020 Credit Agreement was to be accelerated, we may not have sufficient cash on hand or be able to sell sufficient collateral to repay it, which would have an immediate adverse effect on our business, liquidity, financial condition and operating results. This could potentially cause us to cease operations and result in a complete loss of your investment in our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Regulatory Requirements and Other Legal Compliance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71" w:name="page72"/>
    <w:bookmarkEnd w:id="71"/>
    <w:p>
      <w:pPr>
        <w:ind w:right="260" w:firstLine="324"/>
        <w:spacing w:after="0" w:line="262" w:lineRule="auto"/>
        <w:rPr>
          <w:sz w:val="20"/>
          <w:szCs w:val="20"/>
          <w:color w:val="auto"/>
        </w:rPr>
      </w:pPr>
      <w:r>
        <w:rPr>
          <w:rFonts w:ascii="Arial" w:cs="Arial" w:eastAsia="Arial" w:hAnsi="Arial"/>
          <w:sz w:val="18"/>
          <w:szCs w:val="18"/>
          <w:b w:val="1"/>
          <w:bCs w:val="1"/>
          <w:i w:val="1"/>
          <w:iCs w:val="1"/>
          <w:color w:val="auto"/>
        </w:rPr>
        <w:t>Any changes in, or changes in the interpretation of, applicable laws, regulations or policies of the FDA or U.S. Department of Agriculture, or USDA, state regulators or similar foreign regulatory authorities that relate to the use of the word “meat” or other similar words in connection with plant-based protein products could adversely affect our business, prospects, results of operations or financial condition.</w:t>
      </w:r>
    </w:p>
    <w:p>
      <w:pPr>
        <w:spacing w:after="0" w:line="144"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The FDA and the USDA, state regulators or similar foreign regulatory authorities, such as Health Canada or the CFIA, or authorities of the EU or the EU member states, could take action to impact our ability to use the term “meat” or similar words (such as “beef”, “burger” or “sausage”) to describe or advertise our products. In addition, a food may be deemed misbranded if its labeling is false or misleading in any particular way, and the FDA, CFIA, EU member state authorities or other regulators could interpret the use of the term “meat” or any similar phrase(s) to describe our plant-based protein products as false or misleading or likely to create an erroneous impression regarding their composition.</w:t>
      </w:r>
    </w:p>
    <w:p>
      <w:pPr>
        <w:spacing w:after="0" w:line="154"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For example, in 2018, the state of Missouri passed a law prohibiting any person engaged in advertising, offering for sale, or sale of food products from misrepresenting a product as meat that is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the Missouri law. Additional states, including Mississippi, Louisiana, and Georgia, have subsequently passed similar laws, and legislation, that would impose additional requirements on plant-based meat products is currently pending in a number of states. More recently, in late 2019, bills were introduced in both the House and the Senate of the U.S. Congress (titled the Real MEAT Act) that would require the word “imitation” to appear as part of the name of plant-based meat products, and that would give USDA certain oversight over the labeling of plant-based meat products. If these bills gain traction and ultimately become law, it could require us to identify our products as “imitation” in our product labels. Further, the USDA has received a petition from the cattle industry requesting that USDA exclude products not derived from the tissue or flesh of animals that have been harvested in the traditional manner from being labeled and marketed as “meat,” and exclude products not derived from cattle born, raised and harvested in the traditional manner from being labeled and marketed as “beef.” The USDA has not yet responded substantively to this petition but has indicated that the petition is being considered as a petition for a policy change under the USDA’s regulations. We do not believe that USDA has the statutory authority to regulate plant-based products under the current legislative framework. Canadian Food and Drug Regulations also provide requirements for “simulated meat” products, including requirements around composition and naming.</w:t>
      </w:r>
    </w:p>
    <w:p>
      <w:pPr>
        <w:spacing w:after="0" w:line="15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Europe, the Agriculture Committee of the European Parliament proposed in May 2019 to reserve the use of “meat” and meat-related terms and names for products that are manufactured from the edible parts of animals. In October 2020, the European Parliament rejected the adoption of this provision. In the absence of European Union legislation, Member States remain free to establish national restrictions on meat-related names. In June 2020, France adopted a prohibition on using names to indicate foodstuffs of animal origin to describe, market, or promote foodstuffs containing vegetable proteins. An implementing decree will be adopted late 2020 to define e.g. the sanctions in case of non-compliance. We do not believe that the new French bill complies with the laws of the European Union, in particular the principle of free movement of goods. We also note that this prohibition has not been appropriately notified to the European Commission, and that as a result the prohibition is in principle non-enforceable. Should regulatory authorities take action with respect to the use of the term “meat” or similar terms, such that we are unable to use those terms with respect to our plant-based products, we could be subject to enforcement action or recall of our products marketed with these terms, we may be required to modify our marketing strategy, or require us to identify our products as “imitation” in our product labels, and our business, prospects, results of operations or financial condition could be adversely affected. Competitors may also try to bring legal action against us. In late September 2020, three meat trade associations announced that they had initiated a lawsuit against a French plant-based meat company for unfair competition and violating the prohibition on meaty names of June 2020. To the best of our knowledge, the lawsuit has not been filed yet.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00" w:type="dxa"/>
            <w:vAlign w:val="bottom"/>
            <w:gridSpan w:val="11"/>
          </w:tcPr>
          <w:p>
            <w:pPr>
              <w:ind w:left="1400"/>
              <w:spacing w:after="0"/>
              <w:rPr>
                <w:sz w:val="20"/>
                <w:szCs w:val="20"/>
                <w:color w:val="auto"/>
              </w:rPr>
            </w:pPr>
            <w:r>
              <w:rPr>
                <w:rFonts w:ascii="Arial" w:cs="Arial" w:eastAsia="Arial" w:hAnsi="Arial"/>
                <w:sz w:val="16"/>
                <w:szCs w:val="16"/>
                <w:b w:val="1"/>
                <w:bCs w:val="1"/>
                <w:color w:val="auto"/>
              </w:rPr>
              <w:t>EXHIBIT INDEX</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3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Exhibit No.</w:t>
            </w: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0" w:type="dxa"/>
            <w:vAlign w:val="bottom"/>
            <w:gridSpan w:val="12"/>
            <w:vMerge w:val="restart"/>
          </w:tcPr>
          <w:p>
            <w:pPr>
              <w:ind w:left="700"/>
              <w:spacing w:after="0"/>
              <w:rPr>
                <w:sz w:val="20"/>
                <w:szCs w:val="20"/>
                <w:color w:val="auto"/>
              </w:rPr>
            </w:pPr>
            <w:r>
              <w:rPr>
                <w:rFonts w:ascii="Arial" w:cs="Arial" w:eastAsia="Arial" w:hAnsi="Arial"/>
                <w:sz w:val="16"/>
                <w:szCs w:val="16"/>
                <w:b w:val="1"/>
                <w:bCs w:val="1"/>
                <w:color w:val="auto"/>
              </w:rPr>
              <w:t>Exhibit Description</w:t>
            </w:r>
          </w:p>
        </w:tc>
        <w:tc>
          <w:tcPr>
            <w:tcW w:w="620" w:type="dxa"/>
            <w:vAlign w:val="bottom"/>
          </w:tcPr>
          <w:p>
            <w:pPr>
              <w:spacing w:after="0"/>
              <w:rPr>
                <w:sz w:val="14"/>
                <w:szCs w:val="14"/>
                <w:color w:val="auto"/>
              </w:rPr>
            </w:pPr>
          </w:p>
        </w:tc>
        <w:tc>
          <w:tcPr>
            <w:tcW w:w="2680" w:type="dxa"/>
            <w:vAlign w:val="bottom"/>
            <w:gridSpan w:val="5"/>
            <w:vMerge w:val="restart"/>
          </w:tcPr>
          <w:p>
            <w:pPr>
              <w:jc w:val="right"/>
              <w:ind w:right="532"/>
              <w:spacing w:after="0"/>
              <w:rPr>
                <w:sz w:val="20"/>
                <w:szCs w:val="20"/>
                <w:color w:val="auto"/>
              </w:rPr>
            </w:pPr>
            <w:r>
              <w:rPr>
                <w:rFonts w:ascii="Arial" w:cs="Arial" w:eastAsia="Arial" w:hAnsi="Arial"/>
                <w:sz w:val="16"/>
                <w:szCs w:val="16"/>
                <w:b w:val="1"/>
                <w:bCs w:val="1"/>
                <w:color w:val="auto"/>
              </w:rPr>
              <w:t>Incorporated by Reference</w:t>
            </w:r>
          </w:p>
        </w:tc>
        <w:tc>
          <w:tcPr>
            <w:tcW w:w="10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215"/>
        </w:trPr>
        <w:tc>
          <w:tcPr>
            <w:tcW w:w="13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0" w:type="dxa"/>
            <w:vAlign w:val="bottom"/>
            <w:gridSpan w:val="12"/>
            <w:vMerge w:val="continue"/>
          </w:tcPr>
          <w:p>
            <w:pPr>
              <w:spacing w:after="0"/>
              <w:rPr>
                <w:sz w:val="18"/>
                <w:szCs w:val="18"/>
                <w:color w:val="auto"/>
              </w:rPr>
            </w:pPr>
          </w:p>
        </w:tc>
        <w:tc>
          <w:tcPr>
            <w:tcW w:w="620" w:type="dxa"/>
            <w:vAlign w:val="bottom"/>
          </w:tcPr>
          <w:p>
            <w:pPr>
              <w:spacing w:after="0"/>
              <w:rPr>
                <w:sz w:val="18"/>
                <w:szCs w:val="18"/>
                <w:color w:val="auto"/>
              </w:rPr>
            </w:pPr>
          </w:p>
        </w:tc>
        <w:tc>
          <w:tcPr>
            <w:tcW w:w="268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209"/>
        </w:trPr>
        <w:tc>
          <w:tcPr>
            <w:tcW w:w="11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218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w w:val="94"/>
              </w:rPr>
              <w:t>Form</w:t>
            </w: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b w:val="1"/>
                <w:bCs w:val="1"/>
                <w:color w:val="auto"/>
              </w:rPr>
              <w:t>Date</w:t>
            </w:r>
          </w:p>
        </w:tc>
        <w:tc>
          <w:tcPr>
            <w:tcW w:w="10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Number</w:t>
            </w:r>
          </w:p>
        </w:tc>
        <w:tc>
          <w:tcPr>
            <w:tcW w:w="1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0" w:type="dxa"/>
            <w:vAlign w:val="bottom"/>
            <w:gridSpan w:val="13"/>
            <w:shd w:val="clear" w:color="auto" w:fill="CCEEFF"/>
          </w:tcPr>
          <w:p>
            <w:pPr>
              <w:spacing w:after="0"/>
              <w:rPr>
                <w:rFonts w:ascii="Arial" w:cs="Arial" w:eastAsia="Arial" w:hAnsi="Arial"/>
                <w:sz w:val="18"/>
                <w:szCs w:val="18"/>
                <w:color w:val="0000FF"/>
              </w:rPr>
            </w:pPr>
            <w:hyperlink r:id="rId115">
              <w:r>
                <w:rPr>
                  <w:rFonts w:ascii="Arial" w:cs="Arial" w:eastAsia="Arial" w:hAnsi="Arial"/>
                  <w:sz w:val="18"/>
                  <w:szCs w:val="18"/>
                  <w:u w:val="single" w:color="auto"/>
                  <w:color w:val="0000FF"/>
                </w:rPr>
                <w:t>Restated Certificate of Incorporation</w:t>
              </w:r>
              <w:r>
                <w:rPr>
                  <w:rFonts w:ascii="Arial" w:cs="Arial" w:eastAsia="Arial" w:hAnsi="Arial"/>
                  <w:sz w:val="18"/>
                  <w:szCs w:val="18"/>
                  <w:color w:val="0000FF"/>
                </w:rPr>
                <w:t>.</w:t>
              </w:r>
            </w:hyperlink>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10-Q</w:t>
            </w:r>
          </w:p>
        </w:tc>
        <w:tc>
          <w:tcPr>
            <w:tcW w:w="1620" w:type="dxa"/>
            <w:vAlign w:val="bottom"/>
            <w:gridSpan w:val="3"/>
            <w:shd w:val="clear" w:color="auto" w:fill="CCEEFF"/>
          </w:tcPr>
          <w:p>
            <w:pPr>
              <w:jc w:val="center"/>
              <w:ind w:left="212"/>
              <w:spacing w:after="0"/>
              <w:rPr>
                <w:sz w:val="20"/>
                <w:szCs w:val="20"/>
                <w:color w:val="auto"/>
              </w:rPr>
            </w:pPr>
            <w:r>
              <w:rPr>
                <w:rFonts w:ascii="Arial" w:cs="Arial" w:eastAsia="Arial" w:hAnsi="Arial"/>
                <w:sz w:val="18"/>
                <w:szCs w:val="18"/>
                <w:color w:val="auto"/>
                <w:w w:val="99"/>
              </w:rPr>
              <w:t>6/12/2019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0" w:type="dxa"/>
            <w:vAlign w:val="bottom"/>
            <w:gridSpan w:val="13"/>
          </w:tcPr>
          <w:p>
            <w:pPr>
              <w:spacing w:after="0"/>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Amended and Restated Bylaws.</w:t>
              </w:r>
            </w:hyperlink>
          </w:p>
        </w:tc>
        <w:tc>
          <w:tcPr>
            <w:tcW w:w="620" w:type="dxa"/>
            <w:vAlign w:val="bottom"/>
          </w:tcPr>
          <w:p>
            <w:pPr>
              <w:ind w:left="20"/>
              <w:spacing w:after="0"/>
              <w:rPr>
                <w:sz w:val="20"/>
                <w:szCs w:val="20"/>
                <w:color w:val="auto"/>
              </w:rPr>
            </w:pPr>
            <w:r>
              <w:rPr>
                <w:rFonts w:ascii="Arial" w:cs="Arial" w:eastAsia="Arial" w:hAnsi="Arial"/>
                <w:sz w:val="18"/>
                <w:szCs w:val="18"/>
                <w:color w:val="auto"/>
              </w:rPr>
              <w:t>10-Q</w:t>
            </w:r>
          </w:p>
        </w:tc>
        <w:tc>
          <w:tcPr>
            <w:tcW w:w="1620" w:type="dxa"/>
            <w:vAlign w:val="bottom"/>
            <w:gridSpan w:val="3"/>
          </w:tcPr>
          <w:p>
            <w:pPr>
              <w:jc w:val="center"/>
              <w:ind w:left="212"/>
              <w:spacing w:after="0"/>
              <w:rPr>
                <w:sz w:val="20"/>
                <w:szCs w:val="20"/>
                <w:color w:val="auto"/>
              </w:rPr>
            </w:pPr>
            <w:r>
              <w:rPr>
                <w:rFonts w:ascii="Arial" w:cs="Arial" w:eastAsia="Arial" w:hAnsi="Arial"/>
                <w:sz w:val="18"/>
                <w:szCs w:val="18"/>
                <w:color w:val="auto"/>
                <w:w w:val="99"/>
              </w:rPr>
              <w:t>6/12/2019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0" w:type="dxa"/>
            <w:vAlign w:val="bottom"/>
            <w:gridSpan w:val="13"/>
            <w:shd w:val="clear" w:color="auto" w:fill="CCEEFF"/>
          </w:tcPr>
          <w:p>
            <w:pPr>
              <w:spacing w:after="0"/>
              <w:rPr>
                <w:rFonts w:ascii="Arial" w:cs="Arial" w:eastAsia="Arial" w:hAnsi="Arial"/>
                <w:sz w:val="18"/>
                <w:szCs w:val="18"/>
                <w:color w:val="0000FF"/>
              </w:rPr>
            </w:pPr>
            <w:hyperlink r:id="rId117">
              <w:r>
                <w:rPr>
                  <w:rFonts w:ascii="Arial" w:cs="Arial" w:eastAsia="Arial" w:hAnsi="Arial"/>
                  <w:sz w:val="18"/>
                  <w:szCs w:val="18"/>
                  <w:u w:val="single" w:color="auto"/>
                  <w:color w:val="0000FF"/>
                </w:rPr>
                <w:t>Form of Common Stock Certificate</w:t>
              </w:r>
              <w:r>
                <w:rPr>
                  <w:rFonts w:ascii="Arial" w:cs="Arial" w:eastAsia="Arial" w:hAnsi="Arial"/>
                  <w:sz w:val="18"/>
                  <w:szCs w:val="18"/>
                  <w:color w:val="0000FF"/>
                </w:rPr>
                <w:t>.</w:t>
              </w:r>
            </w:hyperlink>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S-1/A</w:t>
            </w:r>
          </w:p>
        </w:tc>
        <w:tc>
          <w:tcPr>
            <w:tcW w:w="1620" w:type="dxa"/>
            <w:vAlign w:val="bottom"/>
            <w:gridSpan w:val="3"/>
            <w:shd w:val="clear" w:color="auto" w:fill="CCEEFF"/>
          </w:tcPr>
          <w:p>
            <w:pPr>
              <w:jc w:val="center"/>
              <w:ind w:left="212"/>
              <w:spacing w:after="0"/>
              <w:rPr>
                <w:sz w:val="20"/>
                <w:szCs w:val="20"/>
                <w:color w:val="auto"/>
              </w:rPr>
            </w:pPr>
            <w:r>
              <w:rPr>
                <w:rFonts w:ascii="Arial" w:cs="Arial" w:eastAsia="Arial" w:hAnsi="Arial"/>
                <w:sz w:val="18"/>
                <w:szCs w:val="18"/>
                <w:color w:val="auto"/>
                <w:w w:val="99"/>
              </w:rPr>
              <w:t>3/27/2019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gridSpan w:val="13"/>
          </w:tcPr>
          <w:p>
            <w:pPr>
              <w:spacing w:after="0" w:line="202" w:lineRule="exact"/>
              <w:rPr>
                <w:rFonts w:ascii="Arial" w:cs="Arial" w:eastAsia="Arial" w:hAnsi="Arial"/>
                <w:sz w:val="18"/>
                <w:szCs w:val="18"/>
                <w:color w:val="0000FF"/>
              </w:rPr>
            </w:pPr>
            <w:hyperlink r:id="rId118">
              <w:r>
                <w:rPr>
                  <w:rFonts w:ascii="Arial" w:cs="Arial" w:eastAsia="Arial" w:hAnsi="Arial"/>
                  <w:sz w:val="18"/>
                  <w:szCs w:val="18"/>
                  <w:color w:val="0000FF"/>
                </w:rPr>
                <w:t>Amended and Restated Investors’ Rights Agreement, dated as of</w:t>
              </w:r>
            </w:hyperlink>
          </w:p>
        </w:tc>
        <w:tc>
          <w:tcPr>
            <w:tcW w:w="620" w:type="dxa"/>
            <w:vAlign w:val="bottom"/>
          </w:tcPr>
          <w:p>
            <w:pPr>
              <w:ind w:left="20"/>
              <w:spacing w:after="0" w:line="202" w:lineRule="exact"/>
              <w:rPr>
                <w:sz w:val="20"/>
                <w:szCs w:val="20"/>
                <w:color w:val="auto"/>
              </w:rPr>
            </w:pPr>
            <w:r>
              <w:rPr>
                <w:rFonts w:ascii="Arial" w:cs="Arial" w:eastAsia="Arial" w:hAnsi="Arial"/>
                <w:sz w:val="18"/>
                <w:szCs w:val="18"/>
                <w:color w:val="auto"/>
              </w:rPr>
              <w:t>S-1</w:t>
            </w:r>
          </w:p>
        </w:tc>
        <w:tc>
          <w:tcPr>
            <w:tcW w:w="1620" w:type="dxa"/>
            <w:vAlign w:val="bottom"/>
            <w:gridSpan w:val="3"/>
          </w:tcPr>
          <w:p>
            <w:pPr>
              <w:jc w:val="center"/>
              <w:ind w:left="232"/>
              <w:spacing w:after="0" w:line="202" w:lineRule="exact"/>
              <w:rPr>
                <w:sz w:val="20"/>
                <w:szCs w:val="20"/>
                <w:color w:val="auto"/>
              </w:rPr>
            </w:pPr>
            <w:r>
              <w:rPr>
                <w:rFonts w:ascii="Arial" w:cs="Arial" w:eastAsia="Arial" w:hAnsi="Arial"/>
                <w:sz w:val="18"/>
                <w:szCs w:val="18"/>
                <w:color w:val="auto"/>
                <w:w w:val="99"/>
              </w:rPr>
              <w:t>11/16/2018</w:t>
            </w: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2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118">
              <w:r>
                <w:rPr>
                  <w:rFonts w:ascii="Arial" w:cs="Arial" w:eastAsia="Arial" w:hAnsi="Arial"/>
                  <w:sz w:val="18"/>
                  <w:szCs w:val="18"/>
                  <w:color w:val="0000FF"/>
                  <w:w w:val="99"/>
                </w:rPr>
                <w:t>October 5, 2018, by and among the Registrant and the other</w:t>
              </w:r>
            </w:hyperlink>
          </w:p>
        </w:tc>
        <w:tc>
          <w:tcPr>
            <w:tcW w:w="360" w:type="dxa"/>
            <w:vAlign w:val="bottom"/>
            <w:tcBorders>
              <w:top w:val="single" w:sz="8" w:color="0000FF"/>
            </w:tcBorders>
            <w:gridSpan w:val="3"/>
          </w:tcPr>
          <w:p>
            <w:pPr>
              <w:spacing w:after="0"/>
              <w:rPr>
                <w:sz w:val="15"/>
                <w:szCs w:val="15"/>
                <w:color w:val="auto"/>
              </w:rPr>
            </w:pPr>
          </w:p>
        </w:tc>
        <w:tc>
          <w:tcPr>
            <w:tcW w:w="220" w:type="dxa"/>
            <w:vAlign w:val="bottom"/>
            <w:gridSpan w:val="3"/>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gridSpan w:val="13"/>
          </w:tcPr>
          <w:p>
            <w:pPr>
              <w:spacing w:after="0" w:line="182" w:lineRule="exact"/>
              <w:rPr>
                <w:rFonts w:ascii="Arial" w:cs="Arial" w:eastAsia="Arial" w:hAnsi="Arial"/>
                <w:sz w:val="18"/>
                <w:szCs w:val="18"/>
                <w:color w:val="0000FF"/>
              </w:rPr>
            </w:pPr>
            <w:hyperlink r:id="rId118">
              <w:r>
                <w:rPr>
                  <w:rFonts w:ascii="Arial" w:cs="Arial" w:eastAsia="Arial" w:hAnsi="Arial"/>
                  <w:sz w:val="18"/>
                  <w:szCs w:val="18"/>
                  <w:color w:val="0000FF"/>
                </w:rPr>
                <w:t>parties thereto.</w:t>
              </w:r>
            </w:hyperlink>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8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900" w:type="dxa"/>
            <w:vAlign w:val="bottom"/>
            <w:tcBorders>
              <w:bottom w:val="single" w:sz="8" w:color="0000FF"/>
            </w:tcBorders>
            <w:gridSpan w:val="8"/>
            <w:shd w:val="clear" w:color="auto" w:fill="CCEEFF"/>
          </w:tcPr>
          <w:p>
            <w:pPr>
              <w:spacing w:after="0" w:line="189" w:lineRule="exact"/>
              <w:rPr>
                <w:rFonts w:ascii="Arial" w:cs="Arial" w:eastAsia="Arial" w:hAnsi="Arial"/>
                <w:sz w:val="18"/>
                <w:szCs w:val="18"/>
                <w:color w:val="0000FF"/>
                <w:w w:val="99"/>
              </w:rPr>
            </w:pPr>
            <w:hyperlink w:anchor="page76">
              <w:r>
                <w:rPr>
                  <w:rFonts w:ascii="Arial" w:cs="Arial" w:eastAsia="Arial" w:hAnsi="Arial"/>
                  <w:sz w:val="18"/>
                  <w:szCs w:val="18"/>
                  <w:color w:val="0000FF"/>
                  <w:w w:val="99"/>
                </w:rPr>
                <w:t>Certification of Chief Executive Officer pursuant to Rules 13a-</w:t>
              </w:r>
            </w:hyperlink>
          </w:p>
        </w:tc>
        <w:tc>
          <w:tcPr>
            <w:tcW w:w="500" w:type="dxa"/>
            <w:vAlign w:val="bottom"/>
            <w:tcBorders>
              <w:bottom w:val="single" w:sz="8" w:color="CCEEFF"/>
            </w:tcBorders>
            <w:gridSpan w:val="5"/>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0" w:type="dxa"/>
            <w:vAlign w:val="bottom"/>
            <w:gridSpan w:val="13"/>
            <w:shd w:val="clear" w:color="auto" w:fill="CCEEFF"/>
          </w:tcPr>
          <w:p>
            <w:pPr>
              <w:spacing w:after="0" w:line="156" w:lineRule="exact"/>
              <w:rPr>
                <w:rFonts w:ascii="Arial" w:cs="Arial" w:eastAsia="Arial" w:hAnsi="Arial"/>
                <w:sz w:val="18"/>
                <w:szCs w:val="18"/>
                <w:color w:val="0000FF"/>
              </w:rPr>
            </w:pPr>
            <w:hyperlink w:anchor="page76">
              <w:r>
                <w:rPr>
                  <w:rFonts w:ascii="Arial" w:cs="Arial" w:eastAsia="Arial" w:hAnsi="Arial"/>
                  <w:sz w:val="18"/>
                  <w:szCs w:val="18"/>
                  <w:color w:val="0000FF"/>
                </w:rPr>
                <w:t>14(a) and 15d-14(a), as adopted pursuant to Section 302 of the</w:t>
              </w:r>
            </w:hyperlink>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30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99"/>
              </w:rPr>
            </w:pPr>
            <w:hyperlink w:anchor="page76">
              <w:r>
                <w:rPr>
                  <w:rFonts w:ascii="Arial" w:cs="Arial" w:eastAsia="Arial" w:hAnsi="Arial"/>
                  <w:sz w:val="18"/>
                  <w:szCs w:val="18"/>
                  <w:color w:val="0000FF"/>
                  <w:w w:val="99"/>
                </w:rPr>
                <w:t>Sarbanes-Oxley Act of 2002.</w:t>
              </w:r>
            </w:hyperlink>
          </w:p>
        </w:tc>
        <w:tc>
          <w:tcPr>
            <w:tcW w:w="2740" w:type="dxa"/>
            <w:vAlign w:val="bottom"/>
            <w:tcBorders>
              <w:top w:val="single" w:sz="8" w:color="0000FF"/>
              <w:bottom w:val="single" w:sz="8" w:color="CCEEFF"/>
            </w:tcBorders>
            <w:gridSpan w:val="7"/>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0" w:type="dxa"/>
            <w:vAlign w:val="bottom"/>
            <w:gridSpan w:val="13"/>
          </w:tcPr>
          <w:p>
            <w:pPr>
              <w:spacing w:after="0" w:line="189" w:lineRule="exact"/>
              <w:rPr>
                <w:rFonts w:ascii="Arial" w:cs="Arial" w:eastAsia="Arial" w:hAnsi="Arial"/>
                <w:sz w:val="18"/>
                <w:szCs w:val="18"/>
                <w:color w:val="0000FF"/>
              </w:rPr>
            </w:pPr>
            <w:hyperlink w:anchor="page77">
              <w:r>
                <w:rPr>
                  <w:rFonts w:ascii="Arial" w:cs="Arial" w:eastAsia="Arial" w:hAnsi="Arial"/>
                  <w:sz w:val="18"/>
                  <w:szCs w:val="18"/>
                  <w:color w:val="0000FF"/>
                </w:rPr>
                <w:t>Certification of Chief Financial Officer pursuant to Rules 13a-14(a)</w:t>
              </w:r>
            </w:hyperlink>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77">
              <w:r>
                <w:rPr>
                  <w:rFonts w:ascii="Arial" w:cs="Arial" w:eastAsia="Arial" w:hAnsi="Arial"/>
                  <w:sz w:val="18"/>
                  <w:szCs w:val="18"/>
                  <w:color w:val="0000FF"/>
                </w:rPr>
                <w:t>and 15d-14(a), as adopted pursuant to Section 302 of the</w:t>
              </w:r>
            </w:hyperlink>
          </w:p>
        </w:tc>
        <w:tc>
          <w:tcPr>
            <w:tcW w:w="14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77">
              <w:r>
                <w:rPr>
                  <w:rFonts w:ascii="Arial" w:cs="Arial" w:eastAsia="Arial" w:hAnsi="Arial"/>
                  <w:sz w:val="18"/>
                  <w:szCs w:val="18"/>
                  <w:color w:val="0000FF"/>
                </w:rPr>
                <w:t>Sarbanes-Oxley Act of 2002.</w:t>
              </w:r>
            </w:hyperlink>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7"/>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0" w:type="dxa"/>
            <w:vAlign w:val="bottom"/>
            <w:gridSpan w:val="13"/>
            <w:shd w:val="clear" w:color="auto" w:fill="CCEEFF"/>
          </w:tcPr>
          <w:p>
            <w:pPr>
              <w:spacing w:after="0" w:line="189" w:lineRule="exact"/>
              <w:rPr>
                <w:rFonts w:ascii="Arial" w:cs="Arial" w:eastAsia="Arial" w:hAnsi="Arial"/>
                <w:sz w:val="18"/>
                <w:szCs w:val="18"/>
                <w:color w:val="0000FF"/>
              </w:rPr>
            </w:pPr>
            <w:hyperlink w:anchor="page78">
              <w:r>
                <w:rPr>
                  <w:rFonts w:ascii="Arial" w:cs="Arial" w:eastAsia="Arial" w:hAnsi="Arial"/>
                  <w:sz w:val="18"/>
                  <w:szCs w:val="18"/>
                  <w:color w:val="0000FF"/>
                </w:rPr>
                <w:t>Certification of Chief Executive Officer pursuant to 18 U.S.C.</w:t>
              </w:r>
            </w:hyperlink>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80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rPr>
            </w:pPr>
            <w:hyperlink w:anchor="page78">
              <w:r>
                <w:rPr>
                  <w:rFonts w:ascii="Arial" w:cs="Arial" w:eastAsia="Arial" w:hAnsi="Arial"/>
                  <w:sz w:val="18"/>
                  <w:szCs w:val="18"/>
                  <w:color w:val="0000FF"/>
                </w:rPr>
                <w:t>Section 1350, as adopted pursuant to Section 906 of the</w:t>
              </w:r>
            </w:hyperlink>
          </w:p>
        </w:tc>
        <w:tc>
          <w:tcPr>
            <w:tcW w:w="600" w:type="dxa"/>
            <w:vAlign w:val="bottom"/>
            <w:tcBorders>
              <w:top w:val="single" w:sz="8" w:color="CCEEFF"/>
            </w:tcBorders>
            <w:gridSpan w:val="7"/>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30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99"/>
              </w:rPr>
            </w:pPr>
            <w:hyperlink w:anchor="page78">
              <w:r>
                <w:rPr>
                  <w:rFonts w:ascii="Arial" w:cs="Arial" w:eastAsia="Arial" w:hAnsi="Arial"/>
                  <w:sz w:val="18"/>
                  <w:szCs w:val="18"/>
                  <w:color w:val="0000FF"/>
                  <w:w w:val="99"/>
                </w:rPr>
                <w:t>Sarbanes-Oxley Act of 2002.</w:t>
              </w:r>
            </w:hyperlink>
          </w:p>
        </w:tc>
        <w:tc>
          <w:tcPr>
            <w:tcW w:w="2180" w:type="dxa"/>
            <w:vAlign w:val="bottom"/>
            <w:tcBorders>
              <w:top w:val="single" w:sz="8" w:color="0000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60" w:type="dxa"/>
            <w:vAlign w:val="bottom"/>
            <w:tcBorders>
              <w:top w:val="single" w:sz="8" w:color="CCEEFF"/>
              <w:bottom w:val="single" w:sz="8" w:color="CCEEFF"/>
            </w:tcBorders>
            <w:gridSpan w:val="8"/>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0" w:type="dxa"/>
            <w:vAlign w:val="bottom"/>
            <w:gridSpan w:val="13"/>
          </w:tcPr>
          <w:p>
            <w:pPr>
              <w:spacing w:after="0" w:line="189" w:lineRule="exact"/>
              <w:rPr>
                <w:rFonts w:ascii="Arial" w:cs="Arial" w:eastAsia="Arial" w:hAnsi="Arial"/>
                <w:sz w:val="18"/>
                <w:szCs w:val="18"/>
                <w:color w:val="0000FF"/>
              </w:rPr>
            </w:pPr>
            <w:hyperlink w:anchor="page79">
              <w:r>
                <w:rPr>
                  <w:rFonts w:ascii="Arial" w:cs="Arial" w:eastAsia="Arial" w:hAnsi="Arial"/>
                  <w:sz w:val="18"/>
                  <w:szCs w:val="18"/>
                  <w:color w:val="0000FF"/>
                </w:rPr>
                <w:t>Certification of Chief Financial Officer pursuant to 18 U.S.C.</w:t>
              </w:r>
            </w:hyperlink>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79">
              <w:r>
                <w:rPr>
                  <w:rFonts w:ascii="Arial" w:cs="Arial" w:eastAsia="Arial" w:hAnsi="Arial"/>
                  <w:sz w:val="18"/>
                  <w:szCs w:val="18"/>
                  <w:color w:val="0000FF"/>
                </w:rPr>
                <w:t>Section 1350, as adopted pursuant to Section 906 of the</w:t>
              </w:r>
            </w:hyperlink>
          </w:p>
        </w:tc>
        <w:tc>
          <w:tcPr>
            <w:tcW w:w="660" w:type="dxa"/>
            <w:vAlign w:val="bottom"/>
            <w:gridSpan w:val="8"/>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79">
              <w:r>
                <w:rPr>
                  <w:rFonts w:ascii="Arial" w:cs="Arial" w:eastAsia="Arial" w:hAnsi="Arial"/>
                  <w:sz w:val="18"/>
                  <w:szCs w:val="18"/>
                  <w:color w:val="0000FF"/>
                </w:rPr>
                <w:t>Sarbanes-Oxley Act of 2002.</w:t>
              </w:r>
            </w:hyperlink>
          </w:p>
        </w:tc>
        <w:tc>
          <w:tcPr>
            <w:tcW w:w="920" w:type="dxa"/>
            <w:vAlign w:val="bottom"/>
            <w:gridSpan w:val="10"/>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auto"/>
              </w:rPr>
              <w:t>The following financial statements from the Company's Quarterly</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rPr>
              <w:t>Report on Form 10-Q for the quarter ended September 26, 2020</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rPr>
              <w:t>formatted in Inline XBRL: (i) Condensed Consolidated Balance</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rPr>
              <w:t>Sheets, (ii) Condensed Consolidated Statements of Operations,</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rPr>
              <w:t>(iii) Condensed Consolidated Statements of Comprehensive</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rPr>
              <w:t>(Loss) Income, (iv) Condensed Consolidated Statements of</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rPr>
              <w:t>Preferred Stock and Stockholders' Equity (Deficit), (v) Condensed</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Cash Flows, and (vi) Notes to</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rPr>
              <w:t>Unaudited Condensed Consolidated Financial Statements, tagged</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as blocks of text and including detailed tags.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0" w:type="dxa"/>
            <w:vAlign w:val="bottom"/>
            <w:gridSpan w:val="13"/>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13"/>
          </w:tcPr>
          <w:p>
            <w:pPr>
              <w:spacing w:after="0"/>
              <w:rPr>
                <w:sz w:val="20"/>
                <w:szCs w:val="20"/>
                <w:color w:val="auto"/>
              </w:rPr>
            </w:pPr>
            <w:r>
              <w:rPr>
                <w:rFonts w:ascii="Arial" w:cs="Arial" w:eastAsia="Arial" w:hAnsi="Arial"/>
                <w:sz w:val="18"/>
                <w:szCs w:val="18"/>
                <w:color w:val="auto"/>
              </w:rPr>
              <w:t>contained in Exhibit 101)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ind w:left="40" w:right="240" w:hanging="1"/>
        <w:spacing w:after="0" w:line="227" w:lineRule="auto"/>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BEYOND MEAT,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9, 2020</w:t>
            </w:r>
          </w:p>
        </w:tc>
        <w:tc>
          <w:tcPr>
            <w:tcW w:w="4240" w:type="dxa"/>
            <w:vAlign w:val="bottom"/>
          </w:tcPr>
          <w:p>
            <w:pPr>
              <w:ind w:left="376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Ethan Brown</w:t>
            </w:r>
          </w:p>
        </w:tc>
      </w:tr>
      <w:tr>
        <w:trPr>
          <w:trHeight w:val="223"/>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rPr>
              <w:t>Ethan Brown</w:t>
            </w:r>
          </w:p>
        </w:tc>
      </w:tr>
      <w:tr>
        <w:trPr>
          <w:trHeight w:val="229"/>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r>
        <w:trPr>
          <w:trHeight w:val="230"/>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364"/>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9, 2020</w:t>
            </w:r>
          </w:p>
        </w:tc>
        <w:tc>
          <w:tcPr>
            <w:tcW w:w="4240" w:type="dxa"/>
            <w:vAlign w:val="bottom"/>
          </w:tcPr>
          <w:p>
            <w:pPr>
              <w:ind w:left="376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J. Nelson</w:t>
            </w:r>
          </w:p>
        </w:tc>
      </w:tr>
      <w:tr>
        <w:trPr>
          <w:trHeight w:val="223"/>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Mark J. Nelson</w:t>
            </w:r>
          </w:p>
        </w:tc>
      </w:tr>
      <w:tr>
        <w:trPr>
          <w:trHeight w:val="230"/>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r>
        <w:trPr>
          <w:trHeight w:val="229"/>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9"/>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320" w:top="1413" w:right="3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Ethan Brown, certify that:</w:t>
      </w:r>
    </w:p>
    <w:p>
      <w:pPr>
        <w:spacing w:after="0" w:line="11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Beyond Meat, Inc.;</w:t>
      </w:r>
    </w:p>
    <w:p>
      <w:pPr>
        <w:spacing w:after="0" w:line="103" w:lineRule="exact"/>
        <w:rPr>
          <w:rFonts w:ascii="Arial" w:cs="Arial" w:eastAsia="Arial" w:hAnsi="Arial"/>
          <w:sz w:val="18"/>
          <w:szCs w:val="18"/>
          <w:color w:val="auto"/>
        </w:rPr>
      </w:pPr>
    </w:p>
    <w:p>
      <w:pPr>
        <w:ind w:left="340" w:right="60" w:hanging="332"/>
        <w:spacing w:after="0" w:line="35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8"/>
          <w:szCs w:val="18"/>
          <w:color w:val="auto"/>
        </w:rPr>
      </w:pPr>
    </w:p>
    <w:p>
      <w:pPr>
        <w:ind w:left="340" w:right="160" w:hanging="332"/>
        <w:spacing w:after="0" w:line="372"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7"/>
          <w:szCs w:val="17"/>
          <w:color w:val="auto"/>
        </w:rPr>
      </w:pPr>
    </w:p>
    <w:p>
      <w:pPr>
        <w:ind w:left="340" w:right="240" w:hanging="332"/>
        <w:spacing w:after="0" w:line="35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3" w:lineRule="exact"/>
        <w:rPr>
          <w:rFonts w:ascii="Arial" w:cs="Arial" w:eastAsia="Arial" w:hAnsi="Arial"/>
          <w:sz w:val="18"/>
          <w:szCs w:val="18"/>
          <w:color w:val="auto"/>
        </w:rPr>
      </w:pPr>
    </w:p>
    <w:p>
      <w:pPr>
        <w:ind w:left="660" w:right="60" w:hanging="328"/>
        <w:spacing w:after="0" w:line="354" w:lineRule="auto"/>
        <w:tabs>
          <w:tab w:leader="none" w:pos="6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 w:lineRule="exact"/>
        <w:rPr>
          <w:rFonts w:ascii="Arial" w:cs="Arial" w:eastAsia="Arial" w:hAnsi="Arial"/>
          <w:sz w:val="18"/>
          <w:szCs w:val="18"/>
          <w:color w:val="auto"/>
        </w:rPr>
      </w:pPr>
    </w:p>
    <w:p>
      <w:pPr>
        <w:ind w:left="640" w:hanging="308"/>
        <w:spacing w:after="0"/>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03" w:lineRule="exact"/>
        <w:rPr>
          <w:rFonts w:ascii="Arial" w:cs="Arial" w:eastAsia="Arial" w:hAnsi="Arial"/>
          <w:sz w:val="18"/>
          <w:szCs w:val="18"/>
          <w:color w:val="auto"/>
        </w:rPr>
      </w:pPr>
    </w:p>
    <w:p>
      <w:pPr>
        <w:ind w:left="660" w:right="80" w:hanging="328"/>
        <w:spacing w:after="0" w:line="354" w:lineRule="auto"/>
        <w:tabs>
          <w:tab w:leader="none" w:pos="6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8"/>
          <w:szCs w:val="18"/>
          <w:color w:val="auto"/>
        </w:rPr>
      </w:pPr>
    </w:p>
    <w:p>
      <w:pPr>
        <w:ind w:left="660" w:right="400" w:hanging="328"/>
        <w:spacing w:after="0" w:line="354"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 w:lineRule="exact"/>
        <w:rPr>
          <w:rFonts w:ascii="Arial" w:cs="Arial" w:eastAsia="Arial" w:hAnsi="Arial"/>
          <w:sz w:val="18"/>
          <w:szCs w:val="18"/>
          <w:color w:val="auto"/>
        </w:rPr>
      </w:pPr>
    </w:p>
    <w:p>
      <w:pPr>
        <w:ind w:left="340" w:right="140" w:hanging="332"/>
        <w:spacing w:after="0" w:line="35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8"/>
          <w:szCs w:val="18"/>
          <w:color w:val="auto"/>
        </w:rPr>
      </w:pPr>
    </w:p>
    <w:p>
      <w:pPr>
        <w:ind w:left="660" w:right="260" w:hanging="328"/>
        <w:spacing w:after="0" w:line="352" w:lineRule="auto"/>
        <w:tabs>
          <w:tab w:leader="none" w:pos="65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Arial" w:cs="Arial" w:eastAsia="Arial" w:hAnsi="Arial"/>
          <w:sz w:val="18"/>
          <w:szCs w:val="18"/>
          <w:color w:val="auto"/>
        </w:rPr>
      </w:pPr>
    </w:p>
    <w:p>
      <w:pPr>
        <w:ind w:left="660" w:right="500" w:hanging="328"/>
        <w:spacing w:after="0" w:line="371" w:lineRule="auto"/>
        <w:tabs>
          <w:tab w:leader="none" w:pos="65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880" w:type="dxa"/>
            <w:vAlign w:val="bottom"/>
            <w:gridSpan w:val="2"/>
          </w:tcPr>
          <w:p>
            <w:pPr>
              <w:spacing w:after="0"/>
              <w:rPr>
                <w:sz w:val="20"/>
                <w:szCs w:val="20"/>
                <w:color w:val="auto"/>
              </w:rPr>
            </w:pPr>
            <w:r>
              <w:rPr>
                <w:rFonts w:ascii="Arial" w:cs="Arial" w:eastAsia="Arial" w:hAnsi="Arial"/>
                <w:sz w:val="18"/>
                <w:szCs w:val="18"/>
                <w:color w:val="auto"/>
              </w:rPr>
              <w:t>Date:   November 9, 2020</w:t>
            </w:r>
          </w:p>
        </w:tc>
        <w:tc>
          <w:tcPr>
            <w:tcW w:w="4300" w:type="dxa"/>
            <w:vAlign w:val="bottom"/>
          </w:tcPr>
          <w:p>
            <w:pPr>
              <w:ind w:left="3800"/>
              <w:spacing w:after="0"/>
              <w:rPr>
                <w:sz w:val="20"/>
                <w:szCs w:val="20"/>
                <w:color w:val="auto"/>
              </w:rPr>
            </w:pPr>
            <w:r>
              <w:rPr>
                <w:rFonts w:ascii="Arial" w:cs="Arial" w:eastAsia="Arial" w:hAnsi="Arial"/>
                <w:sz w:val="18"/>
                <w:szCs w:val="18"/>
                <w:color w:val="auto"/>
              </w:rPr>
              <w:t>By:</w:t>
            </w: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Ethan Brown</w:t>
            </w:r>
          </w:p>
        </w:tc>
      </w:tr>
      <w:tr>
        <w:trPr>
          <w:trHeight w:val="223"/>
        </w:trPr>
        <w:tc>
          <w:tcPr>
            <w:tcW w:w="64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4300" w:type="dxa"/>
            <w:vAlign w:val="bottom"/>
          </w:tcPr>
          <w:p>
            <w:pPr>
              <w:spacing w:after="0"/>
              <w:rPr>
                <w:sz w:val="19"/>
                <w:szCs w:val="19"/>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30"/>
        </w:trPr>
        <w:tc>
          <w:tcPr>
            <w:tcW w:w="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r>
        <w:trPr>
          <w:trHeight w:val="229"/>
        </w:trPr>
        <w:tc>
          <w:tcPr>
            <w:tcW w:w="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bl>
    <w:p>
      <w:pPr>
        <w:sectPr>
          <w:pgSz w:w="11900" w:h="16838" w:orient="portrait"/>
          <w:cols w:equalWidth="0" w:num="1">
            <w:col w:w="11240"/>
          </w:cols>
          <w:pgMar w:left="320" w:top="886"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J. Nelson, certify that:</w:t>
      </w:r>
    </w:p>
    <w:p>
      <w:pPr>
        <w:spacing w:after="0" w:line="158"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Beyond Meat, Inc.;</w:t>
      </w:r>
    </w:p>
    <w:p>
      <w:pPr>
        <w:spacing w:after="0" w:line="103" w:lineRule="exact"/>
        <w:rPr>
          <w:rFonts w:ascii="Arial" w:cs="Arial" w:eastAsia="Arial" w:hAnsi="Arial"/>
          <w:sz w:val="18"/>
          <w:szCs w:val="18"/>
          <w:color w:val="auto"/>
        </w:rPr>
      </w:pPr>
    </w:p>
    <w:p>
      <w:pPr>
        <w:ind w:left="660" w:right="80" w:hanging="328"/>
        <w:spacing w:after="0" w:line="360"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140" w:hanging="328"/>
        <w:spacing w:after="0" w:line="360"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40" w:hanging="328"/>
        <w:spacing w:after="0" w:line="360"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ind w:left="1300" w:right="20" w:hanging="320"/>
        <w:spacing w:after="0" w:line="360"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03" w:lineRule="exact"/>
        <w:rPr>
          <w:rFonts w:ascii="Arial" w:cs="Arial" w:eastAsia="Arial" w:hAnsi="Arial"/>
          <w:sz w:val="18"/>
          <w:szCs w:val="18"/>
          <w:color w:val="auto"/>
        </w:rPr>
      </w:pPr>
    </w:p>
    <w:p>
      <w:pPr>
        <w:ind w:left="1300" w:right="300" w:hanging="320"/>
        <w:spacing w:after="0" w:line="360"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60" w:hanging="320"/>
        <w:spacing w:after="0" w:line="360"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660" w:right="140" w:hanging="328"/>
        <w:spacing w:after="0" w:line="360"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jc w:val="both"/>
        <w:ind w:left="1300" w:right="440" w:hanging="320"/>
        <w:spacing w:after="0" w:line="360"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780" w:hanging="320"/>
        <w:spacing w:after="0" w:line="371"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860" w:type="dxa"/>
            <w:vAlign w:val="bottom"/>
            <w:gridSpan w:val="2"/>
          </w:tcPr>
          <w:p>
            <w:pPr>
              <w:spacing w:after="0"/>
              <w:rPr>
                <w:sz w:val="20"/>
                <w:szCs w:val="20"/>
                <w:color w:val="auto"/>
              </w:rPr>
            </w:pPr>
            <w:r>
              <w:rPr>
                <w:rFonts w:ascii="Arial" w:cs="Arial" w:eastAsia="Arial" w:hAnsi="Arial"/>
                <w:sz w:val="18"/>
                <w:szCs w:val="18"/>
                <w:color w:val="auto"/>
              </w:rPr>
              <w:t>Date:   November 9, 2020</w:t>
            </w:r>
          </w:p>
        </w:tc>
        <w:tc>
          <w:tcPr>
            <w:tcW w:w="4220" w:type="dxa"/>
            <w:vAlign w:val="bottom"/>
          </w:tcPr>
          <w:p>
            <w:pPr>
              <w:ind w:left="3740"/>
              <w:spacing w:after="0"/>
              <w:rPr>
                <w:sz w:val="20"/>
                <w:szCs w:val="20"/>
                <w:color w:val="auto"/>
              </w:rPr>
            </w:pPr>
            <w:r>
              <w:rPr>
                <w:rFonts w:ascii="Arial" w:cs="Arial" w:eastAsia="Arial" w:hAnsi="Arial"/>
                <w:sz w:val="18"/>
                <w:szCs w:val="18"/>
                <w:color w:val="auto"/>
              </w:rPr>
              <w:t>By:</w:t>
            </w: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Mark J. Nelson</w:t>
            </w:r>
          </w:p>
        </w:tc>
      </w:tr>
      <w:tr>
        <w:trPr>
          <w:trHeight w:val="223"/>
        </w:trPr>
        <w:tc>
          <w:tcPr>
            <w:tcW w:w="640" w:type="dxa"/>
            <w:vAlign w:val="bottom"/>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4220" w:type="dxa"/>
            <w:vAlign w:val="bottom"/>
          </w:tcPr>
          <w:p>
            <w:pPr>
              <w:spacing w:after="0"/>
              <w:rPr>
                <w:sz w:val="19"/>
                <w:szCs w:val="19"/>
                <w:color w:val="auto"/>
              </w:rPr>
            </w:pPr>
          </w:p>
        </w:tc>
        <w:tc>
          <w:tcPr>
            <w:tcW w:w="4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Mark J. Nelson</w:t>
            </w:r>
          </w:p>
        </w:tc>
      </w:tr>
      <w:tr>
        <w:trPr>
          <w:trHeight w:val="229"/>
        </w:trPr>
        <w:tc>
          <w:tcPr>
            <w:tcW w:w="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r>
        <w:trPr>
          <w:trHeight w:val="229"/>
        </w:trPr>
        <w:tc>
          <w:tcPr>
            <w:tcW w:w="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r>
    </w:tbl>
    <w:p>
      <w:pPr>
        <w:sectPr>
          <w:pgSz w:w="11900" w:h="16838" w:orient="portrait"/>
          <w:cols w:equalWidth="0" w:num="1">
            <w:col w:w="11240"/>
          </w:cols>
          <w:pgMar w:left="320" w:top="886"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ind w:left="340" w:right="2580"/>
        <w:spacing w:after="0" w:line="25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Ethan Brown, President and Chief Executive Officer of Beyond Meat, Inc. (the “Company”), do hereby certify, pursuant to 18 U.S.C.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my knowledge:</w:t>
      </w:r>
    </w:p>
    <w:p>
      <w:pPr>
        <w:spacing w:after="0" w:line="104" w:lineRule="exact"/>
        <w:rPr>
          <w:sz w:val="20"/>
          <w:szCs w:val="20"/>
          <w:color w:val="auto"/>
        </w:rPr>
      </w:pPr>
    </w:p>
    <w:p>
      <w:pPr>
        <w:ind w:left="980" w:right="100" w:hanging="324"/>
        <w:spacing w:after="0" w:line="354" w:lineRule="auto"/>
        <w:tabs>
          <w:tab w:leader="none" w:pos="9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 ended September 26, 2020 (the “Report”), as filed with the Securities and Exchange Commission, fully complies with the requirements of Section 13(a) or Section 15(d), as applicable, of the Securities Exchange Act of 1934, as amended (the "Exchange Act"); and</w:t>
      </w:r>
    </w:p>
    <w:p>
      <w:pPr>
        <w:spacing w:after="0" w:line="15" w:lineRule="exact"/>
        <w:rPr>
          <w:rFonts w:ascii="Arial" w:cs="Arial" w:eastAsia="Arial" w:hAnsi="Arial"/>
          <w:sz w:val="18"/>
          <w:szCs w:val="18"/>
          <w:color w:val="auto"/>
        </w:rPr>
      </w:pPr>
    </w:p>
    <w:p>
      <w:pPr>
        <w:ind w:left="980" w:right="60" w:hanging="324"/>
        <w:spacing w:after="0" w:line="371" w:lineRule="auto"/>
        <w:tabs>
          <w:tab w:leader="none" w:pos="9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800" w:type="dxa"/>
            <w:vAlign w:val="bottom"/>
            <w:gridSpan w:val="2"/>
          </w:tcPr>
          <w:p>
            <w:pPr>
              <w:spacing w:after="0"/>
              <w:rPr>
                <w:sz w:val="20"/>
                <w:szCs w:val="20"/>
                <w:color w:val="auto"/>
              </w:rPr>
            </w:pPr>
            <w:r>
              <w:rPr>
                <w:rFonts w:ascii="Arial" w:cs="Arial" w:eastAsia="Arial" w:hAnsi="Arial"/>
                <w:sz w:val="18"/>
                <w:szCs w:val="18"/>
                <w:color w:val="auto"/>
              </w:rPr>
              <w:t>Date:   November 9, 2020</w:t>
            </w:r>
          </w:p>
        </w:tc>
        <w:tc>
          <w:tcPr>
            <w:tcW w:w="4440" w:type="dxa"/>
            <w:vAlign w:val="bottom"/>
          </w:tcPr>
          <w:p>
            <w:pPr>
              <w:ind w:left="394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/s/ Ethan Brown</w:t>
            </w:r>
          </w:p>
        </w:tc>
      </w:tr>
      <w:tr>
        <w:trPr>
          <w:trHeight w:val="223"/>
        </w:trPr>
        <w:tc>
          <w:tcPr>
            <w:tcW w:w="640" w:type="dxa"/>
            <w:vAlign w:val="bottom"/>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29"/>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r>
        <w:trPr>
          <w:trHeight w:val="230"/>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bl>
    <w:p>
      <w:pPr>
        <w:spacing w:after="0" w:line="200" w:lineRule="exact"/>
        <w:rPr>
          <w:sz w:val="20"/>
          <w:szCs w:val="20"/>
          <w:color w:val="auto"/>
        </w:rPr>
      </w:pPr>
    </w:p>
    <w:p>
      <w:pPr>
        <w:spacing w:after="0" w:line="366" w:lineRule="exact"/>
        <w:rPr>
          <w:sz w:val="20"/>
          <w:szCs w:val="20"/>
          <w:color w:val="auto"/>
        </w:rPr>
      </w:pPr>
    </w:p>
    <w:p>
      <w:pPr>
        <w:jc w:val="both"/>
        <w:ind w:right="280" w:firstLine="648"/>
        <w:spacing w:after="0" w:line="365"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886"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Mark J. Nelson, Chief Financial Officer and Treasurer of Beyond Meat, Inc. (the “Company”), do hereby certify, pursuant to 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U.S.C. Section 1350, as adopted pursuant to Section 906 of the Sarbanes-Oxley Act of 2002, that, to my knowledge:</w:t>
      </w:r>
    </w:p>
    <w:p>
      <w:pPr>
        <w:spacing w:after="0" w:line="117" w:lineRule="exact"/>
        <w:rPr>
          <w:sz w:val="20"/>
          <w:szCs w:val="20"/>
          <w:color w:val="auto"/>
        </w:rPr>
      </w:pPr>
    </w:p>
    <w:p>
      <w:pPr>
        <w:ind w:left="980" w:right="100" w:hanging="324"/>
        <w:spacing w:after="0" w:line="360" w:lineRule="auto"/>
        <w:tabs>
          <w:tab w:leader="none" w:pos="9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 ended September 26, 2020 (the “Report”), as filed with the Securities and Exchange Commission, fully complies with the requirements of Section 13(a) or Section 15(d), as applicable, of the Securities Exchange Act of 1934, as amended (the "Exchange Act"); and</w:t>
      </w:r>
    </w:p>
    <w:p>
      <w:pPr>
        <w:ind w:left="980" w:right="60" w:hanging="324"/>
        <w:spacing w:after="0" w:line="371" w:lineRule="auto"/>
        <w:tabs>
          <w:tab w:leader="none" w:pos="9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800" w:type="dxa"/>
            <w:vAlign w:val="bottom"/>
            <w:gridSpan w:val="2"/>
          </w:tcPr>
          <w:p>
            <w:pPr>
              <w:spacing w:after="0"/>
              <w:rPr>
                <w:sz w:val="20"/>
                <w:szCs w:val="20"/>
                <w:color w:val="auto"/>
              </w:rPr>
            </w:pPr>
            <w:r>
              <w:rPr>
                <w:rFonts w:ascii="Arial" w:cs="Arial" w:eastAsia="Arial" w:hAnsi="Arial"/>
                <w:sz w:val="18"/>
                <w:szCs w:val="18"/>
                <w:color w:val="auto"/>
              </w:rPr>
              <w:t>Date:   November 9, 2020</w:t>
            </w:r>
          </w:p>
        </w:tc>
        <w:tc>
          <w:tcPr>
            <w:tcW w:w="4440" w:type="dxa"/>
            <w:vAlign w:val="bottom"/>
          </w:tcPr>
          <w:p>
            <w:pPr>
              <w:ind w:left="394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/s/ Mark J. Nelson</w:t>
            </w:r>
          </w:p>
        </w:tc>
      </w:tr>
      <w:tr>
        <w:trPr>
          <w:trHeight w:val="223"/>
        </w:trPr>
        <w:tc>
          <w:tcPr>
            <w:tcW w:w="640" w:type="dxa"/>
            <w:vAlign w:val="bottom"/>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Mark J. Nelson</w:t>
            </w:r>
          </w:p>
        </w:tc>
      </w:tr>
      <w:tr>
        <w:trPr>
          <w:trHeight w:val="229"/>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r>
        <w:trPr>
          <w:trHeight w:val="230"/>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r>
    </w:tbl>
    <w:p>
      <w:pPr>
        <w:spacing w:after="0" w:line="200" w:lineRule="exact"/>
        <w:rPr>
          <w:sz w:val="20"/>
          <w:szCs w:val="20"/>
          <w:color w:val="auto"/>
        </w:rPr>
      </w:pPr>
    </w:p>
    <w:p>
      <w:pPr>
        <w:spacing w:after="0" w:line="366" w:lineRule="exact"/>
        <w:rPr>
          <w:sz w:val="20"/>
          <w:szCs w:val="20"/>
          <w:color w:val="auto"/>
        </w:rPr>
      </w:pPr>
    </w:p>
    <w:p>
      <w:pPr>
        <w:jc w:val="both"/>
        <w:ind w:right="280" w:firstLine="648"/>
        <w:spacing w:after="0" w:line="365"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15" Type="http://schemas.openxmlformats.org/officeDocument/2006/relationships/hyperlink" Target="http://www.sec.gov/Archives/edgar/data/1655210/000165521019000053/byndarcert_incorpex-31.htm" TargetMode="External"/><Relationship Id="rId116" Type="http://schemas.openxmlformats.org/officeDocument/2006/relationships/hyperlink" Target="http://www.sec.gov/Archives/edgar/data/1655210/000165521019000053/byndarbylawsex-32.htm" TargetMode="External"/><Relationship Id="rId117" Type="http://schemas.openxmlformats.org/officeDocument/2006/relationships/hyperlink" Target="http://www.sec.gov/Archives/edgar/data/1655210/000162828019003500/exhibit41-sx1a3.htm" TargetMode="External"/><Relationship Id="rId118" Type="http://schemas.openxmlformats.org/officeDocument/2006/relationships/hyperlink" Target="http://www.sec.gov/Archives/edgar/data/1655210/000162828018014471/exhibit42by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2020-11-09T16:17:12Z</dcterms:created>
  <dcterms:modified xsi:type="dcterms:W3CDTF">2020-11-09T16:17:12Z</dcterms:modified>
</cp:coreProperties>
</file>