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937d8k.htm"/>
      <w:bookmarkStart w:id="1" w:name="ksd2193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30,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BEYOND MEAT,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001-38879</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26-4087597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888 N. Douglas Street, Suite 100</w:t>
            </w:r>
          </w:p>
        </w:tc>
      </w:tr>
      <w:tr>
        <w:trPr/>
        <w:tc>
          <w:tcPr>
            <w:tcW w:w="5900" w:type="dxa"/>
            <w:tcBorders/>
            <w:vAlign w:val="center"/>
          </w:tcPr>
          <w:p>
            <w:pPr>
              <w:pStyle w:val="TableContents"/>
              <w:bidi w:val="0"/>
              <w:spacing w:before="0" w:after="283"/>
              <w:jc w:val="center"/>
              <w:rPr>
                <w:b/>
              </w:rPr>
            </w:pPr>
            <w:r>
              <w:rPr>
                <w:b/>
              </w:rPr>
              <w:t>El Segundo, California 90245</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0" w:after="0"/>
        <w:jc w:val="left"/>
        <w:rPr/>
      </w:pPr>
      <w:r>
        <w:rPr/>
        <w:t> </w:t>
      </w:r>
    </w:p>
    <w:tbl>
      <w:tblPr>
        <w:tblW w:w="5435" w:type="dxa"/>
        <w:jc w:val="left"/>
        <w:tblInd w:w="0" w:type="dxa"/>
        <w:tblLayout w:type="fixed"/>
        <w:tblCellMar>
          <w:top w:w="0" w:type="dxa"/>
          <w:left w:w="0" w:type="dxa"/>
          <w:bottom w:w="0" w:type="dxa"/>
          <w:right w:w="0" w:type="dxa"/>
        </w:tblCellMar>
      </w:tblPr>
      <w:tblGrid>
        <w:gridCol w:w="5435"/>
      </w:tblGrid>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283"/>
              <w:jc w:val="center"/>
              <w:rPr>
                <w:b/>
              </w:rPr>
            </w:pPr>
            <w:r>
              <w:rPr>
                <w:b/>
              </w:rPr>
              <w:t>(866) 756-4112</w:t>
            </w:r>
          </w:p>
        </w:tc>
      </w:tr>
      <w:tr>
        <w:trPr/>
        <w:tc>
          <w:tcPr>
            <w:tcW w:w="5435" w:type="dxa"/>
            <w:tcBorders/>
            <w:vAlign w:val="center"/>
          </w:tcPr>
          <w:p>
            <w:pPr>
              <w:pStyle w:val="TableContents"/>
              <w:bidi w:val="0"/>
              <w:spacing w:before="0" w:after="283"/>
              <w:jc w:val="center"/>
              <w:rPr>
                <w:b/>
              </w:rPr>
            </w:pPr>
            <w:r>
              <w:rPr>
                <w:b/>
              </w:rPr>
              <w:t>(Registrant’s telephone number, including area code)</w:t>
            </w:r>
          </w:p>
        </w:tc>
      </w:tr>
    </w:tbl>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230"/>
        <w:gridCol w:w="89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3350"/>
        <w:gridCol w:w="60"/>
        <w:gridCol w:w="740"/>
        <w:gridCol w:w="60"/>
        <w:gridCol w:w="305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350" w:type="dxa"/>
            <w:tcBorders/>
            <w:vAlign w:val="center"/>
          </w:tcPr>
          <w:p>
            <w:pPr>
              <w:pStyle w:val="TableContents"/>
              <w:bidi w:val="0"/>
              <w:spacing w:before="0" w:after="283"/>
              <w:jc w:val="center"/>
              <w:rPr/>
            </w:pPr>
            <w:r>
              <w:rPr/>
              <w:t>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BYND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9580" w:type="dxa"/>
        <w:jc w:val="left"/>
        <w:tblInd w:w="0" w:type="dxa"/>
        <w:tblLayout w:type="fixed"/>
        <w:tblCellMar>
          <w:top w:w="0" w:type="dxa"/>
          <w:left w:w="0" w:type="dxa"/>
          <w:bottom w:w="0" w:type="dxa"/>
          <w:right w:w="0" w:type="dxa"/>
        </w:tblCellMar>
      </w:tblPr>
      <w:tblGrid>
        <w:gridCol w:w="965"/>
        <w:gridCol w:w="8615"/>
      </w:tblGrid>
      <w:tr>
        <w:trPr/>
        <w:tc>
          <w:tcPr>
            <w:tcW w:w="965" w:type="dxa"/>
            <w:tcBorders/>
            <w:vAlign w:val="center"/>
          </w:tcPr>
          <w:p>
            <w:pPr>
              <w:pStyle w:val="TableContents"/>
              <w:bidi w:val="0"/>
              <w:spacing w:before="0" w:after="283"/>
              <w:jc w:val="left"/>
              <w:rPr>
                <w:b/>
              </w:rPr>
            </w:pPr>
            <w:r>
              <w:rPr>
                <w:b/>
              </w:rPr>
              <w:t>Item 2.03</w:t>
            </w:r>
          </w:p>
        </w:tc>
        <w:tc>
          <w:tcPr>
            <w:tcW w:w="86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8.01 of this Current Report on Form 8-K is incorporated into this Item 2.03 by reference.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Exchange Offer (as defined below), on October 30, 2025, in reliance upon the exemption from the registration requirements of the Securities Act of 1933, as amended (the “Securities Act”) provided by Section 4(a)(2) thereof and Rule 506 of Regulation D promulgated thereunder, Beyond Meat, Inc. (the “Company”) issued 776,610 shares of its common stock and $459,000 in aggregate principal amount of New Convertible Notes (as defined below) to eligible holders of the Existing Convertible Notes (as defined below) accepted for exchange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Item 8.01 of this Current Report on Form 8-K is incorporated into this Item 3.02 by reference.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29, 2025, the Company issued a press release announcing the final tender results and final settlement of the Exchange Offer. The full text of the press release is furnished herewith as Exhibit 99.1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contained or incorporated by reference in this Item 7.01,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or the Exchange Act, regardless of any general incorporation language in such filing, except as shall be expressly set forth by specific reference in such a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October 15, 2025, the Company completed the early settlement of the exchange of $1,114,603,000 in aggregate principal amount (the “Early Tendered Notes”) of its 0% Convertible Senior Notes due 2027 (the “Existing Convertible Notes”) that were validly tendered on or before the early tender deadline of 5:00 p.m., New York City time, on October 10, 2025 (the “Early Tender Date”) in the Company’s previously announced exchange offer (the “Exchange Offer”) to exchange any and all of the Existing Convertible Notes for a pro rata portion of up to $202.5 million in aggregate principal amount of newly issued 7.00% Convertible Senior Secured Second Lien PIK Toggle Notes due 2030 (the “New Convertible Notes”) and up to 326,190,370 shares of the Company’s common stock (the “New Shares”).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reflects tenders and related exchange consideration settled in connection with the Exchange Offer on the Final Settlement Date, including one tender that was partially reflected in the information agent’s records at the time of the announcement of final results on October 29, 2025. In addition to the Early Tendered Notes, an additional $5,938,000 in aggregate principal amount of Existing Convertible Notes was validly tendered in the Exchange Offer and not validly withdrawn following the Early Tender Date in connection with the Exchange Offer (the “Additional Tendered Notes”). On October 30, 2025 (the “Final Settlement Date”), in connection with the final settlement of the Exchange Offer, the Additional Tendered Notes were validly tendered, accepted for exchange by the Company and subsequently cancelled. In connection with the final settlement of the Exchange Offer, on the Final Settlement Date, the Company issued (i) $1,004,000 in aggregate principal amount of New Convertible Notes and (ii) 1,684,270 New Shares, in exchange for the validly tendered and accepted Additional Tendered Notes.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Final Settlement Date, a total of (i) $209,721,000 in aggregate principal amount of New Convertible Notes (inclusive of $12.5 million in aggregate principal amount of New Convertible Notes as payment to certain holders of Existing Convertible Notes that had entered into a transaction support agreement with the Company relating to the Exchange Offer) and (ii) 317,834,446 New Shares have been issued by the Company in connection with the Exchange Offer. The Additional Tendered Notes and the Early Tendered Notes together represent 97.44% of the aggregate outstanding principal amount of Existing Convertible Notes. Following such Final Settlement Date and the cancellation of the Additional Tendered Notes, $29,459,000 in aggregate principal amount of the Existing Convertible Notes remain outstanding.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Convertible Notes and New Shares offered in the Exchange Offer, and the shares of common stock issuable upon conversion of the New Convertible Notes, have not been, and will not be, registered under the Securities Act, or any other securities laws. This Current Report on Form 8-K shall not constitute an offer to sell, or the solicitation of an offer to buy, the New Convertible Notes and New Shares offered in the Exchange Offer, the shares underlying the New Convertible Notes, the Existing Convertible Notes or any other securities, nor will there be any sale of such securities or any other securities, in any state or other jurisdiction in which such offer, sale or solicitation would be unlawful.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 proposals arising out of the Exchange Offer (the “Stockholder Proposals”) will be submitted to the Company’s stockholders for their consideration and approval at a special meeting of the Company’s stockholders. In connection with the Stockholder Proposals, the Company filed with the U.S. Securities and Exchange Commission (“SEC”) a definitive proxy statement on Schedule 14A on October 17, 2025 (the “Proxy Statement”), which has been sent or provided to the Company’s stockholders and contains important information about the Stockholder Proposals and related matters. The Company may also file other relevant documents with the SEC regarding the Stockholder Proposals. This Current Report on Form 8-K is not a substitute for the Proxy Statement or any other document that the Company may file with the SEC. BEFORE MAKING ANY VOTING DECISION WITH RESPECT TO THE STOCKHOLDER PROPOSALS, INVESTORS AND SECURITY HOLDERS ARE URGED TO READ THE PROXY STATEMENT AND ANY OTHER RELEVANT DOCUMENTS THAT ARE FILED OR WILL BE FILED WITH THE SEC, AS WELL AS ANY AMENDMENTS OR SUPPLEMENTS TO THESE DOCUMENTS, CAREFULLY AND IN THEIR ENTIRETY IF AND WHEN THEY BECOME AVAILABLE BECAUSE THEY CONTAIN OR WILL CONTAIN IMPORTANT INFORMATION ABOUT THE STOCKHOLDER PROPOSALS, THE RISKS RELATED THERETO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may obtain free copies of the Proxy Statement and other documents containing important information about the Company and the Stockholder Proposals that are filed or will be filed with the SEC by the Company at the SEC’s website at www.sec.gov or at the Company’s website at investors.beyondmeat.com.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Stockholder Proposals. Information regarding the Company’s directors and named executive officers, including a description of their direct or indirect interests, by security holdings or otherwise, is contained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holdings of the Company’s securities by such directors or executive officers (or the identity of such directors or executive officers) have changed since the information set forth in the Proxy Statement, such information has been or will be reflected on the Initial Statements of Beneficial Ownership on Form 3 or Statements of Changes in Beneficial Ownership on Form 4 filed with the SEC. Additional information regarding the interests of the Company’s directors and executive officers in the Stockholder Proposals are included in the Proxy Statement.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the Company’s ability to consummate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Offer.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risks related to the Company’s ability to realize the anticipated benefits of the Exchange Offer and the risks discussed under the heading “Risk Factors” in the Company’s Annual Report on Form 10-K for the fiscal year ended December 31, 2024 filed with the SEC on March 5, 2025, the Company’s Quarterly Report on Form 10-Q for the fiscal quarter ended March 29, 2025 filed with the SEC on May 8, 2025, the Company’s Quarterly Report on Form 10-Q for the fiscal quarter ended June 28, 2025 filed with the SEC on August 8, 2025, and under the heading “Supplementary Risk Factors” in Beyond Meat’s Current Report on Form 8-K filed with the SEC on October 6, 2025,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the Company does update one or more forward-looking statements, no inference should be made that the Company will make additional updates with respect to those or other forward-looking statements.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620"/>
        <w:gridCol w:w="120"/>
        <w:gridCol w:w="7280"/>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80"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d21937dex991.htm">
              <w:r>
                <w:rPr>
                  <w:rStyle w:val="InternetLink"/>
                </w:rPr>
                <w:t>Press release of Beyond Meat, Inc. dated October 29, 2025</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Cover page interactive data file (embedded with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380"/>
        <w:gridCol w:w="60"/>
        <w:gridCol w:w="359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b/>
              </w:rPr>
            </w:pPr>
            <w:r>
              <w:rPr>
                <w:b/>
              </w:rPr>
              <w:t>BEYOND MEAT,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30, 2025 </w:t>
      </w:r>
    </w:p>
    <w:p>
      <w:pPr>
        <w:pStyle w:val="TextBody"/>
        <w:bidi w:val="0"/>
        <w:spacing w:before="0" w:after="0"/>
        <w:jc w:val="right"/>
        <w:rPr>
          <w:rFonts w:ascii="Times New Roman" w:hAnsi="Times New Roman"/>
          <w:b/>
          <w:sz w:val="20"/>
        </w:rPr>
      </w:pPr>
      <w:bookmarkStart w:id="2" w:name="d21937dex991.htm"/>
      <w:bookmarkStart w:id="3" w:name="ksd21937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Beyond Meat Announces Final Tender Results and Final Settlement for Exchange Offer </w:t>
      </w:r>
    </w:p>
    <w:p>
      <w:pPr>
        <w:pStyle w:val="TextBody"/>
        <w:bidi w:val="0"/>
        <w:spacing w:before="0" w:after="0"/>
        <w:jc w:val="center"/>
        <w:rPr>
          <w:rFonts w:ascii="Times New Roman" w:hAnsi="Times New Roman"/>
          <w:b/>
          <w:sz w:val="20"/>
        </w:rPr>
      </w:pPr>
      <w:r>
        <w:rPr>
          <w:rFonts w:ascii="Times New Roman" w:hAnsi="Times New Roman"/>
          <w:b/>
          <w:sz w:val="20"/>
        </w:rPr>
        <w:t xml:space="preserve">and Consent Solicitation with Respect to Existing Convertible Notes </w:t>
      </w:r>
    </w:p>
    <w:p>
      <w:pPr>
        <w:pStyle w:val="TextBody"/>
        <w:bidi w:val="0"/>
        <w:spacing w:before="240" w:after="0"/>
        <w:jc w:val="left"/>
        <w:rPr>
          <w:rFonts w:ascii="Times New Roman" w:hAnsi="Times New Roman"/>
          <w:sz w:val="20"/>
        </w:rPr>
      </w:pPr>
      <w:r>
        <w:rPr>
          <w:rFonts w:ascii="Times New Roman" w:hAnsi="Times New Roman"/>
          <w:b/>
          <w:sz w:val="20"/>
        </w:rPr>
        <w:t xml:space="preserve">El Segundo, California. (October 29, 2025) — </w:t>
      </w:r>
      <w:r>
        <w:rPr>
          <w:rFonts w:ascii="Times New Roman" w:hAnsi="Times New Roman"/>
          <w:sz w:val="20"/>
        </w:rPr>
        <w:t xml:space="preserve">Beyond Meat, Inc. (NASDAQ: BYND) (the “Company” or “Beyond Meat”), a leader in plant-based meat, today announced the final tender results of its previously announced exchange offer (the “Exchange Offer”) to exchange any and all of its 0% Convertible Senior Notes due 2027 (the “Existing Convertible Notes”) for a pro rata portion of (i) up to $202.5 million in aggregate principal amount of its new 7.00% Convertible Senior Secured Second Lien PIK Toggle Notes due 2030 (the “New Convertible Notes”) and (ii) up to 326,190,370 shares of its common stock (the “New Shares” and, together with the New Convertible Notes,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as of 5:00 p.m., New York City time, on October 10, 2025 (the “Early Tender Date”), $1,114,603,000 in aggregate principal amount of Existing Convertible Notes was validly tendered in the Exchange Offer and not validly withdrawn (the “Early Tendered Notes”) and related consents to the Proposed Amendments (as defined below) were validly delivered and not validly withdrawn as of such time. Early settlement of Offered Securities in exchange for the Existing Convertible Notes validly tendered in the Exchange Offer and not validly withdrawn as of the Early Tender Date occurred on October 15, 2025 (the “Early Settlement Date”), and the Company entered into a supplemental indenture eliminating substantially all of the restrictive covenants in the indenture governing the Existing Convertible Notes, as well as certain events of default and related provisions applicable to the Existing Convertible Notes (the “Proposed Amendments”). </w:t>
      </w:r>
    </w:p>
    <w:p>
      <w:pPr>
        <w:pStyle w:val="TextBody"/>
        <w:bidi w:val="0"/>
        <w:spacing w:before="240" w:after="0"/>
        <w:jc w:val="left"/>
        <w:rPr>
          <w:rFonts w:ascii="Times New Roman" w:hAnsi="Times New Roman"/>
          <w:sz w:val="20"/>
        </w:rPr>
      </w:pPr>
      <w:r>
        <w:rPr>
          <w:rFonts w:ascii="Times New Roman" w:hAnsi="Times New Roman"/>
          <w:sz w:val="20"/>
        </w:rPr>
        <w:t xml:space="preserve">As of 5:00 p.m., New York City time, on October 28, 2025 (the “Expiration Deadline”), based on information provided by MacKenzie Partners, Inc., which is acting as the exchange agent and information agent for the Exchange Offer (the “Exchange Agent”), an additional $2,738,000 in aggregate principal amount of Existing Convertible Notes was validly tendered in the Exchange Offer and not validly withdrawn following the Early Tender Date and prior to the Expiration Deadline (the “Additional Tendered Notes”). As previously announced, holders of Existing Convertible Notes tendered following the Early Tender Date and prior to the Expiration Deadline are eligible to receive $170.8044 in aggregate principal amount of New Convertible Notes and 283.6438 New Shares for each $1,000 in aggregate principal amount of Existing Convertible Notes validly tendered. Settlement with respect to the Additional Tendered Notes is expected to occur on October 30, 2025 (the “Final Settlement Date”), the second business day immediately following the Expiration Deadline.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describes the final tender results for Existing Convertible Notes tendered following the Early Tender Date and prior to the Expiration Deadline at 5:00 p.m., New York City time, on October 28, 2025, as well as the Offered Securities expected to be issued on the Final Settlement Date: </w:t>
      </w:r>
    </w:p>
    <w:p>
      <w:pPr>
        <w:pStyle w:val="TextBody"/>
        <w:bidi w:val="0"/>
        <w:spacing w:before="0" w:after="0"/>
        <w:jc w:val="left"/>
        <w:rPr/>
      </w:pPr>
      <w:r>
        <w:rPr/>
        <w:t> </w:t>
      </w:r>
    </w:p>
    <w:tbl>
      <w:tblPr>
        <w:tblW w:w="9560" w:type="dxa"/>
        <w:jc w:val="center"/>
        <w:tblInd w:w="0" w:type="dxa"/>
        <w:tblLayout w:type="fixed"/>
        <w:tblCellMar>
          <w:top w:w="0" w:type="dxa"/>
          <w:left w:w="0" w:type="dxa"/>
          <w:bottom w:w="0" w:type="dxa"/>
          <w:right w:w="0" w:type="dxa"/>
        </w:tblCellMar>
      </w:tblPr>
      <w:tblGrid>
        <w:gridCol w:w="545"/>
        <w:gridCol w:w="120"/>
        <w:gridCol w:w="257"/>
        <w:gridCol w:w="1803"/>
        <w:gridCol w:w="60"/>
        <w:gridCol w:w="120"/>
        <w:gridCol w:w="539"/>
        <w:gridCol w:w="3081"/>
        <w:gridCol w:w="60"/>
        <w:gridCol w:w="120"/>
        <w:gridCol w:w="195"/>
        <w:gridCol w:w="2600"/>
        <w:gridCol w:w="6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w:t>
              <w:br/>
              <w:t>Amount</w:t>
              <w:br/>
              <w:t>of Additional</w:t>
              <w:br/>
              <w:t>Tendered Notes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w:t>
              <w:br/>
              <w:t>Amount of Additional New</w:t>
              <w:br/>
              <w:t>Convertible Notes Expected</w:t>
              <w:br/>
              <w:t>to be Issued on the Final Settlement</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Additional New</w:t>
              <w:br/>
              <w:t>Shares Expected</w:t>
              <w:br/>
              <w:t>to be Issued on the Final</w:t>
              <w:br/>
              <w:t>Settlement Date</w:t>
            </w:r>
          </w:p>
        </w:tc>
        <w:tc>
          <w:tcPr>
            <w:tcW w:w="60" w:type="dxa"/>
            <w:tcBorders/>
            <w:vAlign w:val="bottom"/>
          </w:tcPr>
          <w:p>
            <w:pPr>
              <w:pStyle w:val="TableContents"/>
              <w:bidi w:val="0"/>
              <w:spacing w:before="0" w:after="283"/>
              <w:jc w:val="left"/>
              <w:rPr/>
            </w:pPr>
            <w:r>
              <w:rPr/>
              <w:t> </w:t>
            </w:r>
          </w:p>
        </w:tc>
      </w:tr>
      <w:tr>
        <w:trPr/>
        <w:tc>
          <w:tcPr>
            <w:tcW w:w="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 Convertible Senior Notes due 2027</w:t>
            </w:r>
          </w:p>
        </w:tc>
        <w:tc>
          <w:tcPr>
            <w:tcW w:w="1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803" w:type="dxa"/>
            <w:tcBorders/>
            <w:shd w:fill="CCEEFF" w:val="clear"/>
            <w:vAlign w:val="bottom"/>
          </w:tcPr>
          <w:p>
            <w:pPr>
              <w:pStyle w:val="TableContents"/>
              <w:bidi w:val="0"/>
              <w:spacing w:before="0" w:after="283"/>
              <w:jc w:val="right"/>
              <w:rPr/>
            </w:pPr>
            <w:r>
              <w:rPr/>
              <w:t>2,738,000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left"/>
              <w:rPr/>
            </w:pPr>
            <w:r>
              <w:rPr/>
              <w:t>$</w:t>
            </w:r>
          </w:p>
        </w:tc>
        <w:tc>
          <w:tcPr>
            <w:tcW w:w="3081" w:type="dxa"/>
            <w:tcBorders/>
            <w:shd w:fill="CCEEFF" w:val="clear"/>
            <w:vAlign w:val="bottom"/>
          </w:tcPr>
          <w:p>
            <w:pPr>
              <w:pStyle w:val="TableContents"/>
              <w:bidi w:val="0"/>
              <w:spacing w:before="0" w:after="283"/>
              <w:jc w:val="right"/>
              <w:rPr/>
            </w:pPr>
            <w:r>
              <w:rPr/>
              <w:t>459,000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right"/>
              <w:rPr/>
            </w:pPr>
            <w:r>
              <w:rPr/>
              <w:t>776,610</w:t>
            </w:r>
          </w:p>
        </w:tc>
        <w:tc>
          <w:tcPr>
            <w:tcW w:w="6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early settlement of the Exchange Offer, on the Early Settlement Date, the Company issued (i) $208,717,000 in aggregate principal amount of New Convertible Notes (inclusive of $12.5 million in aggregate principal amount of New Convertible Notes as payment to certain holders of Existing Convertible Notes that had entered into a transaction support agreement with the Company relating to the Exchange Offer) and (ii) 316,150,176 New Shares. Following the Final Settlement Date, a total of (i) $209,176,000 in aggregate principal amount of New Convertible Notes (inclusive of $12.5 million in aggregate principal amount of New Convertible Notes as payment to certain holders of Existing Convertible Notes that had entered into a transaction support agreement with the Company relating to the Exchange Offer) and (ii) 316,926,786 New Shares will have been issued by the Company in connection with the Exchange Offer on the Early Settlement Date and the Final Settlement Date. The Additional Tendered Notes and the Early Tendered Notes together represent 97.16% of the aggregate outstanding principal amount of Existing Convertible Notes. Following such Final Settlement Date and the cancellation of the Additional Tendered Notes, $32,659,000 in aggregate principal amount of the Existing Convertible Notes will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New Convertible Notes and shares of common stock offered in the Exchange Offer are being offered only to holders of Existing Convertible Notes that are (i) “qualified institutional buyers” as defined in Rule 144A under the Securities Act or (ii) “accredited investors” (within the meaning of Rule 501(a) under the Securities Act) that beneficially own a minimum of $200,000 in aggregate principal amount of Existing Convertible Notes (“Eligible Holders”). </w:t>
      </w:r>
    </w:p>
    <w:p>
      <w:pPr>
        <w:pStyle w:val="TextBody"/>
        <w:bidi w:val="0"/>
        <w:spacing w:before="240" w:after="0"/>
        <w:jc w:val="left"/>
        <w:rPr>
          <w:rFonts w:ascii="Times New Roman" w:hAnsi="Times New Roman"/>
          <w:sz w:val="20"/>
        </w:rPr>
      </w:pPr>
      <w:r>
        <w:rPr>
          <w:rFonts w:ascii="Times New Roman" w:hAnsi="Times New Roman"/>
          <w:sz w:val="20"/>
        </w:rPr>
        <w:t xml:space="preserve">The New Convertible Notes and New Shares offered in the Exchange Offer, and the shares of common stock issuable upon conversion of the New Convertible Notes have not been, and will not be, registered under the Securities Act of 1933, as amended, or any other securities laws. This press release shall not constitute an offer to sell, or the solicitation of an offer to buy, the New Convertible Notes and New Shares offered in the Exchange Offer, the shares of common stock issuable upon conversion of the New Convertible Notes, the Existing Convertible Notes or any other securities, nor will there be any sale of such securities or any other securities, in any state or other jurisdiction in which such offer, sale or solicitation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About Beyond Meat </w:t>
      </w:r>
    </w:p>
    <w:p>
      <w:pPr>
        <w:pStyle w:val="TextBody"/>
        <w:bidi w:val="0"/>
        <w:spacing w:before="120" w:after="0"/>
        <w:jc w:val="left"/>
        <w:rPr>
          <w:rFonts w:ascii="Times New Roman" w:hAnsi="Times New Roman"/>
          <w:sz w:val="20"/>
        </w:rPr>
      </w:pPr>
      <w:r>
        <w:rPr>
          <w:rFonts w:ascii="Times New Roman" w:hAnsi="Times New Roman"/>
          <w:sz w:val="20"/>
        </w:rPr>
        <w:t xml:space="preserve">Beyond Meat, Inc. (NASDAQ: BYND) is a leading plant-based meat company offering a portfolio of revolutionary plant-based meats made from simple ingredients without GMOs, no added hormones or antibiotics, and 0mg of cholesterol per serving. Founded in 2009, Beyond Meat products are designed to have the same taste and texture as animal-based meat while being better for people and the planet. Beyond Meat’s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Beyond Meat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release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Beyond Meat’s ability to consummate the Exchange Offer.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risks related to Beyond Meat’s ability to realize the anticipated benefits of the Exchange Offer and Consent Solicitation and the risks discussed under the heading “Risk Factors” in Beyond Meat’s Annual Report on Form 10-K for the fiscal year ended December 31, 2024 filed with the U.S. Securities and Exchange Commission (“SEC”) on March 5, 2025, Beyond Meat’s Quarterly Report on Form 10-Q for the fiscal quarter ended March 29, 2025 filed with the SEC on May 8, 2025, Beyond Meat’s Quarterly Report on Form 10-Q for the fiscal quarter ended June 28, 2025 filed with the SEC on August 8, 2025, and under the heading “Supplementary Risk Factors” in Beyond Meat’s Current Report on Form 8-K filed with the SEC on October 6, 2025, as well as other factors described from time to time in Beyond Meat’s filings with the SEC. Such forward-looking statements are made only as of the date of this release. Beyond Meat undertakes no obligation to publicly update or revise any forward-looking statement because of new information, future events or otherwise, except as otherwise required by law. If Beyond Meat does update one or more forward-looking statements, no inference should be made that Beyond Meat will make additional updates with respect to those or other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Shira Zackai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Shira.zackai@beyondmeat.com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Raphael Gross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beyondmeat@icrinc.com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3487</Words>
  <Characters>19230</Characters>
  <CharactersWithSpaces>22722</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