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Muth Charles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BEYOND MEAT,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119 STANDARD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BEYOND MEAT,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BYND</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60"/>
        <w:spacing w:after="0"/>
        <w:rPr>
          <w:sz w:val="20"/>
          <w:szCs w:val="20"/>
          <w:color w:val="auto"/>
        </w:rPr>
      </w:pPr>
      <w:r>
        <w:rPr>
          <w:rFonts w:ascii="Arial" w:cs="Arial" w:eastAsia="Arial" w:hAnsi="Arial"/>
          <w:sz w:val="17"/>
          <w:szCs w:val="17"/>
          <w:color w:val="0000FF"/>
        </w:rPr>
        <w:t>Chief Growth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5"/>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EL SEGUNDO  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90245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3"/>
          </w:tcPr>
          <w:p>
            <w:pPr>
              <w:ind w:left="900"/>
              <w:spacing w:after="0"/>
              <w:rPr>
                <w:sz w:val="20"/>
                <w:szCs w:val="20"/>
                <w:color w:val="auto"/>
              </w:rPr>
            </w:pPr>
            <w:r>
              <w:rPr>
                <w:rFonts w:ascii="Arial" w:cs="Arial" w:eastAsia="Arial" w:hAnsi="Arial"/>
                <w:sz w:val="17"/>
                <w:szCs w:val="17"/>
                <w:color w:val="0000FF"/>
              </w:rPr>
              <w:t>04/08/2020</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31,251</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w:t>
            </w:r>
          </w:p>
        </w:tc>
        <w:tc>
          <w:tcPr>
            <w:tcW w:w="60" w:type="dxa"/>
            <w:vAlign w:val="bottom"/>
          </w:tcPr>
          <w:p>
            <w:pPr>
              <w:spacing w:after="0"/>
              <w:rPr>
                <w:sz w:val="22"/>
                <w:szCs w:val="22"/>
                <w:color w:val="auto"/>
              </w:rPr>
            </w:pPr>
          </w:p>
        </w:tc>
        <w:tc>
          <w:tcPr>
            <w:tcW w:w="1260" w:type="dxa"/>
            <w:vAlign w:val="bottom"/>
            <w:gridSpan w:val="3"/>
          </w:tcPr>
          <w:p>
            <w:pPr>
              <w:jc w:val="right"/>
              <w:ind w:right="281"/>
              <w:spacing w:after="0"/>
              <w:rPr>
                <w:sz w:val="20"/>
                <w:szCs w:val="20"/>
                <w:color w:val="auto"/>
              </w:rPr>
            </w:pPr>
            <w:r>
              <w:rPr>
                <w:rFonts w:ascii="Arial" w:cs="Arial" w:eastAsia="Arial" w:hAnsi="Arial"/>
                <w:sz w:val="17"/>
                <w:szCs w:val="17"/>
                <w:color w:val="0000FF"/>
              </w:rPr>
              <w:t>250,279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jc w:val="right"/>
              <w:ind w:right="361"/>
              <w:spacing w:after="0"/>
              <w:rPr>
                <w:sz w:val="20"/>
                <w:szCs w:val="20"/>
                <w:color w:val="auto"/>
              </w:rPr>
            </w:pPr>
            <w:r>
              <w:rPr>
                <w:rFonts w:ascii="Arial" w:cs="Arial" w:eastAsia="Arial" w:hAnsi="Arial"/>
                <w:sz w:val="17"/>
                <w:szCs w:val="17"/>
                <w:color w:val="0000FF"/>
              </w:rPr>
              <w:t>1,628</w:t>
            </w:r>
          </w:p>
        </w:tc>
        <w:tc>
          <w:tcPr>
            <w:tcW w:w="280" w:type="dxa"/>
            <w:vAlign w:val="bottom"/>
          </w:tcPr>
          <w:p>
            <w:pPr>
              <w:spacing w:after="0"/>
              <w:rPr>
                <w:sz w:val="24"/>
                <w:szCs w:val="24"/>
                <w:color w:val="auto"/>
              </w:rPr>
            </w:pPr>
          </w:p>
        </w:tc>
        <w:tc>
          <w:tcPr>
            <w:tcW w:w="680" w:type="dxa"/>
            <w:vAlign w:val="bottom"/>
          </w:tcPr>
          <w:p>
            <w:pPr>
              <w:ind w:left="60"/>
              <w:spacing w:after="0" w:line="309" w:lineRule="exact"/>
              <w:rPr>
                <w:sz w:val="20"/>
                <w:szCs w:val="20"/>
                <w:color w:val="auto"/>
              </w:rPr>
            </w:pPr>
            <w:r>
              <w:rPr>
                <w:rFonts w:ascii="Arial" w:cs="Arial" w:eastAsia="Arial" w:hAnsi="Arial"/>
                <w:sz w:val="33"/>
                <w:szCs w:val="33"/>
                <w:color w:val="0000FF"/>
                <w:vertAlign w:val="subscript"/>
              </w:rPr>
              <w:t>I</w:t>
            </w:r>
            <w:r>
              <w:rPr>
                <w:rFonts w:ascii="Arial" w:cs="Arial" w:eastAsia="Arial" w:hAnsi="Arial"/>
                <w:sz w:val="11"/>
                <w:szCs w:val="11"/>
                <w:color w:val="008000"/>
              </w:rPr>
              <w:t>(1)</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214"/>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w:t>
            </w:r>
          </w:p>
        </w:tc>
        <w:tc>
          <w:tcPr>
            <w:tcW w:w="1040" w:type="dxa"/>
            <w:vAlign w:val="bottom"/>
          </w:tcPr>
          <w:p>
            <w:pPr>
              <w:ind w:left="260"/>
              <w:spacing w:after="0"/>
              <w:rPr>
                <w:sz w:val="20"/>
                <w:szCs w:val="20"/>
                <w:color w:val="auto"/>
              </w:rPr>
            </w:pPr>
            <w:r>
              <w:rPr>
                <w:rFonts w:ascii="Arial" w:cs="Arial" w:eastAsia="Arial" w:hAnsi="Arial"/>
                <w:sz w:val="13"/>
                <w:szCs w:val="13"/>
                <w:color w:val="0000FF"/>
              </w:rPr>
              <w:t>04/08/2020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900" w:type="dxa"/>
            <w:vAlign w:val="bottom"/>
          </w:tcPr>
          <w:p>
            <w:pPr>
              <w:ind w:left="420"/>
              <w:spacing w:after="0"/>
              <w:rPr>
                <w:sz w:val="20"/>
                <w:szCs w:val="20"/>
                <w:color w:val="auto"/>
              </w:rPr>
            </w:pPr>
            <w:r>
              <w:rPr>
                <w:rFonts w:ascii="Arial" w:cs="Arial" w:eastAsia="Arial" w:hAnsi="Arial"/>
                <w:sz w:val="13"/>
                <w:szCs w:val="13"/>
                <w:color w:val="0000FF"/>
              </w:rPr>
              <w:t>31,251</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02/14/2028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4"/>
              <w:spacing w:after="0" w:line="189" w:lineRule="exact"/>
              <w:rPr>
                <w:sz w:val="20"/>
                <w:szCs w:val="20"/>
                <w:color w:val="auto"/>
              </w:rPr>
            </w:pPr>
            <w:r>
              <w:rPr>
                <w:rFonts w:ascii="Arial" w:cs="Arial" w:eastAsia="Arial" w:hAnsi="Arial"/>
                <w:sz w:val="17"/>
                <w:szCs w:val="17"/>
                <w:color w:val="0000FF"/>
                <w:w w:val="84"/>
              </w:rPr>
              <w:t>31,251</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ind w:left="180"/>
              <w:spacing w:after="0"/>
              <w:rPr>
                <w:sz w:val="20"/>
                <w:szCs w:val="20"/>
                <w:color w:val="auto"/>
              </w:rPr>
            </w:pPr>
            <w:r>
              <w:rPr>
                <w:rFonts w:ascii="Arial" w:cs="Arial" w:eastAsia="Arial" w:hAnsi="Arial"/>
                <w:sz w:val="13"/>
                <w:szCs w:val="13"/>
                <w:color w:val="0000FF"/>
              </w:rPr>
              <w:t>155,512</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-3258820</wp:posOffset>
            </wp:positionV>
            <wp:extent cx="7033895" cy="339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978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son who shares Reporting Person's household. The Reporting Person disclaims beneficial ownership of the shares held by his son, and this report should not be deemed an admission that the Reporting Person is the beneficial owner of his son's shares for purposes of Section 16 or for any other purpose.</w:t>
      </w:r>
    </w:p>
    <w:p>
      <w:pPr>
        <w:spacing w:after="0" w:line="25" w:lineRule="exact"/>
        <w:rPr>
          <w:rFonts w:ascii="Arial" w:cs="Arial" w:eastAsia="Arial" w:hAnsi="Arial"/>
          <w:sz w:val="13"/>
          <w:szCs w:val="13"/>
          <w:color w:val="008000"/>
        </w:rPr>
      </w:pPr>
    </w:p>
    <w:p>
      <w:pPr>
        <w:jc w:val="both"/>
        <w:ind w:left="40" w:right="3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Exercise of stock option granted under the 2011 Equity Incentive Plan on February 15, 2018; the option vested and became exercisable as to 25% of the total shares on May 30, 2018, and 1/48th of the total shares vests and becomes exercisable monthly thereafter such that the option is fully vested and exercisable on May 30, 2021, subject to an Executive Change in Control Severance Agreement by and between the Reporting Person and the Issuer.</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Teri L. Witteman,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99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Charles</w:t>
      </w:r>
      <w:r>
        <w:rPr>
          <w:sz w:val="20"/>
          <w:szCs w:val="20"/>
          <w:color w:val="auto"/>
        </w:rPr>
        <w:tab/>
      </w:r>
      <w:r>
        <w:rPr>
          <w:rFonts w:ascii="Arial" w:cs="Arial" w:eastAsia="Arial" w:hAnsi="Arial"/>
          <w:sz w:val="15"/>
          <w:szCs w:val="15"/>
          <w:color w:val="0000FF"/>
        </w:rPr>
        <w:t>04/10/2020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Muth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30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050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8612"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2020-04-10T15:44:19Z</dcterms:created>
  <dcterms:modified xsi:type="dcterms:W3CDTF">2020-04-10T15:44:19Z</dcterms:modified>
</cp:coreProperties>
</file>