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191770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Washington, D.C. 20549</w:t>
      </w:r>
    </w:p>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-99060</wp:posOffset>
            </wp:positionV>
            <wp:extent cx="19157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5795" cy="571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123825</wp:posOffset>
            </wp:positionV>
            <wp:extent cx="19157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5795" cy="571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3"/>
          <w:szCs w:val="13"/>
          <w:color w:val="auto"/>
        </w:rPr>
      </w:pPr>
      <w:r>
        <w:rPr>
          <w:rFonts w:ascii="Arial" w:cs="Arial" w:eastAsia="Arial" w:hAnsi="Arial"/>
          <w:sz w:val="12"/>
          <w:szCs w:val="12"/>
          <w:color w:val="auto"/>
        </w:rPr>
        <w:t>QUARTERLY REPORT PURSUANT TO SECTION 13 OR 15(d) OF THE SECURITIES AND EXCHANGE ACT OF 1934</w:t>
      </w:r>
    </w:p>
    <w:p>
      <w:pPr>
        <w:spacing w:after="0" w:line="42"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b w:val="1"/>
          <w:bCs w:val="1"/>
          <w:color w:val="auto"/>
        </w:rPr>
        <w:t>June 29, 2019</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OR</w:t>
      </w:r>
    </w:p>
    <w:p>
      <w:pPr>
        <w:spacing w:after="0" w:line="114"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3"/>
          <w:szCs w:val="13"/>
          <w:color w:val="auto"/>
        </w:rPr>
      </w:pPr>
      <w:r>
        <w:rPr>
          <w:rFonts w:ascii="Arial" w:cs="Arial" w:eastAsia="Arial" w:hAnsi="Arial"/>
          <w:sz w:val="12"/>
          <w:szCs w:val="12"/>
          <w:color w:val="auto"/>
        </w:rPr>
        <w:t>TRANSITION REPORT PURSUANT TO SECTION 13 OR 15(d) OF THE SECURITIES EXCHANGE ACT OF 1934</w:t>
      </w:r>
    </w:p>
    <w:p>
      <w:pPr>
        <w:spacing w:after="0" w:line="186" w:lineRule="exact"/>
        <w:rPr>
          <w:sz w:val="24"/>
          <w:szCs w:val="24"/>
          <w:color w:val="auto"/>
        </w:rPr>
      </w:pPr>
    </w:p>
    <w:p>
      <w:pPr>
        <w:ind w:left="4540"/>
        <w:spacing w:after="0"/>
        <w:tabs>
          <w:tab w:leader="none" w:pos="6800" w:val="left"/>
        </w:tabs>
        <w:rPr>
          <w:sz w:val="20"/>
          <w:szCs w:val="20"/>
          <w:color w:val="auto"/>
        </w:rPr>
      </w:pPr>
      <w:r>
        <w:rPr>
          <w:rFonts w:ascii="Arial" w:cs="Arial" w:eastAsia="Arial" w:hAnsi="Arial"/>
          <w:sz w:val="12"/>
          <w:szCs w:val="12"/>
          <w:color w:val="auto"/>
        </w:rPr>
        <w:t>For the transition period from</w:t>
      </w:r>
      <w:r>
        <w:rPr>
          <w:sz w:val="20"/>
          <w:szCs w:val="20"/>
          <w:color w:val="auto"/>
        </w:rPr>
        <w:tab/>
      </w:r>
      <w:r>
        <w:rPr>
          <w:rFonts w:ascii="Arial" w:cs="Arial" w:eastAsia="Arial" w:hAnsi="Arial"/>
          <w:sz w:val="11"/>
          <w:szCs w:val="11"/>
          <w:color w:val="auto"/>
        </w:rPr>
        <w:t>to</w:t>
      </w:r>
    </w:p>
    <w:p>
      <w:pPr>
        <w:spacing w:after="0" w:line="150"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113030</wp:posOffset>
            </wp:positionV>
            <wp:extent cx="1915795" cy="606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5795" cy="606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340" w:type="dxa"/>
        <w:tblCellMar>
          <w:top w:w="0" w:type="dxa"/>
          <w:left w:w="0" w:type="dxa"/>
          <w:bottom w:w="0" w:type="dxa"/>
          <w:right w:w="0" w:type="dxa"/>
        </w:tblCellMar>
      </w:tblPr>
      <w:tr>
        <w:trPr>
          <w:trHeight w:val="184"/>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BEYOND MEAT, INC.</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gridSpan w:val="6"/>
          </w:tcPr>
          <w:p>
            <w:pPr>
              <w:jc w:val="center"/>
              <w:ind w:right="340"/>
              <w:spacing w:after="0"/>
              <w:rPr>
                <w:sz w:val="20"/>
                <w:szCs w:val="20"/>
                <w:color w:val="auto"/>
              </w:rPr>
            </w:pPr>
            <w:r>
              <w:rPr>
                <w:rFonts w:ascii="Arial" w:cs="Arial" w:eastAsia="Arial" w:hAnsi="Arial"/>
                <w:sz w:val="12"/>
                <w:szCs w:val="12"/>
                <w:color w:val="auto"/>
              </w:rPr>
              <w:t>(Exact name of registrant as specified in its charter)</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vMerge w:val="restart"/>
          </w:tcPr>
          <w:p>
            <w:pPr>
              <w:jc w:val="center"/>
              <w:ind w:left="1802"/>
              <w:spacing w:after="0"/>
              <w:rPr>
                <w:sz w:val="20"/>
                <w:szCs w:val="20"/>
                <w:color w:val="auto"/>
              </w:rPr>
            </w:pPr>
            <w:r>
              <w:rPr>
                <w:rFonts w:ascii="Arial" w:cs="Arial" w:eastAsia="Arial" w:hAnsi="Arial"/>
                <w:sz w:val="12"/>
                <w:szCs w:val="12"/>
                <w:b w:val="1"/>
                <w:bCs w:val="1"/>
                <w:color w:val="auto"/>
                <w:w w:val="98"/>
              </w:rPr>
              <w:t>Delaware</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540" w:type="dxa"/>
            <w:vAlign w:val="bottom"/>
            <w:vMerge w:val="restart"/>
          </w:tcPr>
          <w:p>
            <w:pPr>
              <w:jc w:val="center"/>
              <w:ind w:right="1922"/>
              <w:spacing w:after="0"/>
              <w:rPr>
                <w:sz w:val="20"/>
                <w:szCs w:val="20"/>
                <w:color w:val="auto"/>
              </w:rPr>
            </w:pPr>
            <w:r>
              <w:rPr>
                <w:rFonts w:ascii="Arial" w:cs="Arial" w:eastAsia="Arial" w:hAnsi="Arial"/>
                <w:sz w:val="12"/>
                <w:szCs w:val="12"/>
                <w:b w:val="1"/>
                <w:bCs w:val="1"/>
                <w:color w:val="auto"/>
                <w:w w:val="99"/>
              </w:rPr>
              <w:t>26-4087597</w:t>
            </w:r>
          </w:p>
        </w:tc>
        <w:tc>
          <w:tcPr>
            <w:tcW w:w="0" w:type="dxa"/>
            <w:vAlign w:val="bottom"/>
          </w:tcPr>
          <w:p>
            <w:pPr>
              <w:spacing w:after="0"/>
              <w:rPr>
                <w:sz w:val="1"/>
                <w:szCs w:val="1"/>
                <w:color w:val="auto"/>
              </w:rPr>
            </w:pPr>
          </w:p>
        </w:tc>
      </w:tr>
      <w:tr>
        <w:trPr>
          <w:trHeight w:val="24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00" w:type="dxa"/>
            <w:vAlign w:val="bottom"/>
          </w:tcPr>
          <w:p>
            <w:pPr>
              <w:jc w:val="center"/>
              <w:ind w:left="1782"/>
              <w:spacing w:after="0"/>
              <w:rPr>
                <w:sz w:val="20"/>
                <w:szCs w:val="20"/>
                <w:color w:val="auto"/>
              </w:rPr>
            </w:pPr>
            <w:r>
              <w:rPr>
                <w:rFonts w:ascii="Arial" w:cs="Arial" w:eastAsia="Arial" w:hAnsi="Arial"/>
                <w:sz w:val="12"/>
                <w:szCs w:val="12"/>
                <w:color w:val="auto"/>
                <w:w w:val="99"/>
              </w:rPr>
              <w:t>(State or other jurisdiction of</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40" w:type="dxa"/>
            <w:vAlign w:val="bottom"/>
          </w:tcPr>
          <w:p>
            <w:pPr>
              <w:jc w:val="center"/>
              <w:ind w:right="1922"/>
              <w:spacing w:after="0"/>
              <w:rPr>
                <w:sz w:val="20"/>
                <w:szCs w:val="20"/>
                <w:color w:val="auto"/>
              </w:rPr>
            </w:pPr>
            <w:r>
              <w:rPr>
                <w:rFonts w:ascii="Arial" w:cs="Arial" w:eastAsia="Arial" w:hAnsi="Arial"/>
                <w:sz w:val="12"/>
                <w:szCs w:val="12"/>
                <w:color w:val="auto"/>
                <w:w w:val="99"/>
              </w:rPr>
              <w:t>(I.R.S. Employer</w:t>
            </w:r>
          </w:p>
        </w:tc>
        <w:tc>
          <w:tcPr>
            <w:tcW w:w="0" w:type="dxa"/>
            <w:vAlign w:val="bottom"/>
          </w:tcPr>
          <w:p>
            <w:pPr>
              <w:spacing w:after="0"/>
              <w:rPr>
                <w:sz w:val="1"/>
                <w:szCs w:val="1"/>
                <w:color w:val="auto"/>
              </w:rPr>
            </w:pPr>
          </w:p>
        </w:tc>
      </w:tr>
      <w:tr>
        <w:trPr>
          <w:trHeight w:val="145"/>
        </w:trPr>
        <w:tc>
          <w:tcPr>
            <w:tcW w:w="3700" w:type="dxa"/>
            <w:vAlign w:val="bottom"/>
          </w:tcPr>
          <w:p>
            <w:pPr>
              <w:jc w:val="center"/>
              <w:ind w:left="1802"/>
              <w:spacing w:after="0"/>
              <w:rPr>
                <w:sz w:val="20"/>
                <w:szCs w:val="20"/>
                <w:color w:val="auto"/>
              </w:rPr>
            </w:pPr>
            <w:r>
              <w:rPr>
                <w:rFonts w:ascii="Arial" w:cs="Arial" w:eastAsia="Arial" w:hAnsi="Arial"/>
                <w:sz w:val="12"/>
                <w:szCs w:val="12"/>
                <w:color w:val="auto"/>
                <w:w w:val="99"/>
              </w:rPr>
              <w:t>Incorporation or organization)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40" w:type="dxa"/>
            <w:vAlign w:val="bottom"/>
          </w:tcPr>
          <w:p>
            <w:pPr>
              <w:jc w:val="center"/>
              <w:ind w:right="1942"/>
              <w:spacing w:after="0"/>
              <w:rPr>
                <w:sz w:val="20"/>
                <w:szCs w:val="20"/>
                <w:color w:val="auto"/>
              </w:rPr>
            </w:pPr>
            <w:r>
              <w:rPr>
                <w:rFonts w:ascii="Arial" w:cs="Arial" w:eastAsia="Arial" w:hAnsi="Arial"/>
                <w:sz w:val="12"/>
                <w:szCs w:val="12"/>
                <w:color w:val="auto"/>
              </w:rPr>
              <w:t>Identification No.)</w:t>
            </w:r>
          </w:p>
        </w:tc>
        <w:tc>
          <w:tcPr>
            <w:tcW w:w="0" w:type="dxa"/>
            <w:vAlign w:val="bottom"/>
          </w:tcPr>
          <w:p>
            <w:pPr>
              <w:spacing w:after="0"/>
              <w:rPr>
                <w:sz w:val="1"/>
                <w:szCs w:val="1"/>
                <w:color w:val="auto"/>
              </w:rPr>
            </w:pPr>
          </w:p>
        </w:tc>
      </w:tr>
      <w:tr>
        <w:trPr>
          <w:trHeight w:val="211"/>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760"/>
              <w:spacing w:after="0"/>
              <w:rPr>
                <w:sz w:val="20"/>
                <w:szCs w:val="20"/>
                <w:color w:val="auto"/>
              </w:rPr>
            </w:pPr>
            <w:r>
              <w:rPr>
                <w:rFonts w:ascii="Arial" w:cs="Arial" w:eastAsia="Arial" w:hAnsi="Arial"/>
                <w:sz w:val="12"/>
                <w:szCs w:val="12"/>
                <w:b w:val="1"/>
                <w:bCs w:val="1"/>
                <w:color w:val="auto"/>
                <w:w w:val="99"/>
              </w:rPr>
              <w:t>119 Standard Street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4"/>
          </w:tcPr>
          <w:p>
            <w:pPr>
              <w:jc w:val="center"/>
              <w:ind w:right="780"/>
              <w:spacing w:after="0"/>
              <w:rPr>
                <w:sz w:val="20"/>
                <w:szCs w:val="20"/>
                <w:color w:val="auto"/>
              </w:rPr>
            </w:pPr>
            <w:r>
              <w:rPr>
                <w:rFonts w:ascii="Arial" w:cs="Arial" w:eastAsia="Arial" w:hAnsi="Arial"/>
                <w:sz w:val="12"/>
                <w:szCs w:val="12"/>
                <w:b w:val="1"/>
                <w:bCs w:val="1"/>
                <w:color w:val="auto"/>
                <w:w w:val="99"/>
              </w:rPr>
              <w:t>El Segundo, CA 90245</w:t>
            </w: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3540" w:type="dxa"/>
            <w:vAlign w:val="bottom"/>
            <w:gridSpan w:val="7"/>
          </w:tcPr>
          <w:p>
            <w:pPr>
              <w:jc w:val="center"/>
              <w:ind w:right="160"/>
              <w:spacing w:after="0"/>
              <w:rPr>
                <w:sz w:val="20"/>
                <w:szCs w:val="20"/>
                <w:color w:val="auto"/>
              </w:rPr>
            </w:pPr>
            <w:r>
              <w:rPr>
                <w:rFonts w:ascii="Arial" w:cs="Arial" w:eastAsia="Arial" w:hAnsi="Arial"/>
                <w:sz w:val="12"/>
                <w:szCs w:val="12"/>
                <w:color w:val="auto"/>
                <w:w w:val="99"/>
              </w:rPr>
              <w:t>(Address, including zip code, of principal executive offices)</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3700" w:type="dxa"/>
            <w:vAlign w:val="bottom"/>
          </w:tcPr>
          <w:p>
            <w:pPr>
              <w:spacing w:after="0"/>
              <w:rPr>
                <w:sz w:val="24"/>
                <w:szCs w:val="24"/>
                <w:color w:val="auto"/>
              </w:rPr>
            </w:pPr>
          </w:p>
        </w:tc>
        <w:tc>
          <w:tcPr>
            <w:tcW w:w="2880" w:type="dxa"/>
            <w:vAlign w:val="bottom"/>
            <w:gridSpan w:val="4"/>
          </w:tcPr>
          <w:p>
            <w:pPr>
              <w:jc w:val="center"/>
              <w:ind w:left="440"/>
              <w:spacing w:after="0"/>
              <w:rPr>
                <w:sz w:val="20"/>
                <w:szCs w:val="20"/>
                <w:color w:val="auto"/>
              </w:rPr>
            </w:pPr>
            <w:r>
              <w:rPr>
                <w:rFonts w:ascii="Arial" w:cs="Arial" w:eastAsia="Arial" w:hAnsi="Arial"/>
                <w:sz w:val="12"/>
                <w:szCs w:val="12"/>
                <w:b w:val="1"/>
                <w:bCs w:val="1"/>
                <w:color w:val="auto"/>
                <w:w w:val="99"/>
              </w:rPr>
              <w:t>(866) 756-4112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gridSpan w:val="6"/>
          </w:tcPr>
          <w:p>
            <w:pPr>
              <w:jc w:val="center"/>
              <w:ind w:right="340"/>
              <w:spacing w:after="0"/>
              <w:rPr>
                <w:sz w:val="20"/>
                <w:szCs w:val="20"/>
                <w:color w:val="auto"/>
              </w:rPr>
            </w:pPr>
            <w:r>
              <w:rPr>
                <w:rFonts w:ascii="Arial" w:cs="Arial" w:eastAsia="Arial" w:hAnsi="Arial"/>
                <w:sz w:val="12"/>
                <w:szCs w:val="12"/>
                <w:color w:val="auto"/>
                <w:w w:val="99"/>
              </w:rPr>
              <w:t>(Registrant’s telephone number, including area code)</w:t>
            </w: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3700" w:type="dxa"/>
            <w:vAlign w:val="bottom"/>
          </w:tcPr>
          <w:p>
            <w:pPr>
              <w:spacing w:after="0"/>
              <w:rPr>
                <w:sz w:val="24"/>
                <w:szCs w:val="24"/>
                <w:color w:val="auto"/>
              </w:rPr>
            </w:pPr>
          </w:p>
        </w:tc>
        <w:tc>
          <w:tcPr>
            <w:tcW w:w="3540" w:type="dxa"/>
            <w:vAlign w:val="bottom"/>
            <w:gridSpan w:val="7"/>
          </w:tcPr>
          <w:p>
            <w:pPr>
              <w:jc w:val="center"/>
              <w:ind w:right="160"/>
              <w:spacing w:after="0"/>
              <w:rPr>
                <w:sz w:val="20"/>
                <w:szCs w:val="20"/>
                <w:color w:val="auto"/>
              </w:rPr>
            </w:pPr>
            <w:r>
              <w:rPr>
                <w:rFonts w:ascii="Arial" w:cs="Arial" w:eastAsia="Arial" w:hAnsi="Arial"/>
                <w:sz w:val="12"/>
                <w:szCs w:val="12"/>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4"/>
          </w:tcPr>
          <w:p>
            <w:pPr>
              <w:jc w:val="center"/>
              <w:ind w:right="640"/>
              <w:spacing w:after="0"/>
              <w:rPr>
                <w:sz w:val="20"/>
                <w:szCs w:val="20"/>
                <w:color w:val="auto"/>
              </w:rPr>
            </w:pPr>
            <w:r>
              <w:rPr>
                <w:rFonts w:ascii="Arial" w:cs="Arial" w:eastAsia="Arial" w:hAnsi="Arial"/>
                <w:sz w:val="10"/>
                <w:szCs w:val="10"/>
                <w:color w:val="auto"/>
                <w:w w:val="94"/>
              </w:rPr>
              <w:t>Trading</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700" w:type="dxa"/>
            <w:vAlign w:val="bottom"/>
            <w:tcBorders>
              <w:bottom w:val="single" w:sz="8" w:color="auto"/>
            </w:tcBorders>
          </w:tcPr>
          <w:p>
            <w:pPr>
              <w:jc w:val="center"/>
              <w:ind w:left="442"/>
              <w:spacing w:after="0"/>
              <w:rPr>
                <w:sz w:val="20"/>
                <w:szCs w:val="20"/>
                <w:color w:val="auto"/>
              </w:rPr>
            </w:pPr>
            <w:r>
              <w:rPr>
                <w:rFonts w:ascii="Arial" w:cs="Arial" w:eastAsia="Arial" w:hAnsi="Arial"/>
                <w:sz w:val="10"/>
                <w:szCs w:val="10"/>
                <w:color w:val="auto"/>
                <w:w w:val="94"/>
              </w:rPr>
              <w:t>Title of each class</w:t>
            </w: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Symbol(s)</w:t>
            </w:r>
          </w:p>
        </w:tc>
        <w:tc>
          <w:tcPr>
            <w:tcW w:w="120" w:type="dxa"/>
            <w:vAlign w:val="bottom"/>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3540" w:type="dxa"/>
            <w:vAlign w:val="bottom"/>
            <w:tcBorders>
              <w:bottom w:val="single" w:sz="8" w:color="auto"/>
            </w:tcBorders>
          </w:tcPr>
          <w:p>
            <w:pPr>
              <w:jc w:val="center"/>
              <w:ind w:right="482"/>
              <w:spacing w:after="0"/>
              <w:rPr>
                <w:sz w:val="20"/>
                <w:szCs w:val="20"/>
                <w:color w:val="auto"/>
              </w:rPr>
            </w:pPr>
            <w:r>
              <w:rPr>
                <w:rFonts w:ascii="Arial" w:cs="Arial" w:eastAsia="Arial" w:hAnsi="Arial"/>
                <w:sz w:val="10"/>
                <w:szCs w:val="10"/>
                <w:color w:val="auto"/>
                <w:w w:val="94"/>
              </w:rPr>
              <w:t>Name of each exchange on which registered</w:t>
            </w:r>
          </w:p>
        </w:tc>
        <w:tc>
          <w:tcPr>
            <w:tcW w:w="0" w:type="dxa"/>
            <w:vAlign w:val="bottom"/>
          </w:tcPr>
          <w:p>
            <w:pPr>
              <w:spacing w:after="0"/>
              <w:rPr>
                <w:sz w:val="1"/>
                <w:szCs w:val="1"/>
                <w:color w:val="auto"/>
              </w:rPr>
            </w:pPr>
          </w:p>
        </w:tc>
      </w:tr>
      <w:tr>
        <w:trPr>
          <w:trHeight w:val="155"/>
        </w:trPr>
        <w:tc>
          <w:tcPr>
            <w:tcW w:w="3700" w:type="dxa"/>
            <w:vAlign w:val="bottom"/>
          </w:tcPr>
          <w:p>
            <w:pPr>
              <w:jc w:val="center"/>
              <w:ind w:left="462"/>
              <w:spacing w:after="0"/>
              <w:rPr>
                <w:sz w:val="20"/>
                <w:szCs w:val="20"/>
                <w:color w:val="auto"/>
              </w:rPr>
            </w:pPr>
            <w:r>
              <w:rPr>
                <w:rFonts w:ascii="Arial" w:cs="Arial" w:eastAsia="Arial" w:hAnsi="Arial"/>
                <w:sz w:val="12"/>
                <w:szCs w:val="12"/>
                <w:b w:val="1"/>
                <w:bCs w:val="1"/>
                <w:color w:val="auto"/>
                <w:w w:val="99"/>
              </w:rPr>
              <w:t>Common Stock, $0.0001 par value</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4"/>
          </w:tcPr>
          <w:p>
            <w:pPr>
              <w:jc w:val="center"/>
              <w:ind w:right="660"/>
              <w:spacing w:after="0"/>
              <w:rPr>
                <w:sz w:val="20"/>
                <w:szCs w:val="20"/>
                <w:color w:val="auto"/>
              </w:rPr>
            </w:pPr>
            <w:r>
              <w:rPr>
                <w:rFonts w:ascii="Arial" w:cs="Arial" w:eastAsia="Arial" w:hAnsi="Arial"/>
                <w:sz w:val="12"/>
                <w:szCs w:val="12"/>
                <w:b w:val="1"/>
                <w:bCs w:val="1"/>
                <w:color w:val="auto"/>
                <w:w w:val="99"/>
              </w:rPr>
              <w:t>BYND</w:t>
            </w:r>
          </w:p>
        </w:tc>
        <w:tc>
          <w:tcPr>
            <w:tcW w:w="3540" w:type="dxa"/>
            <w:vAlign w:val="bottom"/>
          </w:tcPr>
          <w:p>
            <w:pPr>
              <w:jc w:val="center"/>
              <w:ind w:right="482"/>
              <w:spacing w:after="0"/>
              <w:rPr>
                <w:sz w:val="20"/>
                <w:szCs w:val="20"/>
                <w:color w:val="auto"/>
              </w:rPr>
            </w:pPr>
            <w:r>
              <w:rPr>
                <w:rFonts w:ascii="Arial" w:cs="Arial" w:eastAsia="Arial" w:hAnsi="Arial"/>
                <w:sz w:val="12"/>
                <w:szCs w:val="12"/>
                <w:b w:val="1"/>
                <w:bCs w:val="1"/>
                <w:color w:val="auto"/>
                <w:w w:val="99"/>
              </w:rPr>
              <w:t>The Nasdaq Stock Market, LLC</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firstLine="216"/>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3"/>
          <w:szCs w:val="13"/>
          <w:color w:val="auto"/>
        </w:rPr>
        <w:t>Yes</w:t>
      </w:r>
      <w:r>
        <w:rPr>
          <w:rFonts w:ascii="Arial" w:cs="Arial" w:eastAsia="Arial" w:hAnsi="Arial"/>
          <w:sz w:val="12"/>
          <w:szCs w:val="12"/>
          <w:color w:val="auto"/>
        </w:rPr>
        <w:t xml:space="preserve"> </w:t>
      </w:r>
      <w:r>
        <w:rPr>
          <w:rFonts w:ascii="MS PGothic" w:cs="MS PGothic" w:eastAsia="MS PGothic" w:hAnsi="MS PGothic"/>
          <w:sz w:val="13"/>
          <w:szCs w:val="13"/>
          <w:color w:val="auto"/>
        </w:rPr>
        <w:t>☐</w:t>
      </w:r>
      <w:r>
        <w:rPr>
          <w:rFonts w:ascii="Arial" w:cs="Arial" w:eastAsia="Arial" w:hAnsi="Arial"/>
          <w:sz w:val="12"/>
          <w:szCs w:val="12"/>
          <w:color w:val="auto"/>
        </w:rPr>
        <w:t xml:space="preserve"> </w:t>
      </w:r>
      <w:r>
        <w:rPr>
          <w:rFonts w:ascii="Arial" w:cs="Arial" w:eastAsia="Arial" w:hAnsi="Arial"/>
          <w:sz w:val="13"/>
          <w:szCs w:val="13"/>
          <w:color w:val="auto"/>
        </w:rPr>
        <w:t>No</w:t>
      </w:r>
      <w:r>
        <w:rPr>
          <w:rFonts w:ascii="Arial" w:cs="Arial" w:eastAsia="Arial" w:hAnsi="Arial"/>
          <w:sz w:val="12"/>
          <w:szCs w:val="12"/>
          <w:color w:val="auto"/>
        </w:rPr>
        <w:t xml:space="preserve"> </w:t>
      </w:r>
      <w:r>
        <w:rPr>
          <w:rFonts w:ascii="MS PGothic" w:cs="MS PGothic" w:eastAsia="MS PGothic" w:hAnsi="MS PGothic"/>
          <w:sz w:val="13"/>
          <w:szCs w:val="13"/>
          <w:color w:val="auto"/>
        </w:rPr>
        <w:t>☒</w:t>
      </w:r>
    </w:p>
    <w:p>
      <w:pPr>
        <w:spacing w:after="0" w:line="135" w:lineRule="exact"/>
        <w:rPr>
          <w:sz w:val="24"/>
          <w:szCs w:val="24"/>
          <w:color w:val="auto"/>
        </w:rPr>
      </w:pPr>
    </w:p>
    <w:p>
      <w:pPr>
        <w:ind w:right="360" w:firstLine="216"/>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3"/>
          <w:szCs w:val="13"/>
          <w:color w:val="auto"/>
        </w:rPr>
        <w:t>Yes</w:t>
      </w:r>
      <w:r>
        <w:rPr>
          <w:rFonts w:ascii="Arial" w:cs="Arial" w:eastAsia="Arial" w:hAnsi="Arial"/>
          <w:sz w:val="12"/>
          <w:szCs w:val="12"/>
          <w:color w:val="auto"/>
        </w:rPr>
        <w:t xml:space="preserve">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300" w:firstLine="216"/>
        <w:spacing w:after="0" w:line="26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4320" w:type="dxa"/>
            <w:vAlign w:val="bottom"/>
          </w:tcPr>
          <w:p>
            <w:pPr>
              <w:ind w:left="1980"/>
              <w:spacing w:after="0"/>
              <w:rPr>
                <w:sz w:val="20"/>
                <w:szCs w:val="20"/>
                <w:color w:val="auto"/>
              </w:rPr>
            </w:pPr>
            <w:r>
              <w:rPr>
                <w:rFonts w:ascii="Arial" w:cs="Arial" w:eastAsia="Arial" w:hAnsi="Arial"/>
                <w:sz w:val="12"/>
                <w:szCs w:val="12"/>
                <w:color w:val="auto"/>
              </w:rPr>
              <w:t>Accelerated filer</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1"/>
        </w:trPr>
        <w:tc>
          <w:tcPr>
            <w:tcW w:w="2000" w:type="dxa"/>
            <w:vAlign w:val="bottom"/>
          </w:tcPr>
          <w:p>
            <w:pPr>
              <w:spacing w:after="0"/>
              <w:rPr>
                <w:sz w:val="20"/>
                <w:szCs w:val="20"/>
                <w:color w:val="auto"/>
              </w:rPr>
            </w:pPr>
            <w:r>
              <w:rPr>
                <w:rFonts w:ascii="Arial" w:cs="Arial" w:eastAsia="Arial" w:hAnsi="Arial"/>
                <w:sz w:val="12"/>
                <w:szCs w:val="12"/>
                <w:color w:val="auto"/>
              </w:rPr>
              <w:t>Non-accelerated filer</w:t>
            </w:r>
          </w:p>
        </w:tc>
        <w:tc>
          <w:tcPr>
            <w:tcW w:w="2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4320" w:type="dxa"/>
            <w:vAlign w:val="bottom"/>
          </w:tcPr>
          <w:p>
            <w:pPr>
              <w:ind w:left="1980"/>
              <w:spacing w:after="0"/>
              <w:rPr>
                <w:sz w:val="20"/>
                <w:szCs w:val="20"/>
                <w:color w:val="auto"/>
              </w:rPr>
            </w:pPr>
            <w:r>
              <w:rPr>
                <w:rFonts w:ascii="Arial" w:cs="Arial" w:eastAsia="Arial" w:hAnsi="Arial"/>
                <w:sz w:val="12"/>
                <w:szCs w:val="12"/>
                <w:color w:val="auto"/>
              </w:rPr>
              <w:t>Smaller reporting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2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320" w:type="dxa"/>
            <w:vAlign w:val="bottom"/>
          </w:tcPr>
          <w:p>
            <w:pPr>
              <w:ind w:left="1980"/>
              <w:spacing w:after="0"/>
              <w:rPr>
                <w:sz w:val="20"/>
                <w:szCs w:val="20"/>
                <w:color w:val="auto"/>
              </w:rPr>
            </w:pPr>
            <w:r>
              <w:rPr>
                <w:rFonts w:ascii="Arial" w:cs="Arial" w:eastAsia="Arial" w:hAnsi="Arial"/>
                <w:sz w:val="12"/>
                <w:szCs w:val="12"/>
                <w:color w:val="auto"/>
              </w:rPr>
              <w:t>Emerging growth company</w:t>
            </w:r>
          </w:p>
        </w:tc>
        <w:tc>
          <w:tcPr>
            <w:tcW w:w="1020" w:type="dxa"/>
            <w:vAlign w:val="bottom"/>
          </w:tcPr>
          <w:p>
            <w:pPr>
              <w:ind w:left="9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8"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w:t>
      </w:r>
    </w:p>
    <w:p>
      <w:pPr>
        <w:spacing w:after="0" w:line="3" w:lineRule="exact"/>
        <w:rPr>
          <w:sz w:val="24"/>
          <w:szCs w:val="24"/>
          <w:color w:val="auto"/>
        </w:rPr>
      </w:pPr>
    </w:p>
    <w:p>
      <w:pPr>
        <w:spacing w:after="0" w:line="138" w:lineRule="exact"/>
        <w:tabs>
          <w:tab w:leader="none" w:pos="3800" w:val="left"/>
        </w:tabs>
        <w:rPr>
          <w:sz w:val="20"/>
          <w:szCs w:val="20"/>
          <w:color w:val="auto"/>
        </w:rPr>
      </w:pPr>
      <w:r>
        <w:rPr>
          <w:rFonts w:ascii="Arial" w:cs="Arial" w:eastAsia="Arial" w:hAnsi="Arial"/>
          <w:sz w:val="12"/>
          <w:szCs w:val="12"/>
          <w:color w:val="auto"/>
        </w:rPr>
        <w:t>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82" w:lineRule="exact"/>
        <w:rPr>
          <w:sz w:val="24"/>
          <w:szCs w:val="24"/>
          <w:color w:val="auto"/>
        </w:rPr>
      </w:pPr>
    </w:p>
    <w:p>
      <w:pPr>
        <w:ind w:left="200" w:right="4180"/>
        <w:spacing w:after="0" w:line="184"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r>
        <w:rPr>
          <w:rFonts w:ascii="Arial" w:cs="Arial" w:eastAsia="Arial" w:hAnsi="Arial"/>
          <w:sz w:val="12"/>
          <w:szCs w:val="12"/>
          <w:color w:val="auto"/>
        </w:rPr>
        <w:t xml:space="preserve"> As of July 26, 2019, the registrant had 60,178,252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40"/>
          </w:cols>
          <w:pgMar w:left="220" w:top="4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00" w:type="dxa"/>
            <w:vAlign w:val="bottom"/>
            <w:gridSpan w:val="5"/>
          </w:tcPr>
          <w:p>
            <w:pPr>
              <w:ind w:left="500"/>
              <w:spacing w:after="0"/>
              <w:rPr>
                <w:sz w:val="20"/>
                <w:szCs w:val="20"/>
                <w:color w:val="auto"/>
              </w:rPr>
            </w:pPr>
            <w:r>
              <w:rPr>
                <w:rFonts w:ascii="Arial" w:cs="Arial" w:eastAsia="Arial" w:hAnsi="Arial"/>
                <w:sz w:val="12"/>
                <w:szCs w:val="12"/>
                <w:b w:val="1"/>
                <w:bCs w:val="1"/>
                <w:color w:val="auto"/>
              </w:rPr>
              <w:t>TABLE OF CONTENTS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Page</w:t>
            </w: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Borders>
              <w:bottom w:val="single" w:sz="8" w:color="0000EE"/>
            </w:tcBorders>
            <w:gridSpan w:val="5"/>
          </w:tcPr>
          <w:p>
            <w:pPr>
              <w:jc w:val="center"/>
              <w:spacing w:after="0"/>
              <w:rPr>
                <w:rFonts w:ascii="Arial" w:cs="Arial" w:eastAsia="Arial" w:hAnsi="Arial"/>
                <w:sz w:val="12"/>
                <w:szCs w:val="12"/>
                <w:color w:val="0000EE"/>
              </w:rPr>
            </w:pPr>
            <w:hyperlink w:anchor="page5">
              <w:r>
                <w:rPr>
                  <w:rFonts w:ascii="Arial" w:cs="Arial" w:eastAsia="Arial" w:hAnsi="Arial"/>
                  <w:sz w:val="12"/>
                  <w:szCs w:val="12"/>
                  <w:color w:val="0000EE"/>
                </w:rPr>
                <w:t>Part I. Financial Information</w:t>
              </w:r>
            </w:hyperlink>
          </w:p>
        </w:tc>
        <w:tc>
          <w:tcPr>
            <w:tcW w:w="4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2220" w:type="dxa"/>
            <w:vAlign w:val="bottom"/>
            <w:gridSpan w:val="12"/>
          </w:tcPr>
          <w:p>
            <w:pPr>
              <w:spacing w:after="0"/>
              <w:rPr>
                <w:rFonts w:ascii="Arial" w:cs="Arial" w:eastAsia="Arial" w:hAnsi="Arial"/>
                <w:sz w:val="12"/>
                <w:szCs w:val="12"/>
                <w:color w:val="0000EE"/>
                <w:w w:val="99"/>
              </w:rPr>
            </w:pPr>
            <w:hyperlink w:anchor="page5">
              <w:r>
                <w:rPr>
                  <w:rFonts w:ascii="Arial" w:cs="Arial" w:eastAsia="Arial" w:hAnsi="Arial"/>
                  <w:sz w:val="12"/>
                  <w:szCs w:val="12"/>
                  <w:color w:val="0000EE"/>
                  <w:w w:val="99"/>
                </w:rPr>
                <w:t>Item 1. Financial Statements (Unaudited):</w:t>
              </w:r>
            </w:hyperlink>
          </w:p>
        </w:tc>
        <w:tc>
          <w:tcPr>
            <w:tcW w:w="7460" w:type="dxa"/>
            <w:vAlign w:val="bottom"/>
            <w:gridSpan w:val="10"/>
          </w:tcPr>
          <w:p>
            <w:pPr>
              <w:spacing w:after="0"/>
              <w:rPr>
                <w:sz w:val="13"/>
                <w:szCs w:val="13"/>
                <w:color w:val="auto"/>
              </w:rPr>
            </w:pPr>
          </w:p>
        </w:tc>
        <w:tc>
          <w:tcPr>
            <w:tcW w:w="940" w:type="dxa"/>
            <w:vAlign w:val="bottom"/>
            <w:gridSpan w:val="2"/>
          </w:tcPr>
          <w:p>
            <w:pPr>
              <w:jc w:val="right"/>
              <w:spacing w:after="0"/>
              <w:rPr>
                <w:rFonts w:ascii="Arial" w:cs="Arial" w:eastAsia="Arial" w:hAnsi="Arial"/>
                <w:sz w:val="12"/>
                <w:szCs w:val="12"/>
                <w:color w:val="0000EE"/>
              </w:rPr>
            </w:pPr>
            <w:hyperlink w:anchor="page5">
              <w:r>
                <w:rPr>
                  <w:rFonts w:ascii="Arial" w:cs="Arial" w:eastAsia="Arial" w:hAnsi="Arial"/>
                  <w:sz w:val="12"/>
                  <w:szCs w:val="12"/>
                  <w:color w:val="0000EE"/>
                </w:rPr>
                <w:t>1</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500" w:type="dxa"/>
            <w:vAlign w:val="bottom"/>
            <w:gridSpan w:val="6"/>
          </w:tcPr>
          <w:p>
            <w:pPr>
              <w:spacing w:after="0"/>
              <w:rPr>
                <w:rFonts w:ascii="Arial" w:cs="Arial" w:eastAsia="Arial" w:hAnsi="Arial"/>
                <w:sz w:val="12"/>
                <w:szCs w:val="12"/>
                <w:color w:val="0000EE"/>
                <w:w w:val="99"/>
              </w:rPr>
            </w:pPr>
            <w:hyperlink w:anchor="page5">
              <w:r>
                <w:rPr>
                  <w:rFonts w:ascii="Arial" w:cs="Arial" w:eastAsia="Arial" w:hAnsi="Arial"/>
                  <w:sz w:val="12"/>
                  <w:szCs w:val="12"/>
                  <w:color w:val="0000EE"/>
                  <w:w w:val="99"/>
                </w:rPr>
                <w:t>Condensed Balance Sheets</w:t>
              </w:r>
            </w:hyperlink>
          </w:p>
        </w:tc>
        <w:tc>
          <w:tcPr>
            <w:tcW w:w="720" w:type="dxa"/>
            <w:vAlign w:val="bottom"/>
            <w:gridSpan w:val="6"/>
          </w:tcPr>
          <w:p>
            <w:pPr>
              <w:spacing w:after="0"/>
              <w:rPr>
                <w:sz w:val="13"/>
                <w:szCs w:val="13"/>
                <w:color w:val="auto"/>
              </w:rPr>
            </w:pPr>
          </w:p>
        </w:tc>
        <w:tc>
          <w:tcPr>
            <w:tcW w:w="7460" w:type="dxa"/>
            <w:vAlign w:val="bottom"/>
            <w:gridSpan w:val="10"/>
          </w:tcPr>
          <w:p>
            <w:pPr>
              <w:spacing w:after="0"/>
              <w:rPr>
                <w:sz w:val="13"/>
                <w:szCs w:val="13"/>
                <w:color w:val="auto"/>
              </w:rPr>
            </w:pPr>
          </w:p>
        </w:tc>
        <w:tc>
          <w:tcPr>
            <w:tcW w:w="940" w:type="dxa"/>
            <w:vAlign w:val="bottom"/>
            <w:gridSpan w:val="2"/>
          </w:tcPr>
          <w:p>
            <w:pPr>
              <w:jc w:val="right"/>
              <w:spacing w:after="0"/>
              <w:rPr>
                <w:rFonts w:ascii="Arial" w:cs="Arial" w:eastAsia="Arial" w:hAnsi="Arial"/>
                <w:sz w:val="12"/>
                <w:szCs w:val="12"/>
                <w:color w:val="0000EE"/>
              </w:rPr>
            </w:pPr>
            <w:hyperlink w:anchor="page5">
              <w:r>
                <w:rPr>
                  <w:rFonts w:ascii="Arial" w:cs="Arial" w:eastAsia="Arial" w:hAnsi="Arial"/>
                  <w:sz w:val="12"/>
                  <w:szCs w:val="12"/>
                  <w:color w:val="0000EE"/>
                </w:rPr>
                <w:t>1</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20" w:type="dxa"/>
            <w:vAlign w:val="bottom"/>
            <w:gridSpan w:val="9"/>
          </w:tcPr>
          <w:p>
            <w:pPr>
              <w:spacing w:after="0"/>
              <w:rPr>
                <w:rFonts w:ascii="Arial" w:cs="Arial" w:eastAsia="Arial" w:hAnsi="Arial"/>
                <w:sz w:val="12"/>
                <w:szCs w:val="12"/>
                <w:color w:val="0000EE"/>
                <w:w w:val="99"/>
              </w:rPr>
            </w:pPr>
            <w:hyperlink w:anchor="page7">
              <w:r>
                <w:rPr>
                  <w:rFonts w:ascii="Arial" w:cs="Arial" w:eastAsia="Arial" w:hAnsi="Arial"/>
                  <w:sz w:val="12"/>
                  <w:szCs w:val="12"/>
                  <w:color w:val="0000EE"/>
                  <w:w w:val="99"/>
                </w:rPr>
                <w:t>Condensed Statements of Operations</w:t>
              </w:r>
            </w:hyperlink>
          </w:p>
        </w:tc>
        <w:tc>
          <w:tcPr>
            <w:tcW w:w="7660" w:type="dxa"/>
            <w:vAlign w:val="bottom"/>
            <w:gridSpan w:val="13"/>
          </w:tcPr>
          <w:p>
            <w:pPr>
              <w:spacing w:after="0"/>
              <w:rPr>
                <w:sz w:val="13"/>
                <w:szCs w:val="13"/>
                <w:color w:val="auto"/>
              </w:rPr>
            </w:pPr>
          </w:p>
        </w:tc>
        <w:tc>
          <w:tcPr>
            <w:tcW w:w="940" w:type="dxa"/>
            <w:vAlign w:val="bottom"/>
            <w:gridSpan w:val="2"/>
          </w:tcPr>
          <w:p>
            <w:pPr>
              <w:jc w:val="right"/>
              <w:spacing w:after="0"/>
              <w:rPr>
                <w:rFonts w:ascii="Arial" w:cs="Arial" w:eastAsia="Arial" w:hAnsi="Arial"/>
                <w:sz w:val="12"/>
                <w:szCs w:val="12"/>
                <w:color w:val="0000EE"/>
              </w:rPr>
            </w:pPr>
            <w:hyperlink w:anchor="page7">
              <w:r>
                <w:rPr>
                  <w:rFonts w:ascii="Arial" w:cs="Arial" w:eastAsia="Arial" w:hAnsi="Arial"/>
                  <w:sz w:val="12"/>
                  <w:szCs w:val="12"/>
                  <w:color w:val="0000EE"/>
                </w:rPr>
                <w:t>3</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9680" w:type="dxa"/>
            <w:vAlign w:val="bottom"/>
            <w:gridSpan w:val="22"/>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Condensed Statements of Convertible Preferred Stock and Stockholders’ Equity (Deficit)</w:t>
              </w:r>
            </w:hyperlink>
          </w:p>
        </w:tc>
        <w:tc>
          <w:tcPr>
            <w:tcW w:w="940" w:type="dxa"/>
            <w:vAlign w:val="bottom"/>
            <w:gridSpan w:val="2"/>
          </w:tcPr>
          <w:p>
            <w:pPr>
              <w:jc w:val="right"/>
              <w:spacing w:after="0"/>
              <w:rPr>
                <w:rFonts w:ascii="Arial" w:cs="Arial" w:eastAsia="Arial" w:hAnsi="Arial"/>
                <w:sz w:val="12"/>
                <w:szCs w:val="12"/>
                <w:color w:val="0000EE"/>
              </w:rPr>
            </w:pPr>
            <w:hyperlink w:anchor="page8">
              <w:r>
                <w:rPr>
                  <w:rFonts w:ascii="Arial" w:cs="Arial" w:eastAsia="Arial" w:hAnsi="Arial"/>
                  <w:sz w:val="12"/>
                  <w:szCs w:val="12"/>
                  <w:color w:val="0000EE"/>
                </w:rPr>
                <w:t>4</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60" w:type="dxa"/>
            <w:vAlign w:val="bottom"/>
            <w:gridSpan w:val="10"/>
          </w:tcPr>
          <w:p>
            <w:pPr>
              <w:spacing w:after="0"/>
              <w:rPr>
                <w:rFonts w:ascii="Arial" w:cs="Arial" w:eastAsia="Arial" w:hAnsi="Arial"/>
                <w:sz w:val="12"/>
                <w:szCs w:val="12"/>
                <w:color w:val="0000EE"/>
                <w:w w:val="99"/>
              </w:rPr>
            </w:pPr>
            <w:hyperlink w:anchor="page9">
              <w:r>
                <w:rPr>
                  <w:rFonts w:ascii="Arial" w:cs="Arial" w:eastAsia="Arial" w:hAnsi="Arial"/>
                  <w:sz w:val="12"/>
                  <w:szCs w:val="12"/>
                  <w:color w:val="0000EE"/>
                  <w:w w:val="99"/>
                </w:rPr>
                <w:t>Condensed Statements of Cash Flows</w:t>
              </w:r>
            </w:hyperlink>
          </w:p>
        </w:tc>
        <w:tc>
          <w:tcPr>
            <w:tcW w:w="2640" w:type="dxa"/>
            <w:vAlign w:val="bottom"/>
            <w:gridSpan w:val="8"/>
          </w:tcPr>
          <w:p>
            <w:pPr>
              <w:spacing w:after="0"/>
              <w:rPr>
                <w:sz w:val="13"/>
                <w:szCs w:val="13"/>
                <w:color w:val="auto"/>
              </w:rPr>
            </w:pPr>
          </w:p>
        </w:tc>
        <w:tc>
          <w:tcPr>
            <w:tcW w:w="4980" w:type="dxa"/>
            <w:vAlign w:val="bottom"/>
            <w:gridSpan w:val="4"/>
          </w:tcPr>
          <w:p>
            <w:pPr>
              <w:spacing w:after="0"/>
              <w:rPr>
                <w:sz w:val="13"/>
                <w:szCs w:val="13"/>
                <w:color w:val="auto"/>
              </w:rPr>
            </w:pPr>
          </w:p>
        </w:tc>
        <w:tc>
          <w:tcPr>
            <w:tcW w:w="940" w:type="dxa"/>
            <w:vAlign w:val="bottom"/>
            <w:gridSpan w:val="2"/>
          </w:tcPr>
          <w:p>
            <w:pPr>
              <w:jc w:val="right"/>
              <w:spacing w:after="0"/>
              <w:rPr>
                <w:rFonts w:ascii="Arial" w:cs="Arial" w:eastAsia="Arial" w:hAnsi="Arial"/>
                <w:sz w:val="12"/>
                <w:szCs w:val="12"/>
                <w:color w:val="0000EE"/>
              </w:rPr>
            </w:pPr>
            <w:hyperlink w:anchor="page9">
              <w:r>
                <w:rPr>
                  <w:rFonts w:ascii="Arial" w:cs="Arial" w:eastAsia="Arial" w:hAnsi="Arial"/>
                  <w:sz w:val="12"/>
                  <w:szCs w:val="12"/>
                  <w:color w:val="0000EE"/>
                </w:rPr>
                <w:t>5</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840" w:type="dxa"/>
            <w:vAlign w:val="bottom"/>
            <w:gridSpan w:val="13"/>
          </w:tcPr>
          <w:p>
            <w:pPr>
              <w:spacing w:after="0"/>
              <w:rPr>
                <w:rFonts w:ascii="Arial" w:cs="Arial" w:eastAsia="Arial" w:hAnsi="Arial"/>
                <w:sz w:val="12"/>
                <w:szCs w:val="12"/>
                <w:color w:val="0000EE"/>
                <w:w w:val="99"/>
              </w:rPr>
            </w:pPr>
            <w:hyperlink w:anchor="page11">
              <w:r>
                <w:rPr>
                  <w:rFonts w:ascii="Arial" w:cs="Arial" w:eastAsia="Arial" w:hAnsi="Arial"/>
                  <w:sz w:val="12"/>
                  <w:szCs w:val="12"/>
                  <w:color w:val="0000EE"/>
                  <w:w w:val="99"/>
                </w:rPr>
                <w:t>Notes to Unaudited Condensed Financial Statements</w:t>
              </w:r>
            </w:hyperlink>
          </w:p>
        </w:tc>
        <w:tc>
          <w:tcPr>
            <w:tcW w:w="6840" w:type="dxa"/>
            <w:vAlign w:val="bottom"/>
            <w:gridSpan w:val="9"/>
          </w:tcPr>
          <w:p>
            <w:pPr>
              <w:spacing w:after="0"/>
              <w:rPr>
                <w:sz w:val="13"/>
                <w:szCs w:val="13"/>
                <w:color w:val="auto"/>
              </w:rPr>
            </w:pPr>
          </w:p>
        </w:tc>
        <w:tc>
          <w:tcPr>
            <w:tcW w:w="940" w:type="dxa"/>
            <w:vAlign w:val="bottom"/>
            <w:gridSpan w:val="2"/>
          </w:tcPr>
          <w:p>
            <w:pPr>
              <w:jc w:val="right"/>
              <w:spacing w:after="0"/>
              <w:rPr>
                <w:rFonts w:ascii="Arial" w:cs="Arial" w:eastAsia="Arial" w:hAnsi="Arial"/>
                <w:sz w:val="12"/>
                <w:szCs w:val="12"/>
                <w:color w:val="0000EE"/>
              </w:rPr>
            </w:pPr>
            <w:hyperlink w:anchor="page11">
              <w:r>
                <w:rPr>
                  <w:rFonts w:ascii="Arial" w:cs="Arial" w:eastAsia="Arial" w:hAnsi="Arial"/>
                  <w:sz w:val="12"/>
                  <w:szCs w:val="12"/>
                  <w:color w:val="0000EE"/>
                </w:rPr>
                <w:t>7</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9680" w:type="dxa"/>
            <w:vAlign w:val="bottom"/>
            <w:gridSpan w:val="22"/>
          </w:tcPr>
          <w:p>
            <w:pPr>
              <w:spacing w:after="0"/>
              <w:rPr>
                <w:rFonts w:ascii="Arial" w:cs="Arial" w:eastAsia="Arial" w:hAnsi="Arial"/>
                <w:sz w:val="12"/>
                <w:szCs w:val="12"/>
                <w:color w:val="0000EE"/>
              </w:rPr>
            </w:pPr>
            <w:hyperlink w:anchor="page27">
              <w:r>
                <w:rPr>
                  <w:rFonts w:ascii="Arial" w:cs="Arial" w:eastAsia="Arial" w:hAnsi="Arial"/>
                  <w:sz w:val="12"/>
                  <w:szCs w:val="12"/>
                  <w:color w:val="0000EE"/>
                </w:rPr>
                <w:t>Item 2. Management’s Discussion and Analysis of Financial Condition and Results of Operations</w:t>
              </w:r>
            </w:hyperlink>
          </w:p>
        </w:tc>
        <w:tc>
          <w:tcPr>
            <w:tcW w:w="960" w:type="dxa"/>
            <w:vAlign w:val="bottom"/>
            <w:gridSpan w:val="3"/>
          </w:tcPr>
          <w:p>
            <w:pPr>
              <w:jc w:val="right"/>
              <w:ind w:right="20"/>
              <w:spacing w:after="0"/>
              <w:rPr>
                <w:rFonts w:ascii="Arial" w:cs="Arial" w:eastAsia="Arial" w:hAnsi="Arial"/>
                <w:sz w:val="12"/>
                <w:szCs w:val="12"/>
                <w:color w:val="0000EE"/>
              </w:rPr>
            </w:pPr>
            <w:hyperlink w:anchor="page27">
              <w:r>
                <w:rPr>
                  <w:rFonts w:ascii="Arial" w:cs="Arial" w:eastAsia="Arial" w:hAnsi="Arial"/>
                  <w:sz w:val="12"/>
                  <w:szCs w:val="12"/>
                  <w:color w:val="0000EE"/>
                </w:rPr>
                <w:t>23</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120" w:type="dxa"/>
            <w:vAlign w:val="bottom"/>
            <w:gridSpan w:val="19"/>
          </w:tcPr>
          <w:p>
            <w:pPr>
              <w:spacing w:after="0"/>
              <w:rPr>
                <w:rFonts w:ascii="Arial" w:cs="Arial" w:eastAsia="Arial" w:hAnsi="Arial"/>
                <w:sz w:val="12"/>
                <w:szCs w:val="12"/>
                <w:color w:val="0000EE"/>
              </w:rPr>
            </w:pPr>
            <w:hyperlink w:anchor="page69">
              <w:r>
                <w:rPr>
                  <w:rFonts w:ascii="Arial" w:cs="Arial" w:eastAsia="Arial" w:hAnsi="Arial"/>
                  <w:sz w:val="12"/>
                  <w:szCs w:val="12"/>
                  <w:color w:val="0000EE"/>
                </w:rPr>
                <w:t>Item 3. Quantitative and Qualitative Disclosures About Market Risk</w:t>
              </w:r>
            </w:hyperlink>
          </w:p>
        </w:tc>
        <w:tc>
          <w:tcPr>
            <w:tcW w:w="4560" w:type="dxa"/>
            <w:vAlign w:val="bottom"/>
            <w:gridSpan w:val="3"/>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42">
              <w:r>
                <w:rPr>
                  <w:rFonts w:ascii="Arial" w:cs="Arial" w:eastAsia="Arial" w:hAnsi="Arial"/>
                  <w:sz w:val="12"/>
                  <w:szCs w:val="12"/>
                  <w:color w:val="0000EE"/>
                </w:rPr>
                <w:t>38</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540" w:type="dxa"/>
            <w:vAlign w:val="bottom"/>
            <w:gridSpan w:val="14"/>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Item 4. Controls and Procedures</w:t>
              </w:r>
            </w:hyperlink>
          </w:p>
        </w:tc>
        <w:tc>
          <w:tcPr>
            <w:tcW w:w="6140" w:type="dxa"/>
            <w:vAlign w:val="bottom"/>
            <w:gridSpan w:val="8"/>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43">
              <w:r>
                <w:rPr>
                  <w:rFonts w:ascii="Arial" w:cs="Arial" w:eastAsia="Arial" w:hAnsi="Arial"/>
                  <w:sz w:val="12"/>
                  <w:szCs w:val="12"/>
                  <w:color w:val="0000EE"/>
                </w:rPr>
                <w:t>39</w:t>
              </w:r>
            </w:hyperlink>
          </w:p>
        </w:tc>
      </w:tr>
      <w:tr>
        <w:trPr>
          <w:trHeight w:val="160"/>
        </w:trPr>
        <w:tc>
          <w:tcPr>
            <w:tcW w:w="20" w:type="dxa"/>
            <w:vAlign w:val="bottom"/>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0000EE"/>
            </w:tcBorders>
            <w:gridSpan w:val="3"/>
          </w:tcPr>
          <w:p>
            <w:pPr>
              <w:jc w:val="center"/>
              <w:spacing w:after="0"/>
              <w:rPr>
                <w:rFonts w:ascii="Arial" w:cs="Arial" w:eastAsia="Arial" w:hAnsi="Arial"/>
                <w:sz w:val="12"/>
                <w:szCs w:val="12"/>
                <w:color w:val="0000EE"/>
                <w:w w:val="99"/>
              </w:rPr>
            </w:pPr>
            <w:hyperlink w:anchor="page44">
              <w:r>
                <w:rPr>
                  <w:rFonts w:ascii="Arial" w:cs="Arial" w:eastAsia="Arial" w:hAnsi="Arial"/>
                  <w:sz w:val="12"/>
                  <w:szCs w:val="12"/>
                  <w:color w:val="0000EE"/>
                  <w:w w:val="99"/>
                </w:rPr>
                <w:t>Part II. Other Information</w:t>
              </w:r>
            </w:hyperlink>
          </w:p>
        </w:tc>
        <w:tc>
          <w:tcPr>
            <w:tcW w:w="4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340" w:type="dxa"/>
            <w:vAlign w:val="bottom"/>
            <w:gridSpan w:val="5"/>
          </w:tcPr>
          <w:p>
            <w:pPr>
              <w:spacing w:after="0"/>
              <w:rPr>
                <w:rFonts w:ascii="Arial" w:cs="Arial" w:eastAsia="Arial" w:hAnsi="Arial"/>
                <w:sz w:val="12"/>
                <w:szCs w:val="12"/>
                <w:color w:val="0000EE"/>
                <w:w w:val="93"/>
              </w:rPr>
            </w:pPr>
            <w:hyperlink w:anchor="page44">
              <w:r>
                <w:rPr>
                  <w:rFonts w:ascii="Arial" w:cs="Arial" w:eastAsia="Arial" w:hAnsi="Arial"/>
                  <w:sz w:val="12"/>
                  <w:szCs w:val="12"/>
                  <w:color w:val="0000EE"/>
                  <w:w w:val="93"/>
                </w:rPr>
                <w:t>Item 1. Legal Proceedings</w:t>
              </w:r>
            </w:hyperlink>
          </w:p>
        </w:tc>
        <w:tc>
          <w:tcPr>
            <w:tcW w:w="8340" w:type="dxa"/>
            <w:vAlign w:val="bottom"/>
            <w:gridSpan w:val="17"/>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44">
              <w:r>
                <w:rPr>
                  <w:rFonts w:ascii="Arial" w:cs="Arial" w:eastAsia="Arial" w:hAnsi="Arial"/>
                  <w:sz w:val="12"/>
                  <w:szCs w:val="12"/>
                  <w:color w:val="0000EE"/>
                </w:rPr>
                <w:t>40</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160" w:type="dxa"/>
            <w:vAlign w:val="bottom"/>
            <w:gridSpan w:val="4"/>
          </w:tcPr>
          <w:p>
            <w:pPr>
              <w:spacing w:after="0"/>
              <w:rPr>
                <w:rFonts w:ascii="Arial" w:cs="Arial" w:eastAsia="Arial" w:hAnsi="Arial"/>
                <w:sz w:val="12"/>
                <w:szCs w:val="12"/>
                <w:color w:val="0000EE"/>
                <w:w w:val="99"/>
              </w:rPr>
            </w:pPr>
            <w:hyperlink w:anchor="page45">
              <w:r>
                <w:rPr>
                  <w:rFonts w:ascii="Arial" w:cs="Arial" w:eastAsia="Arial" w:hAnsi="Arial"/>
                  <w:sz w:val="12"/>
                  <w:szCs w:val="12"/>
                  <w:color w:val="0000EE"/>
                  <w:w w:val="99"/>
                </w:rPr>
                <w:t>Item 1A. Risk Factors</w:t>
              </w:r>
            </w:hyperlink>
          </w:p>
        </w:tc>
        <w:tc>
          <w:tcPr>
            <w:tcW w:w="180" w:type="dxa"/>
            <w:vAlign w:val="bottom"/>
          </w:tcPr>
          <w:p>
            <w:pPr>
              <w:spacing w:after="0"/>
              <w:rPr>
                <w:sz w:val="13"/>
                <w:szCs w:val="13"/>
                <w:color w:val="auto"/>
              </w:rPr>
            </w:pPr>
          </w:p>
        </w:tc>
        <w:tc>
          <w:tcPr>
            <w:tcW w:w="8340" w:type="dxa"/>
            <w:vAlign w:val="bottom"/>
            <w:gridSpan w:val="17"/>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45">
              <w:r>
                <w:rPr>
                  <w:rFonts w:ascii="Arial" w:cs="Arial" w:eastAsia="Arial" w:hAnsi="Arial"/>
                  <w:sz w:val="12"/>
                  <w:szCs w:val="12"/>
                  <w:color w:val="0000EE"/>
                </w:rPr>
                <w:t>41</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9680" w:type="dxa"/>
            <w:vAlign w:val="bottom"/>
            <w:gridSpan w:val="22"/>
          </w:tcPr>
          <w:p>
            <w:pPr>
              <w:spacing w:after="0"/>
              <w:rPr>
                <w:rFonts w:ascii="Arial" w:cs="Arial" w:eastAsia="Arial" w:hAnsi="Arial"/>
                <w:sz w:val="12"/>
                <w:szCs w:val="12"/>
                <w:color w:val="0000EE"/>
              </w:rPr>
            </w:pPr>
            <w:hyperlink w:anchor="page67">
              <w:r>
                <w:rPr>
                  <w:rFonts w:ascii="Arial" w:cs="Arial" w:eastAsia="Arial" w:hAnsi="Arial"/>
                  <w:sz w:val="12"/>
                  <w:szCs w:val="12"/>
                  <w:color w:val="0000EE"/>
                </w:rPr>
                <w:t>Item 2. Unregistered Sales of Equity Securities and Use of Proceeds</w:t>
              </w:r>
            </w:hyperlink>
          </w:p>
        </w:tc>
        <w:tc>
          <w:tcPr>
            <w:tcW w:w="960" w:type="dxa"/>
            <w:vAlign w:val="bottom"/>
            <w:gridSpan w:val="3"/>
          </w:tcPr>
          <w:p>
            <w:pPr>
              <w:jc w:val="right"/>
              <w:ind w:right="20"/>
              <w:spacing w:after="0"/>
              <w:rPr>
                <w:rFonts w:ascii="Arial" w:cs="Arial" w:eastAsia="Arial" w:hAnsi="Arial"/>
                <w:sz w:val="12"/>
                <w:szCs w:val="12"/>
                <w:color w:val="0000EE"/>
              </w:rPr>
            </w:pPr>
            <w:hyperlink w:anchor="page67">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40" w:type="dxa"/>
            <w:vAlign w:val="bottom"/>
            <w:gridSpan w:val="15"/>
          </w:tcPr>
          <w:p>
            <w:pPr>
              <w:spacing w:after="0"/>
              <w:rPr>
                <w:rFonts w:ascii="Arial" w:cs="Arial" w:eastAsia="Arial" w:hAnsi="Arial"/>
                <w:sz w:val="12"/>
                <w:szCs w:val="12"/>
                <w:color w:val="0000EE"/>
              </w:rPr>
            </w:pPr>
            <w:hyperlink w:anchor="page67">
              <w:r>
                <w:rPr>
                  <w:rFonts w:ascii="Arial" w:cs="Arial" w:eastAsia="Arial" w:hAnsi="Arial"/>
                  <w:sz w:val="12"/>
                  <w:szCs w:val="12"/>
                  <w:color w:val="0000EE"/>
                </w:rPr>
                <w:t>Item 3. Defaults Upon Senior Securities</w:t>
              </w:r>
            </w:hyperlink>
          </w:p>
        </w:tc>
        <w:tc>
          <w:tcPr>
            <w:tcW w:w="6040" w:type="dxa"/>
            <w:vAlign w:val="bottom"/>
            <w:gridSpan w:val="7"/>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7">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700" w:type="dxa"/>
            <w:vAlign w:val="bottom"/>
            <w:gridSpan w:val="7"/>
          </w:tcPr>
          <w:p>
            <w:pPr>
              <w:spacing w:after="0"/>
              <w:rPr>
                <w:rFonts w:ascii="Arial" w:cs="Arial" w:eastAsia="Arial" w:hAnsi="Arial"/>
                <w:sz w:val="12"/>
                <w:szCs w:val="12"/>
                <w:color w:val="0000EE"/>
                <w:w w:val="99"/>
              </w:rPr>
            </w:pPr>
            <w:hyperlink w:anchor="page67">
              <w:r>
                <w:rPr>
                  <w:rFonts w:ascii="Arial" w:cs="Arial" w:eastAsia="Arial" w:hAnsi="Arial"/>
                  <w:sz w:val="12"/>
                  <w:szCs w:val="12"/>
                  <w:color w:val="0000EE"/>
                  <w:w w:val="99"/>
                </w:rPr>
                <w:t>Item 4. Mine Safety Disclosures</w:t>
              </w:r>
            </w:hyperlink>
          </w:p>
        </w:tc>
        <w:tc>
          <w:tcPr>
            <w:tcW w:w="400" w:type="dxa"/>
            <w:vAlign w:val="bottom"/>
            <w:gridSpan w:val="4"/>
          </w:tcPr>
          <w:p>
            <w:pPr>
              <w:spacing w:after="0"/>
              <w:rPr>
                <w:sz w:val="13"/>
                <w:szCs w:val="13"/>
                <w:color w:val="auto"/>
              </w:rPr>
            </w:pPr>
          </w:p>
        </w:tc>
        <w:tc>
          <w:tcPr>
            <w:tcW w:w="7580" w:type="dxa"/>
            <w:vAlign w:val="bottom"/>
            <w:gridSpan w:val="11"/>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7">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340" w:type="dxa"/>
            <w:vAlign w:val="bottom"/>
            <w:gridSpan w:val="5"/>
          </w:tcPr>
          <w:p>
            <w:pPr>
              <w:spacing w:after="0"/>
              <w:rPr>
                <w:rFonts w:ascii="Arial" w:cs="Arial" w:eastAsia="Arial" w:hAnsi="Arial"/>
                <w:sz w:val="12"/>
                <w:szCs w:val="12"/>
                <w:color w:val="0000EE"/>
                <w:w w:val="97"/>
              </w:rPr>
            </w:pPr>
            <w:hyperlink w:anchor="page67">
              <w:r>
                <w:rPr>
                  <w:rFonts w:ascii="Arial" w:cs="Arial" w:eastAsia="Arial" w:hAnsi="Arial"/>
                  <w:sz w:val="12"/>
                  <w:szCs w:val="12"/>
                  <w:color w:val="0000EE"/>
                  <w:w w:val="97"/>
                </w:rPr>
                <w:t>Item 5. Other Information</w:t>
              </w:r>
            </w:hyperlink>
          </w:p>
        </w:tc>
        <w:tc>
          <w:tcPr>
            <w:tcW w:w="360" w:type="dxa"/>
            <w:vAlign w:val="bottom"/>
            <w:gridSpan w:val="2"/>
          </w:tcPr>
          <w:p>
            <w:pPr>
              <w:spacing w:after="0"/>
              <w:rPr>
                <w:sz w:val="13"/>
                <w:szCs w:val="13"/>
                <w:color w:val="auto"/>
              </w:rPr>
            </w:pPr>
          </w:p>
        </w:tc>
        <w:tc>
          <w:tcPr>
            <w:tcW w:w="7980" w:type="dxa"/>
            <w:vAlign w:val="bottom"/>
            <w:gridSpan w:val="15"/>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7">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340" w:type="dxa"/>
            <w:vAlign w:val="bottom"/>
            <w:gridSpan w:val="5"/>
          </w:tcPr>
          <w:p>
            <w:pPr>
              <w:spacing w:after="0"/>
              <w:rPr>
                <w:rFonts w:ascii="Arial" w:cs="Arial" w:eastAsia="Arial" w:hAnsi="Arial"/>
                <w:sz w:val="12"/>
                <w:szCs w:val="12"/>
                <w:color w:val="0000EE"/>
              </w:rPr>
            </w:pPr>
            <w:hyperlink w:anchor="page68">
              <w:r>
                <w:rPr>
                  <w:rFonts w:ascii="Arial" w:cs="Arial" w:eastAsia="Arial" w:hAnsi="Arial"/>
                  <w:sz w:val="12"/>
                  <w:szCs w:val="12"/>
                  <w:color w:val="0000EE"/>
                </w:rPr>
                <w:t>Item 6. Exhibits</w:t>
              </w:r>
            </w:hyperlink>
          </w:p>
        </w:tc>
        <w:tc>
          <w:tcPr>
            <w:tcW w:w="8340" w:type="dxa"/>
            <w:vAlign w:val="bottom"/>
            <w:gridSpan w:val="17"/>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8">
              <w:r>
                <w:rPr>
                  <w:rFonts w:ascii="Arial" w:cs="Arial" w:eastAsia="Arial" w:hAnsi="Arial"/>
                  <w:sz w:val="12"/>
                  <w:szCs w:val="12"/>
                  <w:color w:val="0000EE"/>
                </w:rPr>
                <w:t>64</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color w:val="0000EE"/>
                <w:w w:val="98"/>
              </w:rPr>
              <w:t>Exhibit Index</w:t>
            </w:r>
          </w:p>
        </w:tc>
        <w:tc>
          <w:tcPr>
            <w:tcW w:w="120" w:type="dxa"/>
            <w:vAlign w:val="bottom"/>
          </w:tcPr>
          <w:p>
            <w:pPr>
              <w:spacing w:after="0"/>
              <w:rPr>
                <w:sz w:val="13"/>
                <w:szCs w:val="13"/>
                <w:color w:val="auto"/>
              </w:rPr>
            </w:pPr>
          </w:p>
        </w:tc>
        <w:tc>
          <w:tcPr>
            <w:tcW w:w="8860" w:type="dxa"/>
            <w:vAlign w:val="bottom"/>
            <w:gridSpan w:val="19"/>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8">
              <w:r>
                <w:rPr>
                  <w:rFonts w:ascii="Arial" w:cs="Arial" w:eastAsia="Arial" w:hAnsi="Arial"/>
                  <w:sz w:val="12"/>
                  <w:szCs w:val="12"/>
                  <w:color w:val="0000EE"/>
                </w:rPr>
                <w:t>64</w:t>
              </w:r>
            </w:hyperlink>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tcPr>
          <w:p>
            <w:pPr>
              <w:spacing w:after="0"/>
              <w:rPr>
                <w:rFonts w:ascii="Arial" w:cs="Arial" w:eastAsia="Arial" w:hAnsi="Arial"/>
                <w:sz w:val="12"/>
                <w:szCs w:val="12"/>
                <w:color w:val="0000EE"/>
              </w:rPr>
            </w:pPr>
            <w:hyperlink w:anchor="page69">
              <w:r>
                <w:rPr>
                  <w:rFonts w:ascii="Arial" w:cs="Arial" w:eastAsia="Arial" w:hAnsi="Arial"/>
                  <w:sz w:val="12"/>
                  <w:szCs w:val="12"/>
                  <w:color w:val="0000EE"/>
                </w:rPr>
                <w:t>Signatures</w:t>
              </w:r>
            </w:hyperlink>
          </w:p>
        </w:tc>
        <w:tc>
          <w:tcPr>
            <w:tcW w:w="8980" w:type="dxa"/>
            <w:vAlign w:val="bottom"/>
            <w:gridSpan w:val="20"/>
          </w:tcPr>
          <w:p>
            <w:pPr>
              <w:spacing w:after="0"/>
              <w:rPr>
                <w:sz w:val="13"/>
                <w:szCs w:val="13"/>
                <w:color w:val="auto"/>
              </w:rPr>
            </w:pPr>
          </w:p>
        </w:tc>
        <w:tc>
          <w:tcPr>
            <w:tcW w:w="960" w:type="dxa"/>
            <w:vAlign w:val="bottom"/>
            <w:gridSpan w:val="3"/>
          </w:tcPr>
          <w:p>
            <w:pPr>
              <w:jc w:val="right"/>
              <w:ind w:right="20"/>
              <w:spacing w:after="0"/>
              <w:rPr>
                <w:rFonts w:ascii="Arial" w:cs="Arial" w:eastAsia="Arial" w:hAnsi="Arial"/>
                <w:sz w:val="12"/>
                <w:szCs w:val="12"/>
                <w:color w:val="0000EE"/>
              </w:rPr>
            </w:pPr>
            <w:hyperlink w:anchor="page69">
              <w:r>
                <w:rPr>
                  <w:rFonts w:ascii="Arial" w:cs="Arial" w:eastAsia="Arial" w:hAnsi="Arial"/>
                  <w:sz w:val="12"/>
                  <w:szCs w:val="12"/>
                  <w:color w:val="0000EE"/>
                </w:rPr>
                <w:t>65</w:t>
              </w:r>
            </w:hyperlink>
          </w:p>
        </w:tc>
      </w:tr>
      <w:tr>
        <w:trPr>
          <w:trHeight w:val="232"/>
        </w:trPr>
        <w:tc>
          <w:tcPr>
            <w:tcW w:w="20" w:type="dxa"/>
            <w:vAlign w:val="bottom"/>
            <w:tcBorders>
              <w:bottom w:val="single" w:sz="8" w:color="auto"/>
            </w:tcBorders>
          </w:tcPr>
          <w:p>
            <w:pPr>
              <w:spacing w:after="0"/>
              <w:rPr>
                <w:sz w:val="20"/>
                <w:szCs w:val="20"/>
                <w:color w:val="auto"/>
              </w:rPr>
            </w:pPr>
          </w:p>
        </w:tc>
        <w:tc>
          <w:tcPr>
            <w:tcW w:w="580" w:type="dxa"/>
            <w:vAlign w:val="bottom"/>
            <w:tcBorders>
              <w:top w:val="single" w:sz="8" w:color="0000EE"/>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397510</wp:posOffset>
            </wp:positionH>
            <wp:positionV relativeFrom="page">
              <wp:posOffset>408940</wp:posOffset>
            </wp:positionV>
            <wp:extent cx="676592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5925" cy="5715"/>
                    </a:xfrm>
                    <a:prstGeom prst="rect">
                      <a:avLst/>
                    </a:prstGeom>
                    <a:noFill/>
                  </pic:spPr>
                </pic:pic>
              </a:graphicData>
            </a:graphic>
          </wp:anchor>
        </w:drawing>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660"/>
          </w:cols>
          <w:pgMar w:left="620" w:top="873"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Note Regarding Forward-Looking Statements</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01" w:lineRule="exact"/>
        <w:rPr>
          <w:sz w:val="20"/>
          <w:szCs w:val="20"/>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estimates of our expenses, future revenues, capital requirements and our needs for additional financing;</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of the size of our market opportunities;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our growth;</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expand our manufacturing and production capacity;</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enter new markets, manage our international expansion and comply with any applicable laws and regulations;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effects of increased competition from our market competitors;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success of our marketing efforts and the ability to grow brand awareness and maintain, protect and enhance our brand;</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maintain and effectively expand our relationships with key strategic restaurant and foodservice partners;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our suppliers, distributors, co-manufacturers and customers;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procure sufficient high quality, raw materials to manufacture our products;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availability of pea protein that meets our standards;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real or perceived quality or health issues with our products or other issues that adversely affect our brand and reputation;</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tastes and preferences of our consumers;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disruption in, or breach in security of our information technology systems and resultant interruptions in service and any related impact on our reputation;</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attraction and retention of qualified employees and key personnel;</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effects of natural or man-made catastrophic events particularly involving our or any of our co-manufacturers’ manufacturing facilities or our suppliers’ facilities;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effectiveness of our internal controls;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laws and government regulation affecting our business, including Food and Drug Administration (“FDA”) governmental regulation and state regulation;</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laws, regulations or policies of governmental agencies or regulators relating to the labeling of our products;</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480"/>
          </w:cols>
          <w:pgMar w:left="220" w:top="611" w:right="199" w:bottom="1440" w:gutter="0" w:footer="0" w:header="0"/>
        </w:sectPr>
      </w:pPr>
    </w:p>
    <w:bookmarkStart w:id="3" w:name="page4"/>
    <w:bookmarkEnd w:id="3"/>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adverse economic conditions;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financial condition of, and our relationships with our suppliers, co-manufacturers, distributors, retailers and foodservice customers;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of our suppliers and co-manufacturers to comply with food safety, environmental or other laws or regulations;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seasonality;</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sufficiency of our cash and cash equivalents to meet our liquidity needs and service our indebtedness;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conditions and their impact on consumer spending;</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outcomes of legal or administrative proceedings;</w:t>
      </w:r>
    </w:p>
    <w:p>
      <w:pPr>
        <w:spacing w:after="0" w:line="114" w:lineRule="exact"/>
        <w:rPr>
          <w:rFonts w:ascii="Arial" w:cs="Arial" w:eastAsia="Arial" w:hAnsi="Arial"/>
          <w:sz w:val="12"/>
          <w:szCs w:val="12"/>
          <w:color w:val="auto"/>
        </w:rPr>
      </w:pPr>
    </w:p>
    <w:p>
      <w:pPr>
        <w:ind w:left="320" w:hanging="220"/>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our suppliers’ and our co-manufacturers’ ability to protect our proprietary technology and intellectual property adequately;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as well as other statements regarding our future operations, financial condition and prospects, and business strategies. Forward-looking statements generally can be identified by words such as “believe,” “may,” “will,” “will continue,” “could,” “will likely result,” “estimate,” “continue,” “anticipate,” “intend,” “plan,” “predict,” “project,” “expect,” “potential” and similar expressions, as they relate to our company, our business and our management. These forward-looking statements are based on our current expectations and assumptions that are subject to risks and uncertainties, which could cause our actual results to differ materially from those anticipated or implied in the forward-looking statements. Factors that could cause or contribute to such differences include, but are not limited to, those discussed in this Quarterly Report on Form 10-Q, including, without limitation, the risks discussed in Part II, Item 1A, "Risk Factors," and those discussed in other documents we file from time to time with the Securities and Exchange Commission (“SEC”).</w:t>
      </w:r>
    </w:p>
    <w:p>
      <w:pPr>
        <w:spacing w:after="0" w:line="101"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used herein, the terms “Beyond Meat,” “we,” “us,” “our” and “the Company” refer to Beyond Meat, Inc., a Delaware corporation.</w:t>
      </w:r>
    </w:p>
    <w:p>
      <w:pPr>
        <w:spacing w:after="0" w:line="114"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“Beyond Burger,” “Beyond Beef,” “Beyond Chicken,” “Beyond Meat,” “Beyond Sausage,” “Beyond Breakfast Sausage,” “The Cookout Classic,” “The Future of Protein” and “The Future of Protein Beyond Meat” and design are registered trademarks of Beyond Meat, Inc. in the United States and, in some cases, in certain other countries. All other brand names or trademarks appearing in this Quarterly Report on Form 10-Q are the property of their respective holders. Solely for convenience, the trademarks and trade names contained herein are referred to without the ® and TM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480"/>
          </w:cols>
          <w:pgMar w:left="220" w:top="553"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I. FINANCIAL STATMENTS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24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29,</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ind w:right="506"/>
              <w:spacing w:after="0"/>
              <w:rPr>
                <w:sz w:val="20"/>
                <w:szCs w:val="20"/>
                <w:color w:val="auto"/>
              </w:rPr>
            </w:pPr>
            <w:r>
              <w:rPr>
                <w:rFonts w:ascii="Arial" w:cs="Arial" w:eastAsia="Arial" w:hAnsi="Arial"/>
                <w:sz w:val="11"/>
                <w:szCs w:val="11"/>
                <w:b w:val="1"/>
                <w:bCs w:val="1"/>
                <w:color w:val="auto"/>
              </w:rPr>
              <w:t>December 31,</w:t>
            </w:r>
          </w:p>
        </w:tc>
      </w:tr>
      <w:tr>
        <w:trPr>
          <w:trHeight w:val="148"/>
        </w:trPr>
        <w:tc>
          <w:tcPr>
            <w:tcW w:w="77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2018</w:t>
            </w:r>
          </w:p>
        </w:tc>
      </w:tr>
      <w:tr>
        <w:trPr>
          <w:trHeight w:val="176"/>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Assets</w:t>
            </w: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4"/>
        </w:trPr>
        <w:tc>
          <w:tcPr>
            <w:tcW w:w="77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1240" w:type="dxa"/>
            <w:vAlign w:val="bottom"/>
            <w:shd w:val="clear" w:color="auto" w:fill="CCEEFF"/>
          </w:tcPr>
          <w:p>
            <w:pPr>
              <w:jc w:val="right"/>
              <w:ind w:right="110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276,987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54,271</w:t>
            </w: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Accounts receivable</w:t>
            </w:r>
          </w:p>
        </w:tc>
        <w:tc>
          <w:tcPr>
            <w:tcW w:w="1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34,388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12,626</w:t>
            </w: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Inventory</w:t>
            </w:r>
          </w:p>
        </w:tc>
        <w:tc>
          <w:tcPr>
            <w:tcW w:w="1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42,695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30,257</w:t>
            </w:r>
          </w:p>
        </w:tc>
      </w:tr>
      <w:tr>
        <w:trPr>
          <w:trHeight w:val="174"/>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Prepaid expenses and other current assets</w:t>
            </w: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7,726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5,672</w:t>
            </w:r>
          </w:p>
        </w:tc>
      </w:tr>
      <w:tr>
        <w:trPr>
          <w:trHeight w:val="160"/>
        </w:trPr>
        <w:tc>
          <w:tcPr>
            <w:tcW w:w="77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current assets</w:t>
            </w:r>
          </w:p>
        </w:tc>
        <w:tc>
          <w:tcPr>
            <w:tcW w:w="1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361,796</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102,826</w:t>
            </w:r>
          </w:p>
        </w:tc>
      </w:tr>
      <w:tr>
        <w:trPr>
          <w:trHeight w:val="160"/>
        </w:trPr>
        <w:tc>
          <w:tcPr>
            <w:tcW w:w="770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4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34,473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30,527</w:t>
            </w: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 net</w:t>
            </w:r>
          </w:p>
        </w:tc>
        <w:tc>
          <w:tcPr>
            <w:tcW w:w="1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792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396</w:t>
            </w:r>
          </w:p>
        </w:tc>
      </w:tr>
      <w:tr>
        <w:trPr>
          <w:trHeight w:val="165"/>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Total assets</w:t>
            </w:r>
          </w:p>
        </w:tc>
        <w:tc>
          <w:tcPr>
            <w:tcW w:w="1240" w:type="dxa"/>
            <w:vAlign w:val="bottom"/>
            <w:tcBorders>
              <w:bottom w:val="single" w:sz="8" w:color="auto"/>
            </w:tcBorders>
          </w:tcPr>
          <w:p>
            <w:pPr>
              <w:jc w:val="right"/>
              <w:ind w:right="110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397,061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133,749</w:t>
            </w: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Liabilities, Convertible Preferred Stock and Stockholders’ Equity (Deficit):</w:t>
            </w: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4"/>
        </w:trPr>
        <w:tc>
          <w:tcPr>
            <w:tcW w:w="770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Accounts payable</w:t>
            </w:r>
          </w:p>
        </w:tc>
        <w:tc>
          <w:tcPr>
            <w:tcW w:w="1240" w:type="dxa"/>
            <w:vAlign w:val="bottom"/>
            <w:shd w:val="clear" w:color="auto" w:fill="CCEEFF"/>
          </w:tcPr>
          <w:p>
            <w:pPr>
              <w:jc w:val="right"/>
              <w:ind w:right="110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27,383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17,247</w:t>
            </w: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Wages payable</w:t>
            </w:r>
          </w:p>
        </w:tc>
        <w:tc>
          <w:tcPr>
            <w:tcW w:w="1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1,208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1,255</w:t>
            </w: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Accrued bonus</w:t>
            </w:r>
          </w:p>
        </w:tc>
        <w:tc>
          <w:tcPr>
            <w:tcW w:w="1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2,157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2,312</w:t>
            </w: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Accrued expenses and other current liabilities</w:t>
            </w:r>
          </w:p>
        </w:tc>
        <w:tc>
          <w:tcPr>
            <w:tcW w:w="1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3,622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2,391</w:t>
            </w: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Short-term borrowings under revolving credit line</w:t>
            </w:r>
          </w:p>
        </w:tc>
        <w:tc>
          <w:tcPr>
            <w:tcW w:w="1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6,000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Short-term capital lease liabilities</w:t>
            </w:r>
          </w:p>
        </w:tc>
        <w:tc>
          <w:tcPr>
            <w:tcW w:w="1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44</w:t>
            </w:r>
          </w:p>
        </w:tc>
      </w:tr>
      <w:tr>
        <w:trPr>
          <w:trHeight w:val="180"/>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 warrant liability</w:t>
            </w:r>
          </w:p>
        </w:tc>
        <w:tc>
          <w:tcPr>
            <w:tcW w:w="1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1,918</w:t>
            </w:r>
          </w:p>
        </w:tc>
      </w:tr>
      <w:tr>
        <w:trPr>
          <w:trHeight w:val="16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 current liabilities</w:t>
            </w:r>
          </w:p>
        </w:tc>
        <w:tc>
          <w:tcPr>
            <w:tcW w:w="1240" w:type="dxa"/>
            <w:vAlign w:val="bottom"/>
            <w:tcBorders>
              <w:top w:val="single" w:sz="8" w:color="auto"/>
              <w:bottom w:val="single" w:sz="8" w:color="auto"/>
            </w:tcBorders>
          </w:tcPr>
          <w:p>
            <w:pPr>
              <w:jc w:val="right"/>
              <w:ind w:right="110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40,403</w:t>
            </w:r>
          </w:p>
        </w:tc>
        <w:tc>
          <w:tcPr>
            <w:tcW w:w="1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25,167</w:t>
            </w:r>
          </w:p>
        </w:tc>
      </w:tr>
      <w:tr>
        <w:trPr>
          <w:trHeight w:val="176"/>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liabilities:</w:t>
            </w:r>
          </w:p>
        </w:tc>
        <w:tc>
          <w:tcPr>
            <w:tcW w:w="1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Revolving credit line</w:t>
            </w:r>
          </w:p>
        </w:tc>
        <w:tc>
          <w:tcPr>
            <w:tcW w:w="1240" w:type="dxa"/>
            <w:vAlign w:val="bottom"/>
          </w:tcPr>
          <w:p>
            <w:pPr>
              <w:jc w:val="right"/>
              <w:ind w:right="110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6,000</w:t>
            </w:r>
          </w:p>
        </w:tc>
      </w:tr>
      <w:tr>
        <w:trPr>
          <w:trHeight w:val="187"/>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Long-term portion of bank term loan, net</w:t>
            </w:r>
          </w:p>
        </w:tc>
        <w:tc>
          <w:tcPr>
            <w:tcW w:w="12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19,543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19,388</w:t>
            </w:r>
          </w:p>
        </w:tc>
      </w:tr>
      <w:tr>
        <w:trPr>
          <w:trHeight w:val="174"/>
        </w:trPr>
        <w:tc>
          <w:tcPr>
            <w:tcW w:w="7700" w:type="dxa"/>
            <w:vAlign w:val="bottom"/>
          </w:tcPr>
          <w:p>
            <w:pPr>
              <w:ind w:left="120"/>
              <w:spacing w:after="0"/>
              <w:rPr>
                <w:sz w:val="20"/>
                <w:szCs w:val="20"/>
                <w:color w:val="auto"/>
              </w:rPr>
            </w:pPr>
            <w:r>
              <w:rPr>
                <w:rFonts w:ascii="Arial" w:cs="Arial" w:eastAsia="Arial" w:hAnsi="Arial"/>
                <w:sz w:val="11"/>
                <w:szCs w:val="11"/>
                <w:color w:val="auto"/>
              </w:rPr>
              <w:t>Equipment loan, net</w:t>
            </w:r>
          </w:p>
        </w:tc>
        <w:tc>
          <w:tcPr>
            <w:tcW w:w="1240" w:type="dxa"/>
            <w:vAlign w:val="bottom"/>
          </w:tcPr>
          <w:p>
            <w:pPr>
              <w:spacing w:after="0"/>
              <w:rPr>
                <w:sz w:val="15"/>
                <w:szCs w:val="15"/>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4,924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5,000</w:t>
            </w:r>
          </w:p>
        </w:tc>
      </w:tr>
      <w:tr>
        <w:trPr>
          <w:trHeight w:val="180"/>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Capital lease obligations and other long-term liabilities</w:t>
            </w:r>
          </w:p>
        </w:tc>
        <w:tc>
          <w:tcPr>
            <w:tcW w:w="1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406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404</w:t>
            </w:r>
          </w:p>
        </w:tc>
      </w:tr>
      <w:tr>
        <w:trPr>
          <w:trHeight w:val="160"/>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long-term liabilities</w:t>
            </w:r>
          </w:p>
        </w:tc>
        <w:tc>
          <w:tcPr>
            <w:tcW w:w="1240" w:type="dxa"/>
            <w:vAlign w:val="bottom"/>
            <w:tcBorders>
              <w:bottom w:val="single" w:sz="8" w:color="auto"/>
            </w:tcBorders>
          </w:tcPr>
          <w:p>
            <w:pPr>
              <w:jc w:val="right"/>
              <w:ind w:right="110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24,873</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30,792</w:t>
            </w:r>
          </w:p>
        </w:tc>
      </w:tr>
      <w:tr>
        <w:trPr>
          <w:trHeight w:val="167"/>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9)</w:t>
            </w:r>
          </w:p>
        </w:tc>
        <w:tc>
          <w:tcPr>
            <w:tcW w:w="1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bl>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611"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b w:val="1"/>
                <w:bCs w:val="1"/>
                <w:color w:val="auto"/>
              </w:rPr>
              <w:t>June 29,</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ind w:right="506"/>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7700" w:type="dxa"/>
            <w:vAlign w:val="bottom"/>
          </w:tcPr>
          <w:p>
            <w:pPr>
              <w:spacing w:after="0"/>
              <w:rPr>
                <w:sz w:val="12"/>
                <w:szCs w:val="12"/>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2018</w:t>
            </w:r>
          </w:p>
        </w:tc>
      </w:tr>
      <w:tr>
        <w:trPr>
          <w:trHeight w:val="174"/>
        </w:trPr>
        <w:tc>
          <w:tcPr>
            <w:tcW w:w="7700" w:type="dxa"/>
            <w:vAlign w:val="bottom"/>
          </w:tcPr>
          <w:p>
            <w:pPr>
              <w:ind w:left="20"/>
              <w:spacing w:after="0"/>
              <w:rPr>
                <w:sz w:val="20"/>
                <w:szCs w:val="20"/>
                <w:color w:val="auto"/>
              </w:rPr>
            </w:pPr>
            <w:r>
              <w:rPr>
                <w:rFonts w:ascii="Arial" w:cs="Arial" w:eastAsia="Arial" w:hAnsi="Arial"/>
                <w:sz w:val="11"/>
                <w:szCs w:val="11"/>
                <w:color w:val="auto"/>
              </w:rPr>
              <w:t>Convertible preferred stock:</w:t>
            </w: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5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Series A convertible preferred stock, par value $0.0001 per share—no shares and 3,333,500 shares authorized, issued and outstanding as of June 29, 2019</w:t>
            </w: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3"/>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and December 31, 2018</w:t>
            </w:r>
          </w:p>
        </w:tc>
        <w:tc>
          <w:tcPr>
            <w:tcW w:w="1220" w:type="dxa"/>
            <w:vAlign w:val="bottom"/>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2,000</w:t>
            </w:r>
          </w:p>
        </w:tc>
      </w:tr>
      <w:tr>
        <w:trPr>
          <w:trHeight w:val="145"/>
        </w:trPr>
        <w:tc>
          <w:tcPr>
            <w:tcW w:w="7700" w:type="dxa"/>
            <w:vAlign w:val="bottom"/>
          </w:tcPr>
          <w:p>
            <w:pPr>
              <w:ind w:left="20"/>
              <w:spacing w:after="0"/>
              <w:rPr>
                <w:sz w:val="20"/>
                <w:szCs w:val="20"/>
                <w:color w:val="auto"/>
              </w:rPr>
            </w:pPr>
            <w:r>
              <w:rPr>
                <w:rFonts w:ascii="Arial" w:cs="Arial" w:eastAsia="Arial" w:hAnsi="Arial"/>
                <w:sz w:val="11"/>
                <w:szCs w:val="11"/>
                <w:color w:val="auto"/>
              </w:rPr>
              <w:t>Series B convertible preferred stock, par value $0.0001 per share—no shares and 4,802,260 shares authorized; no shares and 4,680,565 shares issued and</w:t>
            </w: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6"/>
        </w:trPr>
        <w:tc>
          <w:tcPr>
            <w:tcW w:w="7700" w:type="dxa"/>
            <w:vAlign w:val="bottom"/>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4,999</w:t>
            </w:r>
          </w:p>
        </w:tc>
      </w:tr>
      <w:tr>
        <w:trPr>
          <w:trHeight w:val="15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Series C convertible preferred stock, par value $0.0001 per share—no shares and 8,076,643 shares authorized; no shares and 8,076,636 shares issued and</w:t>
            </w: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3"/>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14,882</w:t>
            </w:r>
          </w:p>
        </w:tc>
      </w:tr>
      <w:tr>
        <w:trPr>
          <w:trHeight w:val="145"/>
        </w:trPr>
        <w:tc>
          <w:tcPr>
            <w:tcW w:w="7700" w:type="dxa"/>
            <w:vAlign w:val="bottom"/>
          </w:tcPr>
          <w:p>
            <w:pPr>
              <w:ind w:left="20"/>
              <w:spacing w:after="0"/>
              <w:rPr>
                <w:sz w:val="20"/>
                <w:szCs w:val="20"/>
                <w:color w:val="auto"/>
              </w:rPr>
            </w:pPr>
            <w:r>
              <w:rPr>
                <w:rFonts w:ascii="Arial" w:cs="Arial" w:eastAsia="Arial" w:hAnsi="Arial"/>
                <w:sz w:val="11"/>
                <w:szCs w:val="11"/>
                <w:color w:val="auto"/>
              </w:rPr>
              <w:t>Series D convertible preferred stock, par value $0.0001 per share—no shares and 8,713,207 shares authorized; no shares and 8,713,201 shares issued and</w:t>
            </w: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6"/>
        </w:trPr>
        <w:tc>
          <w:tcPr>
            <w:tcW w:w="7700" w:type="dxa"/>
            <w:vAlign w:val="bottom"/>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24,948</w:t>
            </w:r>
          </w:p>
        </w:tc>
      </w:tr>
      <w:tr>
        <w:trPr>
          <w:trHeight w:val="15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Series E convertible preferred stock, par value $0.0001 per share—no shares and 4,740,531 shares authorized; no shares and 4,701,449 shares issued and</w:t>
            </w: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3"/>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17,214</w:t>
            </w:r>
          </w:p>
        </w:tc>
      </w:tr>
      <w:tr>
        <w:trPr>
          <w:trHeight w:val="145"/>
        </w:trPr>
        <w:tc>
          <w:tcPr>
            <w:tcW w:w="7700" w:type="dxa"/>
            <w:vAlign w:val="bottom"/>
          </w:tcPr>
          <w:p>
            <w:pPr>
              <w:ind w:left="20"/>
              <w:spacing w:after="0"/>
              <w:rPr>
                <w:sz w:val="20"/>
                <w:szCs w:val="20"/>
                <w:color w:val="auto"/>
              </w:rPr>
            </w:pPr>
            <w:r>
              <w:rPr>
                <w:rFonts w:ascii="Arial" w:cs="Arial" w:eastAsia="Arial" w:hAnsi="Arial"/>
                <w:sz w:val="11"/>
                <w:szCs w:val="11"/>
                <w:color w:val="auto"/>
              </w:rPr>
              <w:t>Series F convertible preferred stock, par value $0.0001 per share—no shares and 4,866,776 shares authorized; no shares and 4,866,758 shares issued and</w:t>
            </w: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6"/>
        </w:trPr>
        <w:tc>
          <w:tcPr>
            <w:tcW w:w="7700" w:type="dxa"/>
            <w:vAlign w:val="bottom"/>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29,840</w:t>
            </w:r>
          </w:p>
        </w:tc>
      </w:tr>
      <w:tr>
        <w:trPr>
          <w:trHeight w:val="15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Series G convertible preferred stock, par value $0.0001 per share—no shares and 5,140,257 shares authorized; no shares and 5,114,786 shares issued and</w:t>
            </w: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3"/>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55,658</w:t>
            </w:r>
          </w:p>
        </w:tc>
      </w:tr>
      <w:tr>
        <w:trPr>
          <w:trHeight w:val="145"/>
        </w:trPr>
        <w:tc>
          <w:tcPr>
            <w:tcW w:w="7700" w:type="dxa"/>
            <w:vAlign w:val="bottom"/>
          </w:tcPr>
          <w:p>
            <w:pPr>
              <w:ind w:left="20"/>
              <w:spacing w:after="0"/>
              <w:rPr>
                <w:sz w:val="20"/>
                <w:szCs w:val="20"/>
                <w:color w:val="auto"/>
              </w:rPr>
            </w:pPr>
            <w:r>
              <w:rPr>
                <w:rFonts w:ascii="Arial" w:cs="Arial" w:eastAsia="Arial" w:hAnsi="Arial"/>
                <w:sz w:val="11"/>
                <w:szCs w:val="11"/>
                <w:color w:val="auto"/>
              </w:rPr>
              <w:t>Series H convertible preferred stock, par value $0.0001 per share—no shares and 4,209,693 shares authorized; no shares and 2,075,216 shares issued and</w:t>
            </w: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36"/>
        </w:trPr>
        <w:tc>
          <w:tcPr>
            <w:tcW w:w="7700" w:type="dxa"/>
            <w:vAlign w:val="bottom"/>
          </w:tcPr>
          <w:p>
            <w:pPr>
              <w:ind w:left="120"/>
              <w:spacing w:after="0"/>
              <w:rPr>
                <w:sz w:val="20"/>
                <w:szCs w:val="20"/>
                <w:color w:val="auto"/>
              </w:rPr>
            </w:pPr>
            <w:r>
              <w:rPr>
                <w:rFonts w:ascii="Arial" w:cs="Arial" w:eastAsia="Arial" w:hAnsi="Arial"/>
                <w:sz w:val="11"/>
                <w:szCs w:val="11"/>
                <w:color w:val="auto"/>
              </w:rPr>
              <w:t>outstanding as of June 29, 2019 and December 31, 2018</w:t>
            </w:r>
          </w:p>
        </w:tc>
        <w:tc>
          <w:tcPr>
            <w:tcW w:w="12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49,999</w:t>
            </w:r>
          </w:p>
        </w:tc>
      </w:tr>
      <w:tr>
        <w:trPr>
          <w:trHeight w:val="187"/>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4"/>
        </w:trPr>
        <w:tc>
          <w:tcPr>
            <w:tcW w:w="7700" w:type="dxa"/>
            <w:vAlign w:val="bottom"/>
          </w:tcPr>
          <w:p>
            <w:pPr>
              <w:ind w:left="20"/>
              <w:spacing w:after="0"/>
              <w:rPr>
                <w:sz w:val="20"/>
                <w:szCs w:val="20"/>
                <w:color w:val="auto"/>
              </w:rPr>
            </w:pPr>
            <w:r>
              <w:rPr>
                <w:rFonts w:ascii="Arial" w:cs="Arial" w:eastAsia="Arial" w:hAnsi="Arial"/>
                <w:sz w:val="11"/>
                <w:szCs w:val="11"/>
                <w:color w:val="auto"/>
              </w:rPr>
              <w:t>Preferred stock, par value $0.0001 per share—500,000 shares authorized, none issued and outstanding</w:t>
            </w:r>
          </w:p>
        </w:tc>
        <w:tc>
          <w:tcPr>
            <w:tcW w:w="12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Common stock, par value $0.0001 per share—500,000,000 shares and 58,669,600 shares authorized at June 29, 2019 and December 31, 2018, respectively;</w:t>
            </w:r>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43"/>
        </w:trPr>
        <w:tc>
          <w:tcPr>
            <w:tcW w:w="77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60,167,521 and 6,951,350 shares issued and outstanding at June 29, 2019 and December 31, 2018, respectively</w:t>
            </w:r>
          </w:p>
        </w:tc>
        <w:tc>
          <w:tcPr>
            <w:tcW w:w="12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r>
      <w:tr>
        <w:trPr>
          <w:trHeight w:val="174"/>
        </w:trPr>
        <w:tc>
          <w:tcPr>
            <w:tcW w:w="770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122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477,541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66"/>
              <w:spacing w:after="0"/>
              <w:rPr>
                <w:sz w:val="20"/>
                <w:szCs w:val="20"/>
                <w:color w:val="auto"/>
              </w:rPr>
            </w:pPr>
            <w:r>
              <w:rPr>
                <w:rFonts w:ascii="Arial" w:cs="Arial" w:eastAsia="Arial" w:hAnsi="Arial"/>
                <w:sz w:val="11"/>
                <w:szCs w:val="11"/>
                <w:color w:val="auto"/>
              </w:rPr>
              <w:t>7,921</w:t>
            </w: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1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(145,762)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(129,672)</w:t>
            </w:r>
          </w:p>
        </w:tc>
      </w:tr>
      <w:tr>
        <w:trPr>
          <w:trHeight w:val="160"/>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Total stockholders’ equity (deficit)</w:t>
            </w:r>
          </w:p>
        </w:tc>
        <w:tc>
          <w:tcPr>
            <w:tcW w:w="1220" w:type="dxa"/>
            <w:vAlign w:val="bottom"/>
            <w:tcBorders>
              <w:bottom w:val="single" w:sz="8" w:color="auto"/>
            </w:tcBorders>
          </w:tcPr>
          <w:p>
            <w:pPr>
              <w:jc w:val="right"/>
              <w:ind w:right="108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331,785</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(121,750)</w:t>
            </w:r>
          </w:p>
        </w:tc>
      </w:tr>
      <w:tr>
        <w:trPr>
          <w:trHeight w:val="165"/>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Total liabilities, convertible preferred stock and stockholders’ equity (deficit)</w:t>
            </w:r>
          </w:p>
        </w:tc>
        <w:tc>
          <w:tcPr>
            <w:tcW w:w="1220" w:type="dxa"/>
            <w:vAlign w:val="bottom"/>
            <w:tcBorders>
              <w:bottom w:val="single" w:sz="8" w:color="auto"/>
            </w:tcBorders>
            <w:shd w:val="clear" w:color="auto" w:fill="CCEEFF"/>
          </w:tcPr>
          <w:p>
            <w:pPr>
              <w:jc w:val="right"/>
              <w:ind w:right="108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397,061</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133,749</w:t>
            </w:r>
          </w:p>
        </w:tc>
      </w:tr>
    </w:tbl>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The accompanying notes are an integral part of these unaudited condensed financial statements.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651"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Six Months Ended</w:t>
            </w:r>
          </w:p>
        </w:tc>
        <w:tc>
          <w:tcPr>
            <w:tcW w:w="1080" w:type="dxa"/>
            <w:vAlign w:val="bottom"/>
            <w:tcBorders>
              <w:bottom w:val="single" w:sz="8" w:color="auto"/>
            </w:tcBorders>
          </w:tcPr>
          <w:p>
            <w:pPr>
              <w:spacing w:after="0"/>
              <w:rPr>
                <w:sz w:val="12"/>
                <w:szCs w:val="12"/>
                <w:color w:val="auto"/>
              </w:rPr>
            </w:pPr>
          </w:p>
        </w:tc>
      </w:tr>
      <w:tr>
        <w:trPr>
          <w:trHeight w:val="129"/>
        </w:trPr>
        <w:tc>
          <w:tcPr>
            <w:tcW w:w="4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29,</w:t>
            </w:r>
          </w:p>
        </w:tc>
        <w:tc>
          <w:tcPr>
            <w:tcW w:w="54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June 30,</w:t>
            </w:r>
          </w:p>
        </w:tc>
        <w:tc>
          <w:tcPr>
            <w:tcW w:w="320" w:type="dxa"/>
            <w:vAlign w:val="bottom"/>
          </w:tcPr>
          <w:p>
            <w:pPr>
              <w:spacing w:after="0"/>
              <w:rPr>
                <w:sz w:val="11"/>
                <w:szCs w:val="11"/>
                <w:color w:val="auto"/>
              </w:rPr>
            </w:pPr>
          </w:p>
        </w:tc>
        <w:tc>
          <w:tcPr>
            <w:tcW w:w="136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29,</w:t>
            </w:r>
          </w:p>
        </w:tc>
        <w:tc>
          <w:tcPr>
            <w:tcW w:w="500" w:type="dxa"/>
            <w:vAlign w:val="bottom"/>
          </w:tcPr>
          <w:p>
            <w:pPr>
              <w:spacing w:after="0"/>
              <w:rPr>
                <w:sz w:val="11"/>
                <w:szCs w:val="11"/>
                <w:color w:val="auto"/>
              </w:rPr>
            </w:pPr>
          </w:p>
        </w:tc>
        <w:tc>
          <w:tcPr>
            <w:tcW w:w="1080" w:type="dxa"/>
            <w:vAlign w:val="bottom"/>
          </w:tcPr>
          <w:p>
            <w:pPr>
              <w:jc w:val="right"/>
              <w:ind w:right="521"/>
              <w:spacing w:after="0"/>
              <w:rPr>
                <w:sz w:val="20"/>
                <w:szCs w:val="20"/>
                <w:color w:val="auto"/>
              </w:rPr>
            </w:pPr>
            <w:r>
              <w:rPr>
                <w:rFonts w:ascii="Arial" w:cs="Arial" w:eastAsia="Arial" w:hAnsi="Arial"/>
                <w:sz w:val="11"/>
                <w:szCs w:val="11"/>
                <w:b w:val="1"/>
                <w:bCs w:val="1"/>
                <w:color w:val="auto"/>
              </w:rPr>
              <w:t>June 30,</w:t>
            </w:r>
          </w:p>
        </w:tc>
      </w:tr>
      <w:tr>
        <w:trPr>
          <w:trHeight w:val="148"/>
        </w:trPr>
        <w:tc>
          <w:tcPr>
            <w:tcW w:w="47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41"/>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2018</w:t>
            </w:r>
          </w:p>
        </w:tc>
      </w:tr>
      <w:tr>
        <w:trPr>
          <w:trHeight w:val="167"/>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67,251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17,367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107,457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30,143</w:t>
            </w:r>
          </w:p>
        </w:tc>
      </w:tr>
      <w:tr>
        <w:trPr>
          <w:trHeight w:val="17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goods sold</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44,510</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14,755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73,945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25,474</w:t>
            </w:r>
          </w:p>
        </w:tc>
      </w:tr>
      <w:tr>
        <w:trPr>
          <w:trHeight w:val="16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22,741</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2,612</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33,512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4,669</w:t>
            </w:r>
          </w:p>
        </w:tc>
      </w:tr>
      <w:tr>
        <w:trPr>
          <w:trHeight w:val="210"/>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4,212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2,497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8,710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4,102</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15,515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7,043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26,692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12,780</w:t>
            </w: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Restructuring expenses</w:t>
            </w: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847</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348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1,241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642</w:t>
            </w:r>
          </w:p>
        </w:tc>
      </w:tr>
      <w:tr>
        <w:trPr>
          <w:trHeight w:val="16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20,574</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9,888</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36,643</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17,524</w:t>
            </w:r>
          </w:p>
        </w:tc>
      </w:tr>
      <w:tr>
        <w:trPr>
          <w:trHeight w:val="16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operations</w:t>
            </w: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2,167</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(7,276)</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(3,131)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(12,855)</w:t>
            </w:r>
          </w:p>
        </w:tc>
      </w:tr>
      <w:tr>
        <w:trPr>
          <w:trHeight w:val="210"/>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expense, net:</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32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(741)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(1,474)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(75)</w:t>
            </w: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Remeasurement of warrant liability</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(11,744)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(12,503)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(259)</w:t>
            </w:r>
          </w:p>
        </w:tc>
      </w:tr>
      <w:tr>
        <w:trPr>
          <w:trHeight w:val="17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net</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898</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1,039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97</w:t>
            </w:r>
          </w:p>
        </w:tc>
      </w:tr>
      <w:tr>
        <w:trPr>
          <w:trHeight w:val="16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expense, net</w:t>
            </w: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(11,587)</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(120)</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(12,938)</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(237)</w:t>
            </w:r>
          </w:p>
        </w:tc>
      </w:tr>
      <w:tr>
        <w:trPr>
          <w:trHeight w:val="210"/>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before taxes</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(9,420)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(7,396)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(16,069)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(13,092)</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32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41"/>
              <w:spacing w:after="0"/>
              <w:rPr>
                <w:sz w:val="20"/>
                <w:szCs w:val="20"/>
                <w:color w:val="auto"/>
              </w:rPr>
            </w:pPr>
            <w:r>
              <w:rPr>
                <w:rFonts w:ascii="Arial" w:cs="Arial" w:eastAsia="Arial" w:hAnsi="Arial"/>
                <w:sz w:val="12"/>
                <w:szCs w:val="12"/>
                <w:color w:val="auto"/>
              </w:rPr>
              <w:t>—</w:t>
            </w:r>
          </w:p>
        </w:tc>
      </w:tr>
      <w:tr>
        <w:trPr>
          <w:trHeight w:val="172"/>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(9,441)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(7,396)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(16,090)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(13,092)</w:t>
            </w:r>
          </w:p>
        </w:tc>
      </w:tr>
      <w:tr>
        <w:trPr>
          <w:trHeight w:val="17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per common share—basic and diluted</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(0.24)</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(0.69)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(2.21)</w:t>
            </w:r>
          </w:p>
        </w:tc>
      </w:tr>
      <w:tr>
        <w:trPr>
          <w:trHeight w:val="17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outstanding—basic and diluted</w:t>
            </w: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39,081,359</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6,072,319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23,206,203</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5,933,806</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condensed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20"/>
          </w:cols>
          <w:pgMar w:left="240" w:top="539"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Convertible Preferred Stock and Stockholders’ Equity (Deficit)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data)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Preferred Stock</w:t>
            </w:r>
          </w:p>
        </w:tc>
        <w:tc>
          <w:tcPr>
            <w:tcW w:w="6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8"/>
                <w:szCs w:val="8"/>
                <w:b w:val="1"/>
                <w:bCs w:val="1"/>
                <w:color w:val="auto"/>
              </w:rPr>
              <w:t>Common Stock</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rPr>
              <w:t>Additional Paid-in</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3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440" w:type="dxa"/>
            <w:vAlign w:val="bottom"/>
          </w:tcPr>
          <w:p>
            <w:pPr>
              <w:spacing w:after="0"/>
              <w:rPr>
                <w:sz w:val="10"/>
                <w:szCs w:val="10"/>
                <w:color w:val="auto"/>
              </w:rPr>
            </w:pPr>
          </w:p>
        </w:tc>
        <w:tc>
          <w:tcPr>
            <w:tcW w:w="1140" w:type="dxa"/>
            <w:vAlign w:val="bottom"/>
            <w:gridSpan w:val="2"/>
          </w:tcPr>
          <w:p>
            <w:pPr>
              <w:ind w:left="360"/>
              <w:spacing w:after="0"/>
              <w:rPr>
                <w:sz w:val="20"/>
                <w:szCs w:val="20"/>
                <w:color w:val="auto"/>
              </w:rPr>
            </w:pPr>
            <w:r>
              <w:rPr>
                <w:rFonts w:ascii="Arial" w:cs="Arial" w:eastAsia="Arial" w:hAnsi="Arial"/>
                <w:sz w:val="8"/>
                <w:szCs w:val="8"/>
                <w:b w:val="1"/>
                <w:bCs w:val="1"/>
                <w:color w:val="auto"/>
              </w:rPr>
              <w:t>Shares</w:t>
            </w:r>
          </w:p>
        </w:tc>
        <w:tc>
          <w:tcPr>
            <w:tcW w:w="260" w:type="dxa"/>
            <w:vAlign w:val="bottom"/>
          </w:tcPr>
          <w:p>
            <w:pPr>
              <w:spacing w:after="0"/>
              <w:rPr>
                <w:sz w:val="10"/>
                <w:szCs w:val="10"/>
                <w:color w:val="auto"/>
              </w:rPr>
            </w:pPr>
          </w:p>
        </w:tc>
        <w:tc>
          <w:tcPr>
            <w:tcW w:w="800" w:type="dxa"/>
            <w:vAlign w:val="bottom"/>
            <w:tcBorders>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10"/>
                <w:szCs w:val="10"/>
                <w:color w:val="auto"/>
              </w:rPr>
            </w:pPr>
          </w:p>
        </w:tc>
        <w:tc>
          <w:tcPr>
            <w:tcW w:w="1280" w:type="dxa"/>
            <w:vAlign w:val="bottom"/>
            <w:gridSpan w:val="2"/>
          </w:tcPr>
          <w:p>
            <w:pPr>
              <w:ind w:left="440"/>
              <w:spacing w:after="0"/>
              <w:rPr>
                <w:sz w:val="20"/>
                <w:szCs w:val="20"/>
                <w:color w:val="auto"/>
              </w:rPr>
            </w:pPr>
            <w:r>
              <w:rPr>
                <w:rFonts w:ascii="Arial" w:cs="Arial" w:eastAsia="Arial" w:hAnsi="Arial"/>
                <w:sz w:val="8"/>
                <w:szCs w:val="8"/>
                <w:b w:val="1"/>
                <w:bCs w:val="1"/>
                <w:color w:val="auto"/>
              </w:rPr>
              <w:t>Shares</w:t>
            </w:r>
          </w:p>
        </w:tc>
        <w:tc>
          <w:tcPr>
            <w:tcW w:w="22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8"/>
                <w:szCs w:val="8"/>
                <w:b w:val="1"/>
                <w:bCs w:val="1"/>
                <w:color w:val="auto"/>
              </w:rPr>
              <w:t>Accumulated Deficit</w:t>
            </w:r>
          </w:p>
        </w:tc>
        <w:tc>
          <w:tcPr>
            <w:tcW w:w="220" w:type="dxa"/>
            <w:vAlign w:val="bottom"/>
          </w:tcPr>
          <w:p>
            <w:pPr>
              <w:spacing w:after="0"/>
              <w:rPr>
                <w:sz w:val="10"/>
                <w:szCs w:val="10"/>
                <w:color w:val="auto"/>
              </w:rPr>
            </w:pPr>
          </w:p>
        </w:tc>
        <w:tc>
          <w:tcPr>
            <w:tcW w:w="680" w:type="dxa"/>
            <w:vAlign w:val="bottom"/>
          </w:tcPr>
          <w:p>
            <w:pPr>
              <w:jc w:val="right"/>
              <w:ind w:right="298"/>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6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December 31, 2018</w:t>
            </w: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41,562,111</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6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199,540</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6,951,350</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9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7,921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(129,672)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rPr>
              <w:t>$</w:t>
            </w:r>
          </w:p>
        </w:tc>
        <w:tc>
          <w:tcPr>
            <w:tcW w:w="6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(121,750)</w:t>
            </w:r>
          </w:p>
        </w:tc>
        <w:tc>
          <w:tcPr>
            <w:tcW w:w="0" w:type="dxa"/>
            <w:vAlign w:val="bottom"/>
          </w:tcPr>
          <w:p>
            <w:pPr>
              <w:spacing w:after="0"/>
              <w:rPr>
                <w:sz w:val="1"/>
                <w:szCs w:val="1"/>
                <w:color w:val="auto"/>
              </w:rPr>
            </w:pPr>
          </w:p>
        </w:tc>
      </w:tr>
      <w:tr>
        <w:trPr>
          <w:trHeight w:val="174"/>
        </w:trPr>
        <w:tc>
          <w:tcPr>
            <w:tcW w:w="3440" w:type="dxa"/>
            <w:vAlign w:val="bottom"/>
          </w:tcPr>
          <w:p>
            <w:pPr>
              <w:ind w:left="60"/>
              <w:spacing w:after="0"/>
              <w:rPr>
                <w:sz w:val="20"/>
                <w:szCs w:val="20"/>
                <w:color w:val="auto"/>
              </w:rPr>
            </w:pPr>
            <w:r>
              <w:rPr>
                <w:rFonts w:ascii="Arial" w:cs="Arial" w:eastAsia="Arial" w:hAnsi="Arial"/>
                <w:sz w:val="8"/>
                <w:szCs w:val="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8"/>
                <w:szCs w:val="8"/>
                <w:color w:val="auto"/>
              </w:rPr>
              <w:t>(6,649)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8"/>
                <w:szCs w:val="8"/>
                <w:color w:val="auto"/>
              </w:rPr>
              <w:t>(6,649)</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common stock through equity incentive plans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169,583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366</w:t>
            </w:r>
          </w:p>
        </w:tc>
        <w:tc>
          <w:tcPr>
            <w:tcW w:w="0" w:type="dxa"/>
            <w:vAlign w:val="bottom"/>
          </w:tcPr>
          <w:p>
            <w:pPr>
              <w:spacing w:after="0"/>
              <w:rPr>
                <w:sz w:val="1"/>
                <w:szCs w:val="1"/>
                <w:color w:val="auto"/>
              </w:rPr>
            </w:pPr>
          </w:p>
        </w:tc>
      </w:tr>
      <w:tr>
        <w:trPr>
          <w:trHeight w:val="174"/>
        </w:trPr>
        <w:tc>
          <w:tcPr>
            <w:tcW w:w="3440" w:type="dxa"/>
            <w:vAlign w:val="bottom"/>
          </w:tcPr>
          <w:p>
            <w:pPr>
              <w:ind w:left="60"/>
              <w:spacing w:after="0"/>
              <w:rPr>
                <w:sz w:val="20"/>
                <w:szCs w:val="20"/>
                <w:color w:val="auto"/>
              </w:rPr>
            </w:pPr>
            <w:r>
              <w:rPr>
                <w:rFonts w:ascii="Arial" w:cs="Arial" w:eastAsia="Arial" w:hAnsi="Arial"/>
                <w:sz w:val="8"/>
                <w:szCs w:val="8"/>
                <w:color w:val="auto"/>
              </w:rPr>
              <w:t>Share-based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8"/>
                <w:szCs w:val="8"/>
                <w:color w:val="auto"/>
              </w:rPr>
              <w:t>855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5"/>
                <w:szCs w:val="15"/>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855</w:t>
            </w:r>
          </w:p>
        </w:tc>
        <w:tc>
          <w:tcPr>
            <w:tcW w:w="0" w:type="dxa"/>
            <w:vAlign w:val="bottom"/>
          </w:tcPr>
          <w:p>
            <w:pPr>
              <w:spacing w:after="0"/>
              <w:rPr>
                <w:sz w:val="1"/>
                <w:szCs w:val="1"/>
                <w:color w:val="auto"/>
              </w:rPr>
            </w:pPr>
          </w:p>
        </w:tc>
      </w:tr>
      <w:tr>
        <w:trPr>
          <w:trHeight w:val="166"/>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March 29, 2019</w:t>
            </w: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41,562,111</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6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199,540</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7,120,933</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9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9,142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(136,321)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rPr>
              <w:t>$</w:t>
            </w:r>
          </w:p>
        </w:tc>
        <w:tc>
          <w:tcPr>
            <w:tcW w:w="6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(127,178)</w:t>
            </w:r>
          </w:p>
        </w:tc>
        <w:tc>
          <w:tcPr>
            <w:tcW w:w="0" w:type="dxa"/>
            <w:vAlign w:val="bottom"/>
          </w:tcPr>
          <w:p>
            <w:pPr>
              <w:spacing w:after="0"/>
              <w:rPr>
                <w:sz w:val="1"/>
                <w:szCs w:val="1"/>
                <w:color w:val="auto"/>
              </w:rPr>
            </w:pPr>
          </w:p>
        </w:tc>
      </w:tr>
      <w:tr>
        <w:trPr>
          <w:trHeight w:val="174"/>
        </w:trPr>
        <w:tc>
          <w:tcPr>
            <w:tcW w:w="3440" w:type="dxa"/>
            <w:vAlign w:val="bottom"/>
          </w:tcPr>
          <w:p>
            <w:pPr>
              <w:ind w:left="60"/>
              <w:spacing w:after="0"/>
              <w:rPr>
                <w:sz w:val="20"/>
                <w:szCs w:val="20"/>
                <w:color w:val="auto"/>
              </w:rPr>
            </w:pPr>
            <w:r>
              <w:rPr>
                <w:rFonts w:ascii="Arial" w:cs="Arial" w:eastAsia="Arial" w:hAnsi="Arial"/>
                <w:sz w:val="8"/>
                <w:szCs w:val="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8"/>
                <w:szCs w:val="8"/>
                <w:color w:val="auto"/>
              </w:rPr>
              <w:t>(9,441)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8"/>
                <w:szCs w:val="8"/>
                <w:color w:val="auto"/>
              </w:rPr>
              <w:t>(9,441)</w:t>
            </w:r>
          </w:p>
        </w:tc>
        <w:tc>
          <w:tcPr>
            <w:tcW w:w="0" w:type="dxa"/>
            <w:vAlign w:val="bottom"/>
          </w:tcPr>
          <w:p>
            <w:pPr>
              <w:spacing w:after="0"/>
              <w:rPr>
                <w:sz w:val="1"/>
                <w:szCs w:val="1"/>
                <w:color w:val="auto"/>
              </w:rPr>
            </w:pPr>
          </w:p>
        </w:tc>
      </w:tr>
      <w:tr>
        <w:trPr>
          <w:trHeight w:val="110"/>
        </w:trPr>
        <w:tc>
          <w:tcPr>
            <w:tcW w:w="344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common stock pursuant to the initial public offering, net of issuance costs of</w:t>
            </w: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40" w:type="dxa"/>
            <w:vAlign w:val="bottom"/>
            <w:shd w:val="clear" w:color="auto" w:fill="CCEEFF"/>
          </w:tcPr>
          <w:p>
            <w:pPr>
              <w:ind w:left="120"/>
              <w:spacing w:after="0"/>
              <w:rPr>
                <w:sz w:val="20"/>
                <w:szCs w:val="20"/>
                <w:color w:val="auto"/>
              </w:rPr>
            </w:pPr>
            <w:r>
              <w:rPr>
                <w:rFonts w:ascii="Arial" w:cs="Arial" w:eastAsia="Arial" w:hAnsi="Arial"/>
                <w:sz w:val="8"/>
                <w:szCs w:val="8"/>
                <w:color w:val="auto"/>
              </w:rPr>
              <w:t>$4.9 million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9"/>
                <w:szCs w:val="9"/>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11,068,750</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252,452</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252,453</w:t>
            </w:r>
          </w:p>
        </w:tc>
        <w:tc>
          <w:tcPr>
            <w:tcW w:w="0" w:type="dxa"/>
            <w:vAlign w:val="bottom"/>
          </w:tcPr>
          <w:p>
            <w:pPr>
              <w:spacing w:after="0"/>
              <w:rPr>
                <w:sz w:val="1"/>
                <w:szCs w:val="1"/>
                <w:color w:val="auto"/>
              </w:rPr>
            </w:pPr>
          </w:p>
        </w:tc>
      </w:tr>
      <w:tr>
        <w:trPr>
          <w:trHeight w:val="174"/>
        </w:trPr>
        <w:tc>
          <w:tcPr>
            <w:tcW w:w="3440" w:type="dxa"/>
            <w:vAlign w:val="bottom"/>
          </w:tcPr>
          <w:p>
            <w:pPr>
              <w:ind w:left="60"/>
              <w:spacing w:after="0"/>
              <w:rPr>
                <w:sz w:val="20"/>
                <w:szCs w:val="20"/>
                <w:color w:val="auto"/>
              </w:rPr>
            </w:pPr>
            <w:r>
              <w:rPr>
                <w:rFonts w:ascii="Arial" w:cs="Arial" w:eastAsia="Arial" w:hAnsi="Arial"/>
                <w:sz w:val="8"/>
                <w:szCs w:val="8"/>
                <w:color w:val="auto"/>
              </w:rPr>
              <w:t>Issuance of common stock upon conversion of convertible preferred stock</w:t>
            </w: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(41,562,111)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(199,540)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78"/>
              <w:spacing w:after="0"/>
              <w:rPr>
                <w:sz w:val="20"/>
                <w:szCs w:val="20"/>
                <w:color w:val="auto"/>
              </w:rPr>
            </w:pPr>
            <w:r>
              <w:rPr>
                <w:rFonts w:ascii="Arial" w:cs="Arial" w:eastAsia="Arial" w:hAnsi="Arial"/>
                <w:sz w:val="8"/>
                <w:szCs w:val="8"/>
                <w:color w:val="auto"/>
              </w:rPr>
              <w:t>41,562,111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8"/>
                <w:szCs w:val="8"/>
                <w:color w:val="auto"/>
              </w:rPr>
              <w:t>199,536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15"/>
                <w:szCs w:val="15"/>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199,540</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common stock upon exercise of common stock warrants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214,875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4"/>
        </w:trPr>
        <w:tc>
          <w:tcPr>
            <w:tcW w:w="3440" w:type="dxa"/>
            <w:vAlign w:val="bottom"/>
          </w:tcPr>
          <w:p>
            <w:pPr>
              <w:ind w:left="60"/>
              <w:spacing w:after="0"/>
              <w:rPr>
                <w:sz w:val="20"/>
                <w:szCs w:val="20"/>
                <w:color w:val="auto"/>
              </w:rPr>
            </w:pPr>
            <w:r>
              <w:rPr>
                <w:rFonts w:ascii="Arial" w:cs="Arial" w:eastAsia="Arial" w:hAnsi="Arial"/>
                <w:sz w:val="8"/>
                <w:szCs w:val="8"/>
                <w:color w:val="auto"/>
              </w:rPr>
              <w:t>Reclassification of warrant liability to additional paid-in capital in connection with the initial</w:t>
            </w: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440" w:type="dxa"/>
            <w:vAlign w:val="bottom"/>
          </w:tcPr>
          <w:p>
            <w:pPr>
              <w:ind w:left="120"/>
              <w:spacing w:after="0"/>
              <w:rPr>
                <w:sz w:val="20"/>
                <w:szCs w:val="20"/>
                <w:color w:val="auto"/>
              </w:rPr>
            </w:pPr>
            <w:r>
              <w:rPr>
                <w:rFonts w:ascii="Arial" w:cs="Arial" w:eastAsia="Arial" w:hAnsi="Arial"/>
                <w:sz w:val="8"/>
                <w:szCs w:val="8"/>
                <w:color w:val="auto"/>
              </w:rPr>
              <w:t>public offering</w:t>
            </w:r>
          </w:p>
        </w:tc>
        <w:tc>
          <w:tcPr>
            <w:tcW w:w="11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900" w:type="dxa"/>
            <w:vAlign w:val="bottom"/>
          </w:tcPr>
          <w:p>
            <w:pPr>
              <w:jc w:val="right"/>
              <w:ind w:right="58"/>
              <w:spacing w:after="0"/>
              <w:rPr>
                <w:sz w:val="20"/>
                <w:szCs w:val="20"/>
                <w:color w:val="auto"/>
              </w:rPr>
            </w:pPr>
            <w:r>
              <w:rPr>
                <w:rFonts w:ascii="Arial" w:cs="Arial" w:eastAsia="Arial" w:hAnsi="Arial"/>
                <w:sz w:val="8"/>
                <w:szCs w:val="8"/>
                <w:color w:val="auto"/>
              </w:rPr>
              <w:t>14,421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9"/>
                <w:szCs w:val="9"/>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14,421</w:t>
            </w: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common stock through equity incentive plans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200,852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167</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CCEEFF"/>
            </w:tcBorders>
          </w:tcPr>
          <w:p>
            <w:pPr>
              <w:ind w:left="60"/>
              <w:spacing w:after="0"/>
              <w:rPr>
                <w:sz w:val="20"/>
                <w:szCs w:val="20"/>
                <w:color w:val="auto"/>
              </w:rPr>
            </w:pPr>
            <w:r>
              <w:rPr>
                <w:rFonts w:ascii="Arial" w:cs="Arial" w:eastAsia="Arial" w:hAnsi="Arial"/>
                <w:sz w:val="8"/>
                <w:szCs w:val="8"/>
                <w:color w:val="auto"/>
              </w:rPr>
              <w:t>Share-based compensation</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1,823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1,823</w:t>
            </w:r>
          </w:p>
        </w:tc>
        <w:tc>
          <w:tcPr>
            <w:tcW w:w="0" w:type="dxa"/>
            <w:vAlign w:val="bottom"/>
          </w:tcPr>
          <w:p>
            <w:pPr>
              <w:spacing w:after="0"/>
              <w:rPr>
                <w:sz w:val="1"/>
                <w:szCs w:val="1"/>
                <w:color w:val="auto"/>
              </w:rPr>
            </w:pPr>
          </w:p>
        </w:tc>
      </w:tr>
      <w:tr>
        <w:trPr>
          <w:trHeight w:val="16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June 29, 2019</w:t>
            </w: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60,167,521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7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477,541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(145,762)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rPr>
              <w:t>$</w:t>
            </w: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331,785</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8"/>
                <w:szCs w:val="8"/>
                <w:b w:val="1"/>
                <w:bCs w:val="1"/>
                <w:color w:val="auto"/>
              </w:rPr>
              <w:t>Preferred Stock</w:t>
            </w:r>
          </w:p>
        </w:tc>
        <w:tc>
          <w:tcPr>
            <w:tcW w:w="64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Common Stock</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rPr>
              <w:t>Additional Paid-in</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520" w:type="dxa"/>
            <w:vAlign w:val="bottom"/>
          </w:tcPr>
          <w:p>
            <w:pPr>
              <w:spacing w:after="0"/>
              <w:rPr>
                <w:sz w:val="10"/>
                <w:szCs w:val="10"/>
                <w:color w:val="auto"/>
              </w:rPr>
            </w:pPr>
          </w:p>
        </w:tc>
        <w:tc>
          <w:tcPr>
            <w:tcW w:w="1280" w:type="dxa"/>
            <w:vAlign w:val="bottom"/>
            <w:gridSpan w:val="2"/>
          </w:tcPr>
          <w:p>
            <w:pPr>
              <w:ind w:left="440"/>
              <w:spacing w:after="0"/>
              <w:rPr>
                <w:sz w:val="20"/>
                <w:szCs w:val="20"/>
                <w:color w:val="auto"/>
              </w:rPr>
            </w:pPr>
            <w:r>
              <w:rPr>
                <w:rFonts w:ascii="Arial" w:cs="Arial" w:eastAsia="Arial" w:hAnsi="Arial"/>
                <w:sz w:val="8"/>
                <w:szCs w:val="8"/>
                <w:b w:val="1"/>
                <w:bCs w:val="1"/>
                <w:color w:val="auto"/>
              </w:rPr>
              <w:t>Shares</w:t>
            </w:r>
          </w:p>
        </w:tc>
        <w:tc>
          <w:tcPr>
            <w:tcW w:w="160" w:type="dxa"/>
            <w:vAlign w:val="bottom"/>
          </w:tcPr>
          <w:p>
            <w:pPr>
              <w:spacing w:after="0"/>
              <w:rPr>
                <w:sz w:val="10"/>
                <w:szCs w:val="10"/>
                <w:color w:val="auto"/>
              </w:rPr>
            </w:pPr>
          </w:p>
        </w:tc>
        <w:tc>
          <w:tcPr>
            <w:tcW w:w="780" w:type="dxa"/>
            <w:vAlign w:val="bottom"/>
            <w:tcBorders>
              <w:right w:val="single" w:sz="8" w:color="auto"/>
            </w:tcBorders>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00" w:type="dxa"/>
            <w:vAlign w:val="bottom"/>
          </w:tcPr>
          <w:p>
            <w:pPr>
              <w:spacing w:after="0"/>
              <w:rPr>
                <w:sz w:val="10"/>
                <w:szCs w:val="10"/>
                <w:color w:val="auto"/>
              </w:rPr>
            </w:pPr>
          </w:p>
        </w:tc>
        <w:tc>
          <w:tcPr>
            <w:tcW w:w="1160" w:type="dxa"/>
            <w:vAlign w:val="bottom"/>
            <w:gridSpan w:val="2"/>
          </w:tcPr>
          <w:p>
            <w:pPr>
              <w:ind w:left="380"/>
              <w:spacing w:after="0"/>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Amount</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Capital</w:t>
            </w:r>
          </w:p>
        </w:tc>
        <w:tc>
          <w:tcPr>
            <w:tcW w:w="1140" w:type="dxa"/>
            <w:vAlign w:val="bottom"/>
            <w:gridSpan w:val="3"/>
          </w:tcPr>
          <w:p>
            <w:pPr>
              <w:ind w:left="40"/>
              <w:spacing w:after="0"/>
              <w:rPr>
                <w:sz w:val="20"/>
                <w:szCs w:val="20"/>
                <w:color w:val="auto"/>
              </w:rPr>
            </w:pPr>
            <w:r>
              <w:rPr>
                <w:rFonts w:ascii="Arial" w:cs="Arial" w:eastAsia="Arial" w:hAnsi="Arial"/>
                <w:sz w:val="8"/>
                <w:szCs w:val="8"/>
                <w:b w:val="1"/>
                <w:bCs w:val="1"/>
                <w:color w:val="auto"/>
              </w:rPr>
              <w:t>Loans to Related Parties</w:t>
            </w:r>
          </w:p>
        </w:tc>
        <w:tc>
          <w:tcPr>
            <w:tcW w:w="1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8"/>
                <w:szCs w:val="8"/>
                <w:b w:val="1"/>
                <w:bCs w:val="1"/>
                <w:color w:val="auto"/>
              </w:rPr>
              <w:t>Accumulated Deficit</w:t>
            </w:r>
          </w:p>
        </w:tc>
        <w:tc>
          <w:tcPr>
            <w:tcW w:w="200" w:type="dxa"/>
            <w:vAlign w:val="bottom"/>
          </w:tcPr>
          <w:p>
            <w:pPr>
              <w:spacing w:after="0"/>
              <w:rPr>
                <w:sz w:val="10"/>
                <w:szCs w:val="10"/>
                <w:color w:val="auto"/>
              </w:rPr>
            </w:pPr>
          </w:p>
        </w:tc>
        <w:tc>
          <w:tcPr>
            <w:tcW w:w="700" w:type="dxa"/>
            <w:vAlign w:val="bottom"/>
          </w:tcPr>
          <w:p>
            <w:pPr>
              <w:jc w:val="right"/>
              <w:ind w:right="318"/>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66"/>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December 31, 2017</w:t>
            </w:r>
          </w:p>
        </w:tc>
        <w:tc>
          <w:tcPr>
            <w:tcW w:w="11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39,361,211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6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148,194</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5,724,506</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9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4,823</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(951)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(99,786)</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(95,913)</w:t>
            </w:r>
          </w:p>
        </w:tc>
        <w:tc>
          <w:tcPr>
            <w:tcW w:w="0" w:type="dxa"/>
            <w:vAlign w:val="bottom"/>
          </w:tcPr>
          <w:p>
            <w:pPr>
              <w:spacing w:after="0"/>
              <w:rPr>
                <w:sz w:val="1"/>
                <w:szCs w:val="1"/>
                <w:color w:val="auto"/>
              </w:rPr>
            </w:pPr>
          </w:p>
        </w:tc>
      </w:tr>
      <w:tr>
        <w:trPr>
          <w:trHeight w:val="174"/>
        </w:trPr>
        <w:tc>
          <w:tcPr>
            <w:tcW w:w="2520" w:type="dxa"/>
            <w:vAlign w:val="bottom"/>
          </w:tcPr>
          <w:p>
            <w:pPr>
              <w:ind w:left="60"/>
              <w:spacing w:after="0"/>
              <w:rPr>
                <w:sz w:val="20"/>
                <w:szCs w:val="20"/>
                <w:color w:val="auto"/>
              </w:rPr>
            </w:pPr>
            <w:r>
              <w:rPr>
                <w:rFonts w:ascii="Arial" w:cs="Arial" w:eastAsia="Arial" w:hAnsi="Arial"/>
                <w:sz w:val="8"/>
                <w:szCs w:val="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4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8"/>
                <w:szCs w:val="8"/>
                <w:color w:val="auto"/>
              </w:rPr>
              <w:t>(5,696)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8"/>
                <w:szCs w:val="8"/>
                <w:color w:val="auto"/>
              </w:rPr>
              <w:t>(5,696)</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common stock through equity incentive plans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92,310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174"/>
        </w:trPr>
        <w:tc>
          <w:tcPr>
            <w:tcW w:w="2520" w:type="dxa"/>
            <w:vAlign w:val="bottom"/>
          </w:tcPr>
          <w:p>
            <w:pPr>
              <w:ind w:left="60"/>
              <w:spacing w:after="0"/>
              <w:rPr>
                <w:sz w:val="20"/>
                <w:szCs w:val="20"/>
                <w:color w:val="auto"/>
              </w:rPr>
            </w:pPr>
            <w:r>
              <w:rPr>
                <w:rFonts w:ascii="Arial" w:cs="Arial" w:eastAsia="Arial" w:hAnsi="Arial"/>
                <w:sz w:val="8"/>
                <w:szCs w:val="8"/>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8"/>
                <w:szCs w:val="8"/>
                <w:color w:val="auto"/>
              </w:rPr>
              <w:t>260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260</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60"/>
              <w:spacing w:after="0"/>
              <w:rPr>
                <w:sz w:val="20"/>
                <w:szCs w:val="20"/>
                <w:color w:val="auto"/>
              </w:rPr>
            </w:pPr>
            <w:r>
              <w:rPr>
                <w:rFonts w:ascii="Arial" w:cs="Arial" w:eastAsia="Arial" w:hAnsi="Arial"/>
                <w:sz w:val="8"/>
                <w:szCs w:val="8"/>
                <w:color w:val="auto"/>
              </w:rPr>
              <w:t>Issuance of Series G preferred stock, net of issuance costs of $7</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112,945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1,228</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4"/>
        </w:trPr>
        <w:tc>
          <w:tcPr>
            <w:tcW w:w="2520" w:type="dxa"/>
            <w:vAlign w:val="bottom"/>
          </w:tcPr>
          <w:p>
            <w:pPr>
              <w:ind w:left="20"/>
              <w:spacing w:after="0"/>
              <w:rPr>
                <w:sz w:val="20"/>
                <w:szCs w:val="20"/>
                <w:color w:val="auto"/>
              </w:rPr>
            </w:pPr>
            <w:r>
              <w:rPr>
                <w:rFonts w:ascii="Arial" w:cs="Arial" w:eastAsia="Arial" w:hAnsi="Arial"/>
                <w:sz w:val="8"/>
                <w:szCs w:val="8"/>
                <w:b w:val="1"/>
                <w:bCs w:val="1"/>
                <w:color w:val="auto"/>
              </w:rPr>
              <w:t>Balance at March 31, 2018</w:t>
            </w:r>
          </w:p>
        </w:tc>
        <w:tc>
          <w:tcPr>
            <w:tcW w:w="11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39,474,156</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64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149,422</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5,816,816</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8"/>
                <w:szCs w:val="8"/>
                <w:color w:val="auto"/>
              </w:rPr>
              <w:t>$</w:t>
            </w:r>
          </w:p>
        </w:tc>
        <w:tc>
          <w:tcPr>
            <w:tcW w:w="94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color w:val="auto"/>
              </w:rPr>
              <w:t>5,171</w:t>
            </w:r>
          </w:p>
        </w:tc>
        <w:tc>
          <w:tcPr>
            <w:tcW w:w="100" w:type="dxa"/>
            <w:vAlign w:val="bottom"/>
          </w:tcPr>
          <w:p>
            <w:pPr>
              <w:spacing w:after="0"/>
              <w:rPr>
                <w:sz w:val="13"/>
                <w:szCs w:val="13"/>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(951)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(105,482)</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tcBorders>
          </w:tcPr>
          <w:p>
            <w:pPr>
              <w:jc w:val="right"/>
              <w:ind w:right="38"/>
              <w:spacing w:after="0"/>
              <w:rPr>
                <w:sz w:val="20"/>
                <w:szCs w:val="20"/>
                <w:color w:val="auto"/>
              </w:rPr>
            </w:pPr>
            <w:r>
              <w:rPr>
                <w:rFonts w:ascii="Arial" w:cs="Arial" w:eastAsia="Arial" w:hAnsi="Arial"/>
                <w:sz w:val="8"/>
                <w:szCs w:val="8"/>
                <w:color w:val="auto"/>
              </w:rPr>
              <w:t>(101,261)</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60"/>
              <w:spacing w:after="0"/>
              <w:rPr>
                <w:sz w:val="20"/>
                <w:szCs w:val="20"/>
                <w:color w:val="auto"/>
              </w:rPr>
            </w:pPr>
            <w:r>
              <w:rPr>
                <w:rFonts w:ascii="Arial" w:cs="Arial" w:eastAsia="Arial" w:hAnsi="Arial"/>
                <w:sz w:val="8"/>
                <w:szCs w:val="8"/>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(7,396)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(7,396)</w:t>
            </w:r>
          </w:p>
        </w:tc>
        <w:tc>
          <w:tcPr>
            <w:tcW w:w="0" w:type="dxa"/>
            <w:vAlign w:val="bottom"/>
          </w:tcPr>
          <w:p>
            <w:pPr>
              <w:spacing w:after="0"/>
              <w:rPr>
                <w:sz w:val="1"/>
                <w:szCs w:val="1"/>
                <w:color w:val="auto"/>
              </w:rPr>
            </w:pPr>
          </w:p>
        </w:tc>
      </w:tr>
      <w:tr>
        <w:trPr>
          <w:trHeight w:val="174"/>
        </w:trPr>
        <w:tc>
          <w:tcPr>
            <w:tcW w:w="2520" w:type="dxa"/>
            <w:vAlign w:val="bottom"/>
          </w:tcPr>
          <w:p>
            <w:pPr>
              <w:ind w:left="60"/>
              <w:spacing w:after="0"/>
              <w:rPr>
                <w:sz w:val="20"/>
                <w:szCs w:val="20"/>
                <w:color w:val="auto"/>
              </w:rPr>
            </w:pPr>
            <w:r>
              <w:rPr>
                <w:rFonts w:ascii="Arial" w:cs="Arial" w:eastAsia="Arial" w:hAnsi="Arial"/>
                <w:sz w:val="8"/>
                <w:szCs w:val="8"/>
                <w:color w:val="auto"/>
              </w:rPr>
              <w:t>Issuance of common stock through equity incentive plans</w:t>
            </w:r>
          </w:p>
        </w:tc>
        <w:tc>
          <w:tcPr>
            <w:tcW w:w="12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5"/>
                <w:szCs w:val="15"/>
                <w:color w:val="auto"/>
              </w:rPr>
            </w:pP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624,411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8"/>
                <w:szCs w:val="8"/>
                <w:color w:val="auto"/>
              </w:rPr>
              <w:t>783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783</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60"/>
              <w:spacing w:after="0"/>
              <w:rPr>
                <w:sz w:val="20"/>
                <w:szCs w:val="20"/>
                <w:color w:val="auto"/>
              </w:rPr>
            </w:pPr>
            <w:r>
              <w:rPr>
                <w:rFonts w:ascii="Arial" w:cs="Arial" w:eastAsia="Arial" w:hAnsi="Arial"/>
                <w:sz w:val="8"/>
                <w:szCs w:val="8"/>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7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450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450</w:t>
            </w:r>
          </w:p>
        </w:tc>
        <w:tc>
          <w:tcPr>
            <w:tcW w:w="0" w:type="dxa"/>
            <w:vAlign w:val="bottom"/>
          </w:tcPr>
          <w:p>
            <w:pPr>
              <w:spacing w:after="0"/>
              <w:rPr>
                <w:sz w:val="1"/>
                <w:szCs w:val="1"/>
                <w:color w:val="auto"/>
              </w:rPr>
            </w:pPr>
          </w:p>
        </w:tc>
      </w:tr>
      <w:tr>
        <w:trPr>
          <w:trHeight w:val="104"/>
        </w:trPr>
        <w:tc>
          <w:tcPr>
            <w:tcW w:w="2520" w:type="dxa"/>
            <w:vAlign w:val="bottom"/>
          </w:tcPr>
          <w:p>
            <w:pPr>
              <w:ind w:left="60"/>
              <w:spacing w:after="0"/>
              <w:rPr>
                <w:sz w:val="20"/>
                <w:szCs w:val="20"/>
                <w:color w:val="auto"/>
              </w:rPr>
            </w:pPr>
            <w:r>
              <w:rPr>
                <w:rFonts w:ascii="Arial" w:cs="Arial" w:eastAsia="Arial" w:hAnsi="Arial"/>
                <w:sz w:val="8"/>
                <w:szCs w:val="8"/>
                <w:color w:val="auto"/>
              </w:rPr>
              <w:t>Issuance of Series G preferred stock, net of issuance costs of</w:t>
            </w: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520" w:type="dxa"/>
            <w:vAlign w:val="bottom"/>
          </w:tcPr>
          <w:p>
            <w:pPr>
              <w:ind w:left="120"/>
              <w:spacing w:after="0"/>
              <w:rPr>
                <w:sz w:val="20"/>
                <w:szCs w:val="20"/>
                <w:color w:val="auto"/>
              </w:rPr>
            </w:pPr>
            <w:r>
              <w:rPr>
                <w:rFonts w:ascii="Arial" w:cs="Arial" w:eastAsia="Arial" w:hAnsi="Arial"/>
                <w:sz w:val="8"/>
                <w:szCs w:val="8"/>
                <w:color w:val="auto"/>
              </w:rPr>
              <w:t>$19</w:t>
            </w:r>
          </w:p>
        </w:tc>
        <w:tc>
          <w:tcPr>
            <w:tcW w:w="1160" w:type="dxa"/>
            <w:vAlign w:val="bottom"/>
          </w:tcPr>
          <w:p>
            <w:pPr>
              <w:jc w:val="right"/>
              <w:ind w:right="78"/>
              <w:spacing w:after="0"/>
              <w:rPr>
                <w:sz w:val="20"/>
                <w:szCs w:val="20"/>
                <w:color w:val="auto"/>
              </w:rPr>
            </w:pPr>
            <w:r>
              <w:rPr>
                <w:rFonts w:ascii="Arial" w:cs="Arial" w:eastAsia="Arial" w:hAnsi="Arial"/>
                <w:sz w:val="8"/>
                <w:szCs w:val="8"/>
                <w:color w:val="auto"/>
              </w:rPr>
              <w:t>12,739</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121</w:t>
            </w: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20" w:type="dxa"/>
            <w:vAlign w:val="bottom"/>
          </w:tcPr>
          <w:p>
            <w:pPr>
              <w:ind w:left="20"/>
              <w:spacing w:after="0"/>
              <w:rPr>
                <w:sz w:val="20"/>
                <w:szCs w:val="20"/>
                <w:color w:val="auto"/>
              </w:rPr>
            </w:pPr>
            <w:r>
              <w:rPr>
                <w:rFonts w:ascii="Arial" w:cs="Arial" w:eastAsia="Arial" w:hAnsi="Arial"/>
                <w:sz w:val="8"/>
                <w:szCs w:val="8"/>
                <w:color w:val="auto"/>
              </w:rPr>
              <w:t>.</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4"/>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June 30, 2018</w:t>
            </w:r>
          </w:p>
        </w:tc>
        <w:tc>
          <w:tcPr>
            <w:tcW w:w="11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39,486,895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6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149,543</w:t>
            </w:r>
          </w:p>
        </w:tc>
        <w:tc>
          <w:tcPr>
            <w:tcW w:w="14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6,441,227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9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6,404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(951)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1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(112,878)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(107,424)</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unaudited condensed financial statements.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539" w:right="1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Six Months Ended</w:t>
            </w:r>
          </w:p>
        </w:tc>
        <w:tc>
          <w:tcPr>
            <w:tcW w:w="1280" w:type="dxa"/>
            <w:vAlign w:val="bottom"/>
          </w:tcPr>
          <w:p>
            <w:pPr>
              <w:spacing w:after="0"/>
              <w:rPr>
                <w:sz w:val="12"/>
                <w:szCs w:val="12"/>
                <w:color w:val="auto"/>
              </w:rPr>
            </w:pPr>
          </w:p>
        </w:tc>
      </w:tr>
      <w:tr>
        <w:trPr>
          <w:trHeight w:val="31"/>
        </w:trPr>
        <w:tc>
          <w:tcPr>
            <w:tcW w:w="7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2"/>
        </w:trPr>
        <w:tc>
          <w:tcPr>
            <w:tcW w:w="7700" w:type="dxa"/>
            <w:vAlign w:val="bottom"/>
          </w:tcPr>
          <w:p>
            <w:pPr>
              <w:spacing w:after="0"/>
              <w:rPr>
                <w:sz w:val="10"/>
                <w:szCs w:val="10"/>
                <w:color w:val="auto"/>
              </w:rPr>
            </w:pPr>
          </w:p>
        </w:tc>
        <w:tc>
          <w:tcPr>
            <w:tcW w:w="1200" w:type="dxa"/>
            <w:vAlign w:val="bottom"/>
          </w:tcPr>
          <w:p>
            <w:pPr>
              <w:jc w:val="right"/>
              <w:ind w:right="21"/>
              <w:spacing w:after="0" w:line="123" w:lineRule="exact"/>
              <w:rPr>
                <w:sz w:val="20"/>
                <w:szCs w:val="20"/>
                <w:color w:val="auto"/>
              </w:rPr>
            </w:pPr>
            <w:r>
              <w:rPr>
                <w:rFonts w:ascii="Arial" w:cs="Arial" w:eastAsia="Arial" w:hAnsi="Arial"/>
                <w:sz w:val="11"/>
                <w:szCs w:val="11"/>
                <w:b w:val="1"/>
                <w:bCs w:val="1"/>
                <w:color w:val="auto"/>
              </w:rPr>
              <w:t>June 29,</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jc w:val="right"/>
              <w:ind w:right="660"/>
              <w:spacing w:after="0" w:line="123" w:lineRule="exact"/>
              <w:rPr>
                <w:sz w:val="20"/>
                <w:szCs w:val="20"/>
                <w:color w:val="auto"/>
              </w:rPr>
            </w:pPr>
            <w:r>
              <w:rPr>
                <w:rFonts w:ascii="Arial" w:cs="Arial" w:eastAsia="Arial" w:hAnsi="Arial"/>
                <w:sz w:val="11"/>
                <w:szCs w:val="11"/>
                <w:b w:val="1"/>
                <w:bCs w:val="1"/>
                <w:color w:val="auto"/>
              </w:rPr>
              <w:t>June 30,</w:t>
            </w:r>
          </w:p>
        </w:tc>
      </w:tr>
      <w:tr>
        <w:trPr>
          <w:trHeight w:val="148"/>
        </w:trPr>
        <w:tc>
          <w:tcPr>
            <w:tcW w:w="77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40"/>
              <w:spacing w:after="0"/>
              <w:rPr>
                <w:sz w:val="20"/>
                <w:szCs w:val="20"/>
                <w:color w:val="auto"/>
              </w:rPr>
            </w:pPr>
            <w:r>
              <w:rPr>
                <w:rFonts w:ascii="Arial" w:cs="Arial" w:eastAsia="Arial" w:hAnsi="Arial"/>
                <w:sz w:val="11"/>
                <w:szCs w:val="11"/>
                <w:b w:val="1"/>
                <w:bCs w:val="1"/>
                <w:color w:val="auto"/>
              </w:rPr>
              <w:t>2018</w:t>
            </w:r>
          </w:p>
        </w:tc>
      </w:tr>
      <w:tr>
        <w:trPr>
          <w:trHeight w:val="15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2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(16,090)</w:t>
            </w:r>
          </w:p>
        </w:tc>
        <w:tc>
          <w:tcPr>
            <w:tcW w:w="120" w:type="dxa"/>
            <w:vAlign w:val="bottom"/>
          </w:tcPr>
          <w:p>
            <w:pPr>
              <w:spacing w:after="0"/>
              <w:rPr>
                <w:sz w:val="15"/>
                <w:szCs w:val="15"/>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(13,092)</w:t>
            </w:r>
          </w:p>
        </w:tc>
      </w:tr>
      <w:tr>
        <w:trPr>
          <w:trHeight w:val="185"/>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6"/>
        </w:trPr>
        <w:tc>
          <w:tcPr>
            <w:tcW w:w="770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120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3,957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1,620</w:t>
            </w:r>
          </w:p>
        </w:tc>
      </w:tr>
      <w:tr>
        <w:trPr>
          <w:trHeight w:val="185"/>
        </w:trPr>
        <w:tc>
          <w:tcPr>
            <w:tcW w:w="7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 expense</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710</w:t>
            </w:r>
          </w:p>
        </w:tc>
      </w:tr>
      <w:tr>
        <w:trPr>
          <w:trHeight w:val="176"/>
        </w:trPr>
        <w:tc>
          <w:tcPr>
            <w:tcW w:w="7700" w:type="dxa"/>
            <w:vAlign w:val="bottom"/>
          </w:tcPr>
          <w:p>
            <w:pPr>
              <w:ind w:left="220"/>
              <w:spacing w:after="0"/>
              <w:rPr>
                <w:sz w:val="20"/>
                <w:szCs w:val="20"/>
                <w:color w:val="auto"/>
              </w:rPr>
            </w:pPr>
            <w:r>
              <w:rPr>
                <w:rFonts w:ascii="Arial" w:cs="Arial" w:eastAsia="Arial" w:hAnsi="Arial"/>
                <w:sz w:val="12"/>
                <w:szCs w:val="12"/>
                <w:color w:val="auto"/>
              </w:rPr>
              <w:t>Amortization of debt issuance costs</w:t>
            </w:r>
          </w:p>
        </w:tc>
        <w:tc>
          <w:tcPr>
            <w:tcW w:w="120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35</w:t>
            </w:r>
          </w:p>
        </w:tc>
      </w:tr>
      <w:tr>
        <w:trPr>
          <w:trHeight w:val="185"/>
        </w:trPr>
        <w:tc>
          <w:tcPr>
            <w:tcW w:w="7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preferred and common stock warrant liabilities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12,503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259</w:t>
            </w: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b w:val="1"/>
                <w:bCs w:val="1"/>
                <w:color w:val="auto"/>
              </w:rPr>
              <w:t>Net change in operating assets and liabilities:</w:t>
            </w: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5"/>
        </w:trPr>
        <w:tc>
          <w:tcPr>
            <w:tcW w:w="7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receivables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(21,762)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(2,788)</w:t>
            </w:r>
          </w:p>
        </w:tc>
      </w:tr>
      <w:tr>
        <w:trPr>
          <w:trHeight w:val="176"/>
        </w:trPr>
        <w:tc>
          <w:tcPr>
            <w:tcW w:w="7700" w:type="dxa"/>
            <w:vAlign w:val="bottom"/>
          </w:tcPr>
          <w:p>
            <w:pPr>
              <w:ind w:left="220"/>
              <w:spacing w:after="0"/>
              <w:rPr>
                <w:sz w:val="20"/>
                <w:szCs w:val="20"/>
                <w:color w:val="auto"/>
              </w:rPr>
            </w:pPr>
            <w:r>
              <w:rPr>
                <w:rFonts w:ascii="Arial" w:cs="Arial" w:eastAsia="Arial" w:hAnsi="Arial"/>
                <w:sz w:val="12"/>
                <w:szCs w:val="12"/>
                <w:color w:val="auto"/>
              </w:rPr>
              <w:t>Inventories</w:t>
            </w:r>
          </w:p>
        </w:tc>
        <w:tc>
          <w:tcPr>
            <w:tcW w:w="1200" w:type="dxa"/>
            <w:vAlign w:val="bottom"/>
          </w:tcPr>
          <w:p>
            <w:pPr>
              <w:spacing w:after="0"/>
              <w:rPr>
                <w:sz w:val="15"/>
                <w:szCs w:val="15"/>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(12,438)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(6,178)</w:t>
            </w:r>
          </w:p>
        </w:tc>
      </w:tr>
      <w:tr>
        <w:trPr>
          <w:trHeight w:val="185"/>
        </w:trPr>
        <w:tc>
          <w:tcPr>
            <w:tcW w:w="7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Prepaid expenses and other assets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(2,131)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(154)</w:t>
            </w:r>
          </w:p>
        </w:tc>
      </w:tr>
      <w:tr>
        <w:trPr>
          <w:trHeight w:val="176"/>
        </w:trPr>
        <w:tc>
          <w:tcPr>
            <w:tcW w:w="7700" w:type="dxa"/>
            <w:vAlign w:val="bottom"/>
          </w:tcPr>
          <w:p>
            <w:pPr>
              <w:ind w:left="220"/>
              <w:spacing w:after="0"/>
              <w:rPr>
                <w:sz w:val="20"/>
                <w:szCs w:val="20"/>
                <w:color w:val="auto"/>
              </w:rPr>
            </w:pPr>
            <w:r>
              <w:rPr>
                <w:rFonts w:ascii="Arial" w:cs="Arial" w:eastAsia="Arial" w:hAnsi="Arial"/>
                <w:sz w:val="12"/>
                <w:szCs w:val="12"/>
                <w:color w:val="auto"/>
              </w:rPr>
              <w:t>Accounts payable</w:t>
            </w:r>
          </w:p>
        </w:tc>
        <w:tc>
          <w:tcPr>
            <w:tcW w:w="120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9,799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6,623</w:t>
            </w:r>
          </w:p>
        </w:tc>
      </w:tr>
      <w:tr>
        <w:trPr>
          <w:trHeight w:val="185"/>
        </w:trPr>
        <w:tc>
          <w:tcPr>
            <w:tcW w:w="7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Accrued expenses and other current liabilities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259</w:t>
            </w:r>
          </w:p>
        </w:tc>
      </w:tr>
      <w:tr>
        <w:trPr>
          <w:trHeight w:val="176"/>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Long-term liabilities</w:t>
            </w:r>
          </w:p>
        </w:tc>
        <w:tc>
          <w:tcPr>
            <w:tcW w:w="1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w:t>
            </w:r>
          </w:p>
        </w:tc>
      </w:tr>
      <w:tr>
        <w:trPr>
          <w:trHeight w:val="165"/>
        </w:trPr>
        <w:tc>
          <w:tcPr>
            <w:tcW w:w="7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cash used in operating activities</w:t>
            </w: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(22,366)</w:t>
            </w:r>
          </w:p>
        </w:tc>
        <w:tc>
          <w:tcPr>
            <w:tcW w:w="1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(12,667)</w:t>
            </w:r>
          </w:p>
        </w:tc>
      </w:tr>
      <w:tr>
        <w:trPr>
          <w:trHeight w:val="142"/>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Cash flows used in investing activities:</w:t>
            </w: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
        </w:trPr>
        <w:tc>
          <w:tcPr>
            <w:tcW w:w="7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0"/>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property, plant and equipment</w:t>
            </w: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(7,502)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(9,973)</w:t>
            </w: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sale of fixed assets</w:t>
            </w:r>
          </w:p>
        </w:tc>
        <w:tc>
          <w:tcPr>
            <w:tcW w:w="120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property, plant and equipment held for sale</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(3,121)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Payment of security deposits</w:t>
            </w:r>
          </w:p>
        </w:tc>
        <w:tc>
          <w:tcPr>
            <w:tcW w:w="1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(487)</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w:t>
            </w:r>
          </w:p>
        </w:tc>
      </w:tr>
      <w:tr>
        <w:trPr>
          <w:trHeight w:val="165"/>
        </w:trPr>
        <w:tc>
          <w:tcPr>
            <w:tcW w:w="7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cash used in investing activities</w:t>
            </w: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(10,878)</w:t>
            </w:r>
          </w:p>
        </w:tc>
        <w:tc>
          <w:tcPr>
            <w:tcW w:w="12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(10,033)</w:t>
            </w:r>
          </w:p>
        </w:tc>
      </w:tr>
      <w:tr>
        <w:trPr>
          <w:trHeight w:val="142"/>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7"/>
        </w:trPr>
        <w:tc>
          <w:tcPr>
            <w:tcW w:w="7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0"/>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common stock pursuant to the initial public offering, net of issuance costs</w:t>
            </w:r>
          </w:p>
        </w:tc>
        <w:tc>
          <w:tcPr>
            <w:tcW w:w="1200" w:type="dxa"/>
            <w:vAlign w:val="bottom"/>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255,448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Series G preferred stock offering, net of offering costs</w:t>
            </w:r>
          </w:p>
        </w:tc>
        <w:tc>
          <w:tcPr>
            <w:tcW w:w="12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1,350</w:t>
            </w:r>
          </w:p>
        </w:tc>
      </w:tr>
      <w:tr>
        <w:trPr>
          <w:trHeight w:val="185"/>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bank term loan borrowing</w:t>
            </w:r>
          </w:p>
        </w:tc>
        <w:tc>
          <w:tcPr>
            <w:tcW w:w="1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10,000</w:t>
            </w: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color w:val="auto"/>
              </w:rPr>
              <w:t>Repayments on revolving credit line</w:t>
            </w:r>
          </w:p>
        </w:tc>
        <w:tc>
          <w:tcPr>
            <w:tcW w:w="12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(2,500)</w:t>
            </w:r>
          </w:p>
        </w:tc>
      </w:tr>
      <w:tr>
        <w:trPr>
          <w:trHeight w:val="185"/>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on term loan</w:t>
            </w:r>
          </w:p>
        </w:tc>
        <w:tc>
          <w:tcPr>
            <w:tcW w:w="1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176"/>
        </w:trPr>
        <w:tc>
          <w:tcPr>
            <w:tcW w:w="7700" w:type="dxa"/>
            <w:vAlign w:val="bottom"/>
          </w:tcPr>
          <w:p>
            <w:pPr>
              <w:ind w:left="120"/>
              <w:spacing w:after="0"/>
              <w:rPr>
                <w:sz w:val="20"/>
                <w:szCs w:val="20"/>
                <w:color w:val="auto"/>
              </w:rPr>
            </w:pPr>
            <w:r>
              <w:rPr>
                <w:rFonts w:ascii="Arial" w:cs="Arial" w:eastAsia="Arial" w:hAnsi="Arial"/>
                <w:sz w:val="12"/>
                <w:szCs w:val="12"/>
                <w:color w:val="auto"/>
              </w:rPr>
              <w:t>Repayment of Missouri Note</w:t>
            </w:r>
          </w:p>
        </w:tc>
        <w:tc>
          <w:tcPr>
            <w:tcW w:w="12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(1,450)</w:t>
            </w:r>
          </w:p>
        </w:tc>
      </w:tr>
      <w:tr>
        <w:trPr>
          <w:trHeight w:val="185"/>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capital lease obligations</w:t>
            </w:r>
          </w:p>
        </w:tc>
        <w:tc>
          <w:tcPr>
            <w:tcW w:w="1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(117)</w:t>
            </w:r>
          </w:p>
        </w:tc>
      </w:tr>
      <w:tr>
        <w:trPr>
          <w:trHeight w:val="176"/>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1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533</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871</w:t>
            </w:r>
          </w:p>
        </w:tc>
      </w:tr>
      <w:tr>
        <w:trPr>
          <w:trHeight w:val="160"/>
        </w:trPr>
        <w:tc>
          <w:tcPr>
            <w:tcW w:w="77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cash provided by financing activities</w:t>
            </w:r>
          </w:p>
        </w:tc>
        <w:tc>
          <w:tcPr>
            <w:tcW w:w="120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255,960</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7,154</w:t>
            </w:r>
          </w:p>
        </w:tc>
      </w:tr>
      <w:tr>
        <w:trPr>
          <w:trHeight w:val="160"/>
        </w:trPr>
        <w:tc>
          <w:tcPr>
            <w:tcW w:w="770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1200" w:type="dxa"/>
            <w:vAlign w:val="bottom"/>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222,716</w:t>
            </w:r>
          </w:p>
        </w:tc>
        <w:tc>
          <w:tcPr>
            <w:tcW w:w="12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(15,546)</w:t>
            </w: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the beginning of the period</w:t>
            </w:r>
          </w:p>
        </w:tc>
        <w:tc>
          <w:tcPr>
            <w:tcW w:w="1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54,271</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39,035</w:t>
            </w:r>
          </w:p>
        </w:tc>
      </w:tr>
      <w:tr>
        <w:trPr>
          <w:trHeight w:val="172"/>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at the end of the period</w:t>
            </w:r>
          </w:p>
        </w:tc>
        <w:tc>
          <w:tcPr>
            <w:tcW w:w="1200" w:type="dxa"/>
            <w:vAlign w:val="bottom"/>
            <w:tcBorders>
              <w:bottom w:val="single" w:sz="8" w:color="auto"/>
            </w:tcBorders>
          </w:tcPr>
          <w:p>
            <w:pPr>
              <w:jc w:val="right"/>
              <w:ind w:right="1061"/>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276,987</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23,489</w:t>
            </w:r>
          </w:p>
        </w:tc>
      </w:tr>
      <w:tr>
        <w:trPr>
          <w:trHeight w:val="153"/>
        </w:trPr>
        <w:tc>
          <w:tcPr>
            <w:tcW w:w="7700" w:type="dxa"/>
            <w:vAlign w:val="bottom"/>
            <w:shd w:val="clear" w:color="auto" w:fill="CCEEFF"/>
          </w:tcPr>
          <w:p>
            <w:pPr>
              <w:ind w:left="5060"/>
              <w:spacing w:after="0"/>
              <w:rPr>
                <w:sz w:val="20"/>
                <w:szCs w:val="20"/>
                <w:color w:val="auto"/>
              </w:rPr>
            </w:pPr>
            <w:r>
              <w:rPr>
                <w:rFonts w:ascii="Arial" w:cs="Arial" w:eastAsia="Arial" w:hAnsi="Arial"/>
                <w:sz w:val="12"/>
                <w:szCs w:val="12"/>
                <w:color w:val="auto"/>
              </w:rPr>
              <w:t>(continued on next page)</w:t>
            </w:r>
          </w:p>
        </w:tc>
        <w:tc>
          <w:tcPr>
            <w:tcW w:w="1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414"/>
        </w:trPr>
        <w:tc>
          <w:tcPr>
            <w:tcW w:w="7700" w:type="dxa"/>
            <w:vAlign w:val="bottom"/>
          </w:tcPr>
          <w:p>
            <w:pPr>
              <w:ind w:left="5700"/>
              <w:spacing w:after="0"/>
              <w:rPr>
                <w:sz w:val="20"/>
                <w:szCs w:val="20"/>
                <w:color w:val="auto"/>
              </w:rPr>
            </w:pPr>
            <w:r>
              <w:rPr>
                <w:rFonts w:ascii="Arial" w:cs="Arial" w:eastAsia="Arial" w:hAnsi="Arial"/>
                <w:sz w:val="12"/>
                <w:szCs w:val="12"/>
                <w:color w:val="auto"/>
              </w:rPr>
              <w:t>5</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80"/>
          </w:cols>
          <w:pgMar w:left="220" w:top="539" w:right="1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Six Months Ended</w:t>
            </w:r>
          </w:p>
        </w:tc>
        <w:tc>
          <w:tcPr>
            <w:tcW w:w="1340" w:type="dxa"/>
            <w:vAlign w:val="bottom"/>
          </w:tcPr>
          <w:p>
            <w:pPr>
              <w:spacing w:after="0"/>
              <w:rPr>
                <w:sz w:val="12"/>
                <w:szCs w:val="12"/>
                <w:color w:val="auto"/>
              </w:rPr>
            </w:pPr>
          </w:p>
        </w:tc>
      </w:tr>
      <w:tr>
        <w:trPr>
          <w:trHeight w:val="31"/>
        </w:trPr>
        <w:tc>
          <w:tcPr>
            <w:tcW w:w="7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2"/>
        </w:trPr>
        <w:tc>
          <w:tcPr>
            <w:tcW w:w="7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gridSpan w:val="2"/>
          </w:tcPr>
          <w:p>
            <w:pPr>
              <w:ind w:left="320"/>
              <w:spacing w:after="0" w:line="123" w:lineRule="exact"/>
              <w:rPr>
                <w:sz w:val="20"/>
                <w:szCs w:val="20"/>
                <w:color w:val="auto"/>
              </w:rPr>
            </w:pPr>
            <w:r>
              <w:rPr>
                <w:rFonts w:ascii="Arial" w:cs="Arial" w:eastAsia="Arial" w:hAnsi="Arial"/>
                <w:sz w:val="11"/>
                <w:szCs w:val="11"/>
                <w:b w:val="1"/>
                <w:bCs w:val="1"/>
                <w:color w:val="auto"/>
              </w:rPr>
              <w:t>June 29,</w:t>
            </w:r>
          </w:p>
        </w:tc>
        <w:tc>
          <w:tcPr>
            <w:tcW w:w="580" w:type="dxa"/>
            <w:vAlign w:val="bottom"/>
          </w:tcPr>
          <w:p>
            <w:pPr>
              <w:spacing w:after="0"/>
              <w:rPr>
                <w:sz w:val="10"/>
                <w:szCs w:val="10"/>
                <w:color w:val="auto"/>
              </w:rPr>
            </w:pPr>
          </w:p>
        </w:tc>
        <w:tc>
          <w:tcPr>
            <w:tcW w:w="1340" w:type="dxa"/>
            <w:vAlign w:val="bottom"/>
          </w:tcPr>
          <w:p>
            <w:pPr>
              <w:jc w:val="right"/>
              <w:ind w:right="701"/>
              <w:spacing w:after="0" w:line="123" w:lineRule="exact"/>
              <w:rPr>
                <w:sz w:val="20"/>
                <w:szCs w:val="20"/>
                <w:color w:val="auto"/>
              </w:rPr>
            </w:pPr>
            <w:r>
              <w:rPr>
                <w:rFonts w:ascii="Arial" w:cs="Arial" w:eastAsia="Arial" w:hAnsi="Arial"/>
                <w:sz w:val="11"/>
                <w:szCs w:val="11"/>
                <w:b w:val="1"/>
                <w:bCs w:val="1"/>
                <w:color w:val="auto"/>
              </w:rPr>
              <w:t>June 30,</w:t>
            </w:r>
          </w:p>
        </w:tc>
      </w:tr>
      <w:tr>
        <w:trPr>
          <w:trHeight w:val="144"/>
        </w:trPr>
        <w:tc>
          <w:tcPr>
            <w:tcW w:w="75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81"/>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81"/>
              <w:spacing w:after="0"/>
              <w:rPr>
                <w:sz w:val="20"/>
                <w:szCs w:val="20"/>
                <w:color w:val="auto"/>
              </w:rPr>
            </w:pPr>
            <w:r>
              <w:rPr>
                <w:rFonts w:ascii="Arial" w:cs="Arial" w:eastAsia="Arial" w:hAnsi="Arial"/>
                <w:sz w:val="11"/>
                <w:szCs w:val="11"/>
                <w:b w:val="1"/>
                <w:bCs w:val="1"/>
                <w:color w:val="auto"/>
              </w:rPr>
              <w:t>2018</w:t>
            </w:r>
          </w:p>
        </w:tc>
      </w:tr>
      <w:tr>
        <w:trPr>
          <w:trHeight w:val="153"/>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7"/>
        </w:trPr>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0"/>
        </w:trPr>
        <w:tc>
          <w:tcPr>
            <w:tcW w:w="7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during the period for:</w:t>
            </w:r>
          </w:p>
        </w:tc>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7520" w:type="dxa"/>
            <w:vAlign w:val="bottom"/>
          </w:tcPr>
          <w:p>
            <w:pPr>
              <w:ind w:left="220"/>
              <w:spacing w:after="0"/>
              <w:rPr>
                <w:sz w:val="20"/>
                <w:szCs w:val="20"/>
                <w:color w:val="auto"/>
              </w:rPr>
            </w:pPr>
            <w:r>
              <w:rPr>
                <w:rFonts w:ascii="Arial" w:cs="Arial" w:eastAsia="Arial" w:hAnsi="Arial"/>
                <w:sz w:val="12"/>
                <w:szCs w:val="12"/>
                <w:color w:val="auto"/>
              </w:rPr>
              <w:t>Interest</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1,445</w:t>
            </w:r>
          </w:p>
        </w:tc>
        <w:tc>
          <w:tcPr>
            <w:tcW w:w="12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63</w:t>
            </w:r>
          </w:p>
        </w:tc>
      </w:tr>
      <w:tr>
        <w:trPr>
          <w:trHeight w:val="185"/>
        </w:trPr>
        <w:tc>
          <w:tcPr>
            <w:tcW w:w="75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Taxes</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6"/>
        </w:trPr>
        <w:tc>
          <w:tcPr>
            <w:tcW w:w="7520" w:type="dxa"/>
            <w:vAlign w:val="bottom"/>
          </w:tcPr>
          <w:p>
            <w:pPr>
              <w:ind w:left="120"/>
              <w:spacing w:after="0"/>
              <w:rPr>
                <w:sz w:val="20"/>
                <w:szCs w:val="20"/>
                <w:color w:val="auto"/>
              </w:rPr>
            </w:pPr>
            <w:r>
              <w:rPr>
                <w:rFonts w:ascii="Arial" w:cs="Arial" w:eastAsia="Arial" w:hAnsi="Arial"/>
                <w:sz w:val="12"/>
                <w:szCs w:val="12"/>
                <w:color w:val="auto"/>
              </w:rPr>
              <w:t>Non-cash investing and financing activities:</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75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Capital lease obligations for the purchase of property, plant and equipment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w:t>
            </w:r>
          </w:p>
        </w:tc>
      </w:tr>
      <w:tr>
        <w:trPr>
          <w:trHeight w:val="176"/>
        </w:trPr>
        <w:tc>
          <w:tcPr>
            <w:tcW w:w="7520" w:type="dxa"/>
            <w:vAlign w:val="bottom"/>
          </w:tcPr>
          <w:p>
            <w:pPr>
              <w:ind w:left="220"/>
              <w:spacing w:after="0"/>
              <w:rPr>
                <w:sz w:val="20"/>
                <w:szCs w:val="20"/>
                <w:color w:val="auto"/>
              </w:rPr>
            </w:pPr>
            <w:r>
              <w:rPr>
                <w:rFonts w:ascii="Arial" w:cs="Arial" w:eastAsia="Arial" w:hAnsi="Arial"/>
                <w:sz w:val="12"/>
                <w:szCs w:val="12"/>
                <w:color w:val="auto"/>
              </w:rPr>
              <w:t>Issuance of convertible preferred stock warrants in connection with debt</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248</w:t>
            </w:r>
          </w:p>
        </w:tc>
      </w:tr>
      <w:tr>
        <w:trPr>
          <w:trHeight w:val="185"/>
        </w:trPr>
        <w:tc>
          <w:tcPr>
            <w:tcW w:w="75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Non-cash additions to property, plant and equipment</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1,003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1,656</w:t>
            </w:r>
          </w:p>
        </w:tc>
      </w:tr>
      <w:tr>
        <w:trPr>
          <w:trHeight w:val="176"/>
        </w:trPr>
        <w:tc>
          <w:tcPr>
            <w:tcW w:w="7520" w:type="dxa"/>
            <w:vAlign w:val="bottom"/>
          </w:tcPr>
          <w:p>
            <w:pPr>
              <w:ind w:left="220"/>
              <w:spacing w:after="0"/>
              <w:rPr>
                <w:sz w:val="20"/>
                <w:szCs w:val="20"/>
                <w:color w:val="auto"/>
              </w:rPr>
            </w:pPr>
            <w:r>
              <w:rPr>
                <w:rFonts w:ascii="Arial" w:cs="Arial" w:eastAsia="Arial" w:hAnsi="Arial"/>
                <w:sz w:val="12"/>
                <w:szCs w:val="12"/>
                <w:color w:val="auto"/>
              </w:rPr>
              <w:t>Deferred offering costs, accrued not yet paid</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578</w:t>
            </w:r>
          </w:p>
        </w:tc>
        <w:tc>
          <w:tcPr>
            <w:tcW w:w="12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64</w:t>
            </w:r>
          </w:p>
        </w:tc>
      </w:tr>
      <w:tr>
        <w:trPr>
          <w:trHeight w:val="185"/>
        </w:trPr>
        <w:tc>
          <w:tcPr>
            <w:tcW w:w="7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Non-cash additions to property, plant and equipment held for sale</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646</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6"/>
        </w:trPr>
        <w:tc>
          <w:tcPr>
            <w:tcW w:w="7520" w:type="dxa"/>
            <w:vAlign w:val="bottom"/>
          </w:tcPr>
          <w:p>
            <w:pPr>
              <w:ind w:left="260"/>
              <w:spacing w:after="0"/>
              <w:rPr>
                <w:sz w:val="20"/>
                <w:szCs w:val="20"/>
                <w:color w:val="auto"/>
              </w:rPr>
            </w:pPr>
            <w:r>
              <w:rPr>
                <w:rFonts w:ascii="Arial" w:cs="Arial" w:eastAsia="Arial" w:hAnsi="Arial"/>
                <w:sz w:val="12"/>
                <w:szCs w:val="12"/>
                <w:color w:val="auto"/>
              </w:rPr>
              <w:t>Reclassification of warrant liability to additional paid-in capital in connection with the initial public offering</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14,421</w:t>
            </w:r>
          </w:p>
        </w:tc>
        <w:tc>
          <w:tcPr>
            <w:tcW w:w="12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75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Conversion of convertible preferred stock to common stock upon initial public offering</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199,540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bl>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(concluded)</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unaudited condensed financial statements.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651"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Introduction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Company</w:t>
      </w:r>
    </w:p>
    <w:p>
      <w:pPr>
        <w:spacing w:after="0" w:line="128"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00"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to manufacture its products. In May 2019, the Company partnered with one of its distributors to co-manufacture the Company’s products at a new manufacturing facility being constructed by this distributor in the Netherlands for estimated completion in 2020.</w:t>
      </w:r>
    </w:p>
    <w:p>
      <w:pPr>
        <w:spacing w:after="0" w:line="99" w:lineRule="exact"/>
        <w:rPr>
          <w:sz w:val="20"/>
          <w:szCs w:val="20"/>
          <w:color w:val="auto"/>
        </w:rPr>
      </w:pPr>
    </w:p>
    <w:p>
      <w:pPr>
        <w:ind w:right="300" w:firstLine="216"/>
        <w:spacing w:after="0" w:line="262" w:lineRule="auto"/>
        <w:rPr>
          <w:sz w:val="20"/>
          <w:szCs w:val="20"/>
          <w:color w:val="auto"/>
        </w:rPr>
      </w:pPr>
      <w:r>
        <w:rPr>
          <w:rFonts w:ascii="Arial" w:cs="Arial" w:eastAsia="Arial" w:hAnsi="Arial"/>
          <w:sz w:val="12"/>
          <w:szCs w:val="12"/>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12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On May 6, 2019, the Company completed its initial public offering (“IPO”) of common stock, in which it sold 11,068,750 shares, including 1,443,750 shares pursuant to the underwriters’ over-allotment option. The shares began trading on the Nasdaq Global Select Market on May 2, 2019. The shares were sold at an IPO price of $25.00 per share for net proceeds of approximately $252.4 million, after deducting underwriting discounts and commissions of $19.4 million and offering expenses of approximately $4.9 million payable by the Company. Upon the closing of the IPO, all outstanding shares of the Company’s convertible preferred stock automatically converted into 41,562,111 shares of common stock on a one-for-one basis, and warrants exercisable for convertible preferred stock were automatically converted into warrants exercisable for a total of 160,767 shares of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The unaudited condensed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In the opinion of management, the condensed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2019 or for any other interim period or for any other future fiscal year. These condensed financial statements should be read in conjunction with the Company's audited financial statements and notes thereto included in the prospectus dated May 1, 2019 filed with the SEC on May 3, 2019 (the “Prospectus”). The condensed balance sheet as of December 31, 2018 has been derived from the audited financial statements at that date. There have been no material changes in the Company’s significant accounting policies from those that were disclosed in the Prospectus, except as noted below.</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287"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Fiscal Year</w:t>
      </w:r>
    </w:p>
    <w:p>
      <w:pPr>
        <w:spacing w:after="0" w:line="128" w:lineRule="exact"/>
        <w:rPr>
          <w:sz w:val="20"/>
          <w:szCs w:val="20"/>
          <w:color w:val="auto"/>
        </w:rPr>
      </w:pPr>
    </w:p>
    <w:p>
      <w:pPr>
        <w:ind w:right="200" w:firstLine="216"/>
        <w:spacing w:after="0" w:line="262" w:lineRule="auto"/>
        <w:rPr>
          <w:sz w:val="20"/>
          <w:szCs w:val="20"/>
          <w:color w:val="auto"/>
        </w:rPr>
      </w:pPr>
      <w:r>
        <w:rPr>
          <w:rFonts w:ascii="Arial" w:cs="Arial" w:eastAsia="Arial" w:hAnsi="Arial"/>
          <w:sz w:val="12"/>
          <w:szCs w:val="12"/>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Management’s Use of Estimates</w:t>
      </w:r>
    </w:p>
    <w:p>
      <w:pPr>
        <w:spacing w:after="0" w:line="128"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and the valuation of the fair value of common stock and preferred stock used to determine stock compensation expense and in the remeasurement of warrants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financial statements.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Reverse Stock Split</w:t>
      </w:r>
    </w:p>
    <w:p>
      <w:pPr>
        <w:spacing w:after="0" w:line="128"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condensed financial statements and related notes to the number of shares of common stock, convertible preferred stock, warrants and options to purchase common stock and per share data reflect the effect of the reverse stock split.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Company maintains cash balances at one financial institution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consist primarily of amounts invested in money market accounts.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Deferred Offering Costs</w:t>
      </w:r>
    </w:p>
    <w:p>
      <w:pPr>
        <w:spacing w:after="0" w:line="128" w:lineRule="exact"/>
        <w:rPr>
          <w:sz w:val="20"/>
          <w:szCs w:val="20"/>
          <w:color w:val="auto"/>
        </w:rPr>
      </w:pPr>
    </w:p>
    <w:p>
      <w:pPr>
        <w:jc w:val="both"/>
        <w:ind w:right="140" w:firstLine="216"/>
        <w:spacing w:after="0" w:line="256" w:lineRule="auto"/>
        <w:rPr>
          <w:sz w:val="20"/>
          <w:szCs w:val="20"/>
          <w:color w:val="auto"/>
        </w:rPr>
      </w:pPr>
      <w:r>
        <w:rPr>
          <w:rFonts w:ascii="Arial" w:cs="Arial" w:eastAsia="Arial" w:hAnsi="Arial"/>
          <w:sz w:val="12"/>
          <w:szCs w:val="12"/>
          <w:color w:val="auto"/>
        </w:rPr>
        <w:t>Offering costs, consisting primarily of legal, accounting, printing and filing services, and other direct fees and costs related to the IPO, were capitalized and offset against proceeds upon the consummation of the IPO. Total IPO issuance costs were $4.9 million, of which $2.4 million was incurred and paid as of December 31, 2018 and an additional $1.9 million was incurred and paid as of June 29, 2019. Approximately $0.6 million of IPO issuance costs incurred in the six months ended June 29, 2019 remained unpaid in accounts payable as of June 29, 2019.</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Stock Warrant Liability</w:t>
      </w:r>
    </w:p>
    <w:p>
      <w:pPr>
        <w:spacing w:after="0" w:line="128"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 remeasurement at each balance sheet date. Any change in fair value is recognized in the condensed statements of operations in Total other expense, net.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305" w:right="21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28"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three levels are defined as follows:</w:t>
      </w:r>
    </w:p>
    <w:p>
      <w:pPr>
        <w:spacing w:after="0" w:line="102" w:lineRule="exact"/>
        <w:rPr>
          <w:sz w:val="20"/>
          <w:szCs w:val="20"/>
          <w:color w:val="auto"/>
        </w:rPr>
      </w:pPr>
    </w:p>
    <w:p>
      <w:pPr>
        <w:ind w:left="420" w:right="480" w:hanging="212"/>
        <w:spacing w:after="0" w:line="283"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Level 1</w:t>
      </w:r>
      <w:r>
        <w:rPr>
          <w:rFonts w:ascii="Arial" w:cs="Arial" w:eastAsia="Arial" w:hAnsi="Arial"/>
          <w:sz w:val="12"/>
          <w:szCs w:val="12"/>
          <w:color w:val="auto"/>
        </w:rPr>
        <w:t>—Unadjusted quoted prices in active markets accessible by the reporting entity for identical assets or liabilities. Active markets are those in which transactions for the asset or liability occur with</w:t>
      </w:r>
      <w:r>
        <w:rPr>
          <w:rFonts w:ascii="Arial" w:cs="Arial" w:eastAsia="Arial" w:hAnsi="Arial"/>
          <w:sz w:val="12"/>
          <w:szCs w:val="12"/>
          <w:i w:val="1"/>
          <w:iCs w:val="1"/>
          <w:color w:val="auto"/>
        </w:rPr>
        <w:t xml:space="preserve"> </w:t>
      </w:r>
      <w:r>
        <w:rPr>
          <w:rFonts w:ascii="Arial" w:cs="Arial" w:eastAsia="Arial" w:hAnsi="Arial"/>
          <w:sz w:val="12"/>
          <w:szCs w:val="12"/>
          <w:color w:val="auto"/>
        </w:rPr>
        <w:t>sufficient frequency and volume to provide pricing information on an ongoing basis.</w:t>
      </w:r>
    </w:p>
    <w:p>
      <w:pPr>
        <w:spacing w:after="0" w:line="70" w:lineRule="exact"/>
        <w:rPr>
          <w:rFonts w:ascii="Arial" w:cs="Arial" w:eastAsia="Arial" w:hAnsi="Arial"/>
          <w:sz w:val="12"/>
          <w:szCs w:val="12"/>
          <w:i w:val="1"/>
          <w:iCs w:val="1"/>
          <w:color w:val="auto"/>
        </w:rPr>
      </w:pPr>
    </w:p>
    <w:p>
      <w:pPr>
        <w:ind w:left="420" w:right="120" w:hanging="212"/>
        <w:spacing w:after="0" w:line="283"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—Quoted prices for similar instruments in active markets; quoted prices for identical or similar instruments in markets that are not active and model-derived valuations in which significant value drivers</w:t>
      </w:r>
      <w:r>
        <w:rPr>
          <w:rFonts w:ascii="Arial" w:cs="Arial" w:eastAsia="Arial" w:hAnsi="Arial"/>
          <w:sz w:val="12"/>
          <w:szCs w:val="12"/>
          <w:i w:val="1"/>
          <w:iCs w:val="1"/>
          <w:color w:val="auto"/>
        </w:rPr>
        <w:t xml:space="preserve"> </w:t>
      </w:r>
      <w:r>
        <w:rPr>
          <w:rFonts w:ascii="Arial" w:cs="Arial" w:eastAsia="Arial" w:hAnsi="Arial"/>
          <w:sz w:val="12"/>
          <w:szCs w:val="12"/>
          <w:color w:val="auto"/>
        </w:rPr>
        <w:t>are observable.</w:t>
      </w:r>
    </w:p>
    <w:p>
      <w:pPr>
        <w:spacing w:after="0" w:line="70" w:lineRule="exact"/>
        <w:rPr>
          <w:rFonts w:ascii="Arial" w:cs="Arial" w:eastAsia="Arial" w:hAnsi="Arial"/>
          <w:sz w:val="12"/>
          <w:szCs w:val="12"/>
          <w:i w:val="1"/>
          <w:iCs w:val="1"/>
          <w:color w:val="auto"/>
        </w:rPr>
      </w:pPr>
    </w:p>
    <w:p>
      <w:pPr>
        <w:ind w:left="420" w:hanging="212"/>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—Valuations derived from valuation techniques in which significant value drivers are unobservable.</w:t>
      </w:r>
    </w:p>
    <w:p>
      <w:pPr>
        <w:spacing w:after="0" w:line="126"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line of credit, term debt with its bank, and equipment loan approximate fair value as well.</w:t>
      </w:r>
    </w:p>
    <w:p>
      <w:pPr>
        <w:spacing w:after="0" w:line="99"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The Company had no financial instruments measured at fair value on a recurring basis as of June 29, 2019. 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the Company’s financial instruments that were measured at fair value on a recurring basis based on the fair value hierarchy as of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December 31, 2018</w:t>
            </w: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69"/>
        </w:trPr>
        <w:tc>
          <w:tcPr>
            <w:tcW w:w="4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Level 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22"/>
              <w:spacing w:after="0"/>
              <w:rPr>
                <w:sz w:val="20"/>
                <w:szCs w:val="20"/>
                <w:color w:val="auto"/>
              </w:rPr>
            </w:pPr>
            <w:r>
              <w:rPr>
                <w:rFonts w:ascii="Arial" w:cs="Arial" w:eastAsia="Arial" w:hAnsi="Arial"/>
                <w:sz w:val="11"/>
                <w:szCs w:val="11"/>
                <w:b w:val="1"/>
                <w:bCs w:val="1"/>
                <w:color w:val="auto"/>
              </w:rPr>
              <w:t>Level 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3</w:t>
            </w:r>
          </w:p>
        </w:tc>
        <w:tc>
          <w:tcPr>
            <w:tcW w:w="380" w:type="dxa"/>
            <w:vAlign w:val="bottom"/>
          </w:tcPr>
          <w:p>
            <w:pPr>
              <w:spacing w:after="0"/>
              <w:rPr>
                <w:sz w:val="14"/>
                <w:szCs w:val="14"/>
                <w:color w:val="auto"/>
              </w:rPr>
            </w:pPr>
          </w:p>
        </w:tc>
        <w:tc>
          <w:tcPr>
            <w:tcW w:w="1220" w:type="dxa"/>
            <w:vAlign w:val="bottom"/>
          </w:tcPr>
          <w:p>
            <w:pPr>
              <w:jc w:val="right"/>
              <w:ind w:right="621"/>
              <w:spacing w:after="0"/>
              <w:rPr>
                <w:sz w:val="20"/>
                <w:szCs w:val="20"/>
                <w:color w:val="auto"/>
              </w:rPr>
            </w:pPr>
            <w:r>
              <w:rPr>
                <w:rFonts w:ascii="Arial" w:cs="Arial" w:eastAsia="Arial" w:hAnsi="Arial"/>
                <w:sz w:val="11"/>
                <w:szCs w:val="11"/>
                <w:b w:val="1"/>
                <w:bCs w:val="1"/>
                <w:color w:val="auto"/>
              </w:rPr>
              <w:t>Total</w:t>
            </w:r>
          </w:p>
        </w:tc>
      </w:tr>
      <w:tr>
        <w:trPr>
          <w:trHeight w:val="17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Financial Liabilities:</w:t>
            </w: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Preferred stock warrant liability</w:t>
            </w:r>
          </w:p>
        </w:tc>
        <w:tc>
          <w:tcPr>
            <w:tcW w:w="1000" w:type="dxa"/>
            <w:vAlign w:val="bottom"/>
          </w:tcPr>
          <w:p>
            <w:pPr>
              <w:jc w:val="right"/>
              <w:ind w:right="86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94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1,441</w:t>
            </w:r>
          </w:p>
        </w:tc>
        <w:tc>
          <w:tcPr>
            <w:tcW w:w="10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1,441</w:t>
            </w: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warrant liability</w:t>
            </w: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477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477</w:t>
            </w:r>
          </w:p>
        </w:tc>
      </w:tr>
      <w:tr>
        <w:trPr>
          <w:trHeight w:val="172"/>
        </w:trPr>
        <w:tc>
          <w:tcPr>
            <w:tcW w:w="4700" w:type="dxa"/>
            <w:vAlign w:val="bottom"/>
          </w:tcPr>
          <w:p>
            <w:pPr>
              <w:ind w:left="20"/>
              <w:spacing w:after="0"/>
              <w:rPr>
                <w:sz w:val="20"/>
                <w:szCs w:val="20"/>
                <w:color w:val="auto"/>
              </w:rPr>
            </w:pPr>
            <w:r>
              <w:rPr>
                <w:rFonts w:ascii="Arial" w:cs="Arial" w:eastAsia="Arial" w:hAnsi="Arial"/>
                <w:sz w:val="12"/>
                <w:szCs w:val="12"/>
                <w:color w:val="auto"/>
              </w:rPr>
              <w:t>Total</w:t>
            </w:r>
          </w:p>
        </w:tc>
        <w:tc>
          <w:tcPr>
            <w:tcW w:w="1000" w:type="dxa"/>
            <w:vAlign w:val="bottom"/>
          </w:tcPr>
          <w:p>
            <w:pPr>
              <w:jc w:val="right"/>
              <w:ind w:right="86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94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1,918</w:t>
            </w:r>
          </w:p>
        </w:tc>
        <w:tc>
          <w:tcPr>
            <w:tcW w:w="10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1,918</w:t>
            </w:r>
          </w:p>
        </w:tc>
      </w:tr>
      <w:tr>
        <w:trPr>
          <w:trHeight w:val="811"/>
        </w:trPr>
        <w:tc>
          <w:tcPr>
            <w:tcW w:w="47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502"/>
              <w:spacing w:after="0"/>
              <w:rPr>
                <w:sz w:val="20"/>
                <w:szCs w:val="20"/>
                <w:color w:val="auto"/>
              </w:rPr>
            </w:pPr>
            <w:r>
              <w:rPr>
                <w:rFonts w:ascii="Arial" w:cs="Arial" w:eastAsia="Arial" w:hAnsi="Arial"/>
                <w:sz w:val="10"/>
                <w:szCs w:val="10"/>
                <w:color w:val="auto"/>
                <w:w w:val="71"/>
              </w:rPr>
              <w:t>9</w:t>
            </w: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305"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a summary of the changes in the fair value of the preferred and common stock warrant liabilities: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Six Months Ended</w:t>
            </w:r>
          </w:p>
        </w:tc>
        <w:tc>
          <w:tcPr>
            <w:tcW w:w="1420" w:type="dxa"/>
            <w:vAlign w:val="bottom"/>
            <w:tcBorders>
              <w:bottom w:val="single" w:sz="8" w:color="auto"/>
            </w:tcBorders>
          </w:tcPr>
          <w:p>
            <w:pPr>
              <w:spacing w:after="0"/>
              <w:rPr>
                <w:sz w:val="12"/>
                <w:szCs w:val="12"/>
                <w:color w:val="auto"/>
              </w:rPr>
            </w:pPr>
          </w:p>
        </w:tc>
      </w:tr>
      <w:tr>
        <w:trPr>
          <w:trHeight w:val="140"/>
        </w:trPr>
        <w:tc>
          <w:tcPr>
            <w:tcW w:w="7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2"/>
                <w:szCs w:val="12"/>
                <w:color w:val="auto"/>
              </w:rPr>
            </w:pPr>
          </w:p>
        </w:tc>
        <w:tc>
          <w:tcPr>
            <w:tcW w:w="1800" w:type="dxa"/>
            <w:vAlign w:val="bottom"/>
            <w:gridSpan w:val="2"/>
          </w:tcPr>
          <w:p>
            <w:pPr>
              <w:ind w:left="300"/>
              <w:spacing w:after="0"/>
              <w:rPr>
                <w:sz w:val="20"/>
                <w:szCs w:val="20"/>
                <w:color w:val="auto"/>
              </w:rPr>
            </w:pPr>
            <w:r>
              <w:rPr>
                <w:rFonts w:ascii="Arial" w:cs="Arial" w:eastAsia="Arial" w:hAnsi="Arial"/>
                <w:sz w:val="11"/>
                <w:szCs w:val="11"/>
                <w:b w:val="1"/>
                <w:bCs w:val="1"/>
                <w:color w:val="auto"/>
              </w:rPr>
              <w:t>June 29, 2019</w:t>
            </w:r>
          </w:p>
        </w:tc>
        <w:tc>
          <w:tcPr>
            <w:tcW w:w="640" w:type="dxa"/>
            <w:vAlign w:val="bottom"/>
          </w:tcPr>
          <w:p>
            <w:pPr>
              <w:spacing w:after="0"/>
              <w:rPr>
                <w:sz w:val="12"/>
                <w:szCs w:val="12"/>
                <w:color w:val="auto"/>
              </w:rPr>
            </w:pPr>
          </w:p>
        </w:tc>
        <w:tc>
          <w:tcPr>
            <w:tcW w:w="1420" w:type="dxa"/>
            <w:vAlign w:val="bottom"/>
          </w:tcPr>
          <w:p>
            <w:pPr>
              <w:jc w:val="right"/>
              <w:ind w:right="621"/>
              <w:spacing w:after="0"/>
              <w:rPr>
                <w:sz w:val="20"/>
                <w:szCs w:val="20"/>
                <w:color w:val="auto"/>
              </w:rPr>
            </w:pPr>
            <w:r>
              <w:rPr>
                <w:rFonts w:ascii="Arial" w:cs="Arial" w:eastAsia="Arial" w:hAnsi="Arial"/>
                <w:sz w:val="11"/>
                <w:szCs w:val="11"/>
                <w:b w:val="1"/>
                <w:bCs w:val="1"/>
                <w:color w:val="auto"/>
              </w:rPr>
              <w:t>June 30, 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6"/>
        </w:trPr>
        <w:tc>
          <w:tcPr>
            <w:tcW w:w="7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1,918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550</w:t>
            </w:r>
          </w:p>
        </w:tc>
      </w:tr>
      <w:tr>
        <w:trPr>
          <w:trHeight w:val="176"/>
        </w:trPr>
        <w:tc>
          <w:tcPr>
            <w:tcW w:w="7240" w:type="dxa"/>
            <w:vAlign w:val="bottom"/>
            <w:gridSpan w:val="3"/>
          </w:tcPr>
          <w:p>
            <w:pPr>
              <w:ind w:left="20"/>
              <w:spacing w:after="0"/>
              <w:rPr>
                <w:sz w:val="20"/>
                <w:szCs w:val="20"/>
                <w:color w:val="auto"/>
              </w:rPr>
            </w:pPr>
            <w:r>
              <w:rPr>
                <w:rFonts w:ascii="Arial" w:cs="Arial" w:eastAsia="Arial" w:hAnsi="Arial"/>
                <w:sz w:val="12"/>
                <w:szCs w:val="12"/>
                <w:color w:val="auto"/>
              </w:rPr>
              <w:t>Fair value of warrants issued during the period</w:t>
            </w:r>
          </w:p>
        </w:tc>
        <w:tc>
          <w:tcPr>
            <w:tcW w:w="380" w:type="dxa"/>
            <w:vAlign w:val="bottom"/>
          </w:tcPr>
          <w:p>
            <w:pPr>
              <w:spacing w:after="0"/>
              <w:rPr>
                <w:sz w:val="15"/>
                <w:szCs w:val="15"/>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5"/>
                <w:szCs w:val="15"/>
                <w:color w:val="auto"/>
              </w:rPr>
            </w:pPr>
          </w:p>
        </w:tc>
        <w:tc>
          <w:tcPr>
            <w:tcW w:w="1420" w:type="dxa"/>
            <w:vAlign w:val="bottom"/>
          </w:tcPr>
          <w:p>
            <w:pPr>
              <w:jc w:val="right"/>
              <w:ind w:right="61"/>
              <w:spacing w:after="0"/>
              <w:rPr>
                <w:sz w:val="20"/>
                <w:szCs w:val="20"/>
                <w:color w:val="auto"/>
              </w:rPr>
            </w:pPr>
            <w:r>
              <w:rPr>
                <w:rFonts w:ascii="Arial" w:cs="Arial" w:eastAsia="Arial" w:hAnsi="Arial"/>
                <w:sz w:val="12"/>
                <w:szCs w:val="12"/>
                <w:color w:val="auto"/>
              </w:rPr>
              <w:t>248</w:t>
            </w:r>
          </w:p>
        </w:tc>
      </w:tr>
      <w:tr>
        <w:trPr>
          <w:trHeight w:val="185"/>
        </w:trPr>
        <w:tc>
          <w:tcPr>
            <w:tcW w:w="72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Change in fair value of warrant liability</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12,503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259</w:t>
            </w:r>
          </w:p>
        </w:tc>
      </w:tr>
      <w:tr>
        <w:trPr>
          <w:trHeight w:val="176"/>
        </w:trPr>
        <w:tc>
          <w:tcPr>
            <w:tcW w:w="72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Reclassification of warrant liability to additional paid-in capital in connection with the IPO</w:t>
            </w: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(14,421)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72"/>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1,057</w:t>
            </w:r>
          </w:p>
        </w:tc>
      </w:tr>
    </w:tbl>
    <w:p>
      <w:pPr>
        <w:spacing w:after="0" w:line="252"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The Company remeasured and reclassified the common stock warrant liability to additional paid-in-capital in connection with the IPO. Subsequent to the closing of the IPO, all outstanding warrants to purchase shares of common stock were cashless exercised and no warrants were outstanding as of June 29, 2019.</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May 2014, the Financial Accounting Standards Board (“FASB”) issued Accounting Standards Update (ASU) No. 2014-09, “Revenue from Contracts with Customers” (“ASU 2014-09”), which, along with subsequent ASUs, amends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03"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99"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contracts as of June 29, 2019 contain a significant financing component.</w:t>
      </w:r>
    </w:p>
    <w:p>
      <w:pPr>
        <w:spacing w:after="0" w:line="99"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$1.1 million and $0.8 million as of June 29, 2019 and December 31, 2018, respectively. The offsetting charge is recorded as a reduction of revenues in the same period when the expense is incurred.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305" w:right="1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recognizes the incremental costs of obtaining contracts as an expense when incurred if the amortization period of the assets that the Company otherwise would have recognized is one year or less.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incremental cost to obtain contracts was not material.</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Company’s net revenues by platform and channel are included in the tables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1"/>
                <w:szCs w:val="11"/>
                <w:b w:val="1"/>
                <w:bCs w:val="1"/>
                <w:color w:val="auto"/>
              </w:rPr>
              <w:t>For the Three Months Ended</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4"/>
          </w:tcPr>
          <w:p>
            <w:pPr>
              <w:jc w:val="right"/>
              <w:ind w:right="902"/>
              <w:spacing w:after="0"/>
              <w:rPr>
                <w:sz w:val="20"/>
                <w:szCs w:val="20"/>
                <w:color w:val="auto"/>
              </w:rPr>
            </w:pPr>
            <w:r>
              <w:rPr>
                <w:rFonts w:ascii="Arial" w:cs="Arial" w:eastAsia="Arial" w:hAnsi="Arial"/>
                <w:sz w:val="11"/>
                <w:szCs w:val="11"/>
                <w:b w:val="1"/>
                <w:bCs w:val="1"/>
                <w:color w:val="auto"/>
              </w:rPr>
              <w:t>For the Six Months Ended</w:t>
            </w: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80" w:type="dxa"/>
            <w:vAlign w:val="bottom"/>
          </w:tcPr>
          <w:p>
            <w:pPr>
              <w:jc w:val="center"/>
              <w:ind w:left="484"/>
              <w:spacing w:after="0"/>
              <w:rPr>
                <w:sz w:val="20"/>
                <w:szCs w:val="20"/>
                <w:color w:val="auto"/>
              </w:rPr>
            </w:pPr>
            <w:r>
              <w:rPr>
                <w:rFonts w:ascii="Arial" w:cs="Arial" w:eastAsia="Arial" w:hAnsi="Arial"/>
                <w:sz w:val="11"/>
                <w:szCs w:val="11"/>
                <w:b w:val="1"/>
                <w:bCs w:val="1"/>
                <w:color w:val="auto"/>
                <w:w w:val="95"/>
              </w:rPr>
              <w:t>June 29,</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483"/>
              <w:spacing w:after="0"/>
              <w:rPr>
                <w:sz w:val="20"/>
                <w:szCs w:val="20"/>
                <w:color w:val="auto"/>
              </w:rPr>
            </w:pPr>
            <w:r>
              <w:rPr>
                <w:rFonts w:ascii="Arial" w:cs="Arial" w:eastAsia="Arial" w:hAnsi="Arial"/>
                <w:sz w:val="11"/>
                <w:szCs w:val="11"/>
                <w:b w:val="1"/>
                <w:bCs w:val="1"/>
                <w:color w:val="auto"/>
                <w:w w:val="99"/>
              </w:rPr>
              <w:t>June 30,</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9"/>
              </w:rPr>
              <w:t>June 29,</w:t>
            </w:r>
          </w:p>
        </w:tc>
        <w:tc>
          <w:tcPr>
            <w:tcW w:w="320" w:type="dxa"/>
            <w:vAlign w:val="bottom"/>
          </w:tcPr>
          <w:p>
            <w:pPr>
              <w:spacing w:after="0"/>
              <w:rPr>
                <w:sz w:val="11"/>
                <w:szCs w:val="11"/>
                <w:color w:val="auto"/>
              </w:rPr>
            </w:pPr>
          </w:p>
        </w:tc>
        <w:tc>
          <w:tcPr>
            <w:tcW w:w="1260" w:type="dxa"/>
            <w:vAlign w:val="bottom"/>
          </w:tcPr>
          <w:p>
            <w:pPr>
              <w:jc w:val="center"/>
              <w:ind w:right="262"/>
              <w:spacing w:after="0"/>
              <w:rPr>
                <w:sz w:val="20"/>
                <w:szCs w:val="20"/>
                <w:color w:val="auto"/>
              </w:rPr>
            </w:pPr>
            <w:r>
              <w:rPr>
                <w:rFonts w:ascii="Arial" w:cs="Arial" w:eastAsia="Arial" w:hAnsi="Arial"/>
                <w:sz w:val="11"/>
                <w:szCs w:val="11"/>
                <w:b w:val="1"/>
                <w:bCs w:val="1"/>
                <w:color w:val="auto"/>
                <w:w w:val="95"/>
              </w:rPr>
              <w:t>June 30,</w:t>
            </w:r>
          </w:p>
        </w:tc>
      </w:tr>
      <w:tr>
        <w:trPr>
          <w:trHeight w:val="119"/>
        </w:trPr>
        <w:tc>
          <w:tcPr>
            <w:tcW w:w="46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080" w:type="dxa"/>
            <w:vAlign w:val="bottom"/>
          </w:tcPr>
          <w:p>
            <w:pPr>
              <w:jc w:val="center"/>
              <w:ind w:left="504"/>
              <w:spacing w:after="0" w:line="119" w:lineRule="exact"/>
              <w:rPr>
                <w:sz w:val="20"/>
                <w:szCs w:val="20"/>
                <w:color w:val="auto"/>
              </w:rPr>
            </w:pPr>
            <w:r>
              <w:rPr>
                <w:rFonts w:ascii="Arial" w:cs="Arial" w:eastAsia="Arial" w:hAnsi="Arial"/>
                <w:sz w:val="11"/>
                <w:szCs w:val="11"/>
                <w:b w:val="1"/>
                <w:bCs w:val="1"/>
                <w:color w:val="auto"/>
                <w:w w:val="97"/>
              </w:rPr>
              <w:t>2019</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left="483"/>
              <w:spacing w:after="0" w:line="119" w:lineRule="exact"/>
              <w:rPr>
                <w:sz w:val="20"/>
                <w:szCs w:val="20"/>
                <w:color w:val="auto"/>
              </w:rPr>
            </w:pPr>
            <w:r>
              <w:rPr>
                <w:rFonts w:ascii="Arial" w:cs="Arial" w:eastAsia="Arial" w:hAnsi="Arial"/>
                <w:sz w:val="11"/>
                <w:szCs w:val="11"/>
                <w:b w:val="1"/>
                <w:bCs w:val="1"/>
                <w:color w:val="auto"/>
                <w:w w:val="97"/>
              </w:rPr>
              <w:t>2018</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63"/>
              <w:spacing w:after="0" w:line="119" w:lineRule="exact"/>
              <w:rPr>
                <w:sz w:val="20"/>
                <w:szCs w:val="20"/>
                <w:color w:val="auto"/>
              </w:rPr>
            </w:pPr>
            <w:r>
              <w:rPr>
                <w:rFonts w:ascii="Arial" w:cs="Arial" w:eastAsia="Arial" w:hAnsi="Arial"/>
                <w:sz w:val="11"/>
                <w:szCs w:val="11"/>
                <w:b w:val="1"/>
                <w:bCs w:val="1"/>
                <w:color w:val="auto"/>
                <w:w w:val="97"/>
              </w:rPr>
              <w:t>2019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center"/>
              <w:ind w:right="282"/>
              <w:spacing w:after="0" w:line="119" w:lineRule="exact"/>
              <w:rPr>
                <w:sz w:val="20"/>
                <w:szCs w:val="20"/>
                <w:color w:val="auto"/>
              </w:rPr>
            </w:pPr>
            <w:r>
              <w:rPr>
                <w:rFonts w:ascii="Arial" w:cs="Arial" w:eastAsia="Arial" w:hAnsi="Arial"/>
                <w:sz w:val="11"/>
                <w:szCs w:val="11"/>
                <w:b w:val="1"/>
                <w:bCs w:val="1"/>
                <w:color w:val="auto"/>
                <w:w w:val="97"/>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5"/>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2"/>
                <w:szCs w:val="12"/>
                <w:color w:val="auto"/>
              </w:rPr>
              <w:t>Gross Fresh Platform</w:t>
            </w:r>
          </w:p>
        </w:tc>
        <w:tc>
          <w:tcPr>
            <w:tcW w:w="1080" w:type="dxa"/>
            <w:vAlign w:val="bottom"/>
          </w:tcPr>
          <w:p>
            <w:pPr>
              <w:jc w:val="right"/>
              <w:ind w:right="94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67,722</w:t>
            </w:r>
          </w:p>
        </w:tc>
        <w:tc>
          <w:tcPr>
            <w:tcW w:w="120" w:type="dxa"/>
            <w:vAlign w:val="bottom"/>
          </w:tcPr>
          <w:p>
            <w:pPr>
              <w:spacing w:after="0"/>
              <w:rPr>
                <w:sz w:val="15"/>
                <w:szCs w:val="15"/>
                <w:color w:val="auto"/>
              </w:rPr>
            </w:pPr>
          </w:p>
        </w:tc>
        <w:tc>
          <w:tcPr>
            <w:tcW w:w="1060" w:type="dxa"/>
            <w:vAlign w:val="bottom"/>
          </w:tcPr>
          <w:p>
            <w:pPr>
              <w:jc w:val="right"/>
              <w:ind w:right="92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15,119</w:t>
            </w:r>
          </w:p>
        </w:tc>
        <w:tc>
          <w:tcPr>
            <w:tcW w:w="12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2"/>
                <w:szCs w:val="12"/>
                <w:color w:val="auto"/>
              </w:rPr>
              <w:t>106,528</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24,715</w:t>
            </w:r>
          </w:p>
        </w:tc>
      </w:tr>
      <w:tr>
        <w:trPr>
          <w:trHeight w:val="185"/>
        </w:trPr>
        <w:tc>
          <w:tcPr>
            <w:tcW w:w="2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Frozen Platform</w:t>
            </w: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5,639</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10,151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9,254</w:t>
            </w:r>
          </w:p>
        </w:tc>
      </w:tr>
      <w:tr>
        <w:trPr>
          <w:trHeight w:val="176"/>
        </w:trPr>
        <w:tc>
          <w:tcPr>
            <w:tcW w:w="2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Less: Discounts</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(6,110)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(2,258)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(9,222)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(3,826)</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Net revenues</w:t>
            </w:r>
          </w:p>
        </w:tc>
        <w:tc>
          <w:tcPr>
            <w:tcW w:w="108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67,251</w:t>
            </w:r>
          </w:p>
        </w:tc>
        <w:tc>
          <w:tcPr>
            <w:tcW w:w="1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17,367</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107,457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30,143</w:t>
            </w: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1"/>
                <w:szCs w:val="11"/>
                <w:b w:val="1"/>
                <w:bCs w:val="1"/>
                <w:color w:val="auto"/>
              </w:rPr>
              <w:t>For the Three Months Ended</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902"/>
              <w:spacing w:after="0"/>
              <w:rPr>
                <w:sz w:val="20"/>
                <w:szCs w:val="20"/>
                <w:color w:val="auto"/>
              </w:rPr>
            </w:pPr>
            <w:r>
              <w:rPr>
                <w:rFonts w:ascii="Arial" w:cs="Arial" w:eastAsia="Arial" w:hAnsi="Arial"/>
                <w:sz w:val="11"/>
                <w:szCs w:val="11"/>
                <w:b w:val="1"/>
                <w:bCs w:val="1"/>
                <w:color w:val="auto"/>
              </w:rPr>
              <w:t>For the Six Months Ended</w:t>
            </w: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80" w:type="dxa"/>
            <w:vAlign w:val="bottom"/>
          </w:tcPr>
          <w:p>
            <w:pPr>
              <w:jc w:val="center"/>
              <w:ind w:left="484"/>
              <w:spacing w:after="0"/>
              <w:rPr>
                <w:sz w:val="20"/>
                <w:szCs w:val="20"/>
                <w:color w:val="auto"/>
              </w:rPr>
            </w:pPr>
            <w:r>
              <w:rPr>
                <w:rFonts w:ascii="Arial" w:cs="Arial" w:eastAsia="Arial" w:hAnsi="Arial"/>
                <w:sz w:val="11"/>
                <w:szCs w:val="11"/>
                <w:b w:val="1"/>
                <w:bCs w:val="1"/>
                <w:color w:val="auto"/>
                <w:w w:val="95"/>
              </w:rPr>
              <w:t>June 29,</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483"/>
              <w:spacing w:after="0"/>
              <w:rPr>
                <w:sz w:val="20"/>
                <w:szCs w:val="20"/>
                <w:color w:val="auto"/>
              </w:rPr>
            </w:pPr>
            <w:r>
              <w:rPr>
                <w:rFonts w:ascii="Arial" w:cs="Arial" w:eastAsia="Arial" w:hAnsi="Arial"/>
                <w:sz w:val="11"/>
                <w:szCs w:val="11"/>
                <w:b w:val="1"/>
                <w:bCs w:val="1"/>
                <w:color w:val="auto"/>
                <w:w w:val="99"/>
              </w:rPr>
              <w:t>June 30,</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9"/>
              </w:rPr>
              <w:t>June 29,</w:t>
            </w:r>
          </w:p>
        </w:tc>
        <w:tc>
          <w:tcPr>
            <w:tcW w:w="320" w:type="dxa"/>
            <w:vAlign w:val="bottom"/>
          </w:tcPr>
          <w:p>
            <w:pPr>
              <w:spacing w:after="0"/>
              <w:rPr>
                <w:sz w:val="11"/>
                <w:szCs w:val="11"/>
                <w:color w:val="auto"/>
              </w:rPr>
            </w:pPr>
          </w:p>
        </w:tc>
        <w:tc>
          <w:tcPr>
            <w:tcW w:w="1260" w:type="dxa"/>
            <w:vAlign w:val="bottom"/>
          </w:tcPr>
          <w:p>
            <w:pPr>
              <w:jc w:val="center"/>
              <w:ind w:right="262"/>
              <w:spacing w:after="0"/>
              <w:rPr>
                <w:sz w:val="20"/>
                <w:szCs w:val="20"/>
                <w:color w:val="auto"/>
              </w:rPr>
            </w:pPr>
            <w:r>
              <w:rPr>
                <w:rFonts w:ascii="Arial" w:cs="Arial" w:eastAsia="Arial" w:hAnsi="Arial"/>
                <w:sz w:val="11"/>
                <w:szCs w:val="11"/>
                <w:b w:val="1"/>
                <w:bCs w:val="1"/>
                <w:color w:val="auto"/>
                <w:w w:val="95"/>
              </w:rPr>
              <w:t>June 30,</w:t>
            </w:r>
          </w:p>
        </w:tc>
      </w:tr>
      <w:tr>
        <w:trPr>
          <w:trHeight w:val="119"/>
        </w:trPr>
        <w:tc>
          <w:tcPr>
            <w:tcW w:w="46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080" w:type="dxa"/>
            <w:vAlign w:val="bottom"/>
          </w:tcPr>
          <w:p>
            <w:pPr>
              <w:jc w:val="center"/>
              <w:ind w:left="504"/>
              <w:spacing w:after="0" w:line="119" w:lineRule="exact"/>
              <w:rPr>
                <w:sz w:val="20"/>
                <w:szCs w:val="20"/>
                <w:color w:val="auto"/>
              </w:rPr>
            </w:pPr>
            <w:r>
              <w:rPr>
                <w:rFonts w:ascii="Arial" w:cs="Arial" w:eastAsia="Arial" w:hAnsi="Arial"/>
                <w:sz w:val="11"/>
                <w:szCs w:val="11"/>
                <w:b w:val="1"/>
                <w:bCs w:val="1"/>
                <w:color w:val="auto"/>
                <w:w w:val="97"/>
              </w:rPr>
              <w:t>2019</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left="483"/>
              <w:spacing w:after="0" w:line="119" w:lineRule="exact"/>
              <w:rPr>
                <w:sz w:val="20"/>
                <w:szCs w:val="20"/>
                <w:color w:val="auto"/>
              </w:rPr>
            </w:pPr>
            <w:r>
              <w:rPr>
                <w:rFonts w:ascii="Arial" w:cs="Arial" w:eastAsia="Arial" w:hAnsi="Arial"/>
                <w:sz w:val="11"/>
                <w:szCs w:val="11"/>
                <w:b w:val="1"/>
                <w:bCs w:val="1"/>
                <w:color w:val="auto"/>
                <w:w w:val="97"/>
              </w:rPr>
              <w:t>2018</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63"/>
              <w:spacing w:after="0" w:line="119" w:lineRule="exact"/>
              <w:rPr>
                <w:sz w:val="20"/>
                <w:szCs w:val="20"/>
                <w:color w:val="auto"/>
              </w:rPr>
            </w:pPr>
            <w:r>
              <w:rPr>
                <w:rFonts w:ascii="Arial" w:cs="Arial" w:eastAsia="Arial" w:hAnsi="Arial"/>
                <w:sz w:val="11"/>
                <w:szCs w:val="11"/>
                <w:b w:val="1"/>
                <w:bCs w:val="1"/>
                <w:color w:val="auto"/>
                <w:w w:val="97"/>
              </w:rPr>
              <w:t>2019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center"/>
              <w:ind w:right="282"/>
              <w:spacing w:after="0" w:line="119" w:lineRule="exact"/>
              <w:rPr>
                <w:sz w:val="20"/>
                <w:szCs w:val="20"/>
                <w:color w:val="auto"/>
              </w:rPr>
            </w:pPr>
            <w:r>
              <w:rPr>
                <w:rFonts w:ascii="Arial" w:cs="Arial" w:eastAsia="Arial" w:hAnsi="Arial"/>
                <w:sz w:val="11"/>
                <w:szCs w:val="11"/>
                <w:b w:val="1"/>
                <w:bCs w:val="1"/>
                <w:color w:val="auto"/>
                <w:w w:val="97"/>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5"/>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660" w:type="dxa"/>
            <w:vAlign w:val="bottom"/>
            <w:gridSpan w:val="2"/>
          </w:tcPr>
          <w:p>
            <w:pPr>
              <w:ind w:left="160"/>
              <w:spacing w:after="0"/>
              <w:rPr>
                <w:sz w:val="20"/>
                <w:szCs w:val="20"/>
                <w:color w:val="auto"/>
              </w:rPr>
            </w:pPr>
            <w:r>
              <w:rPr>
                <w:rFonts w:ascii="Arial" w:cs="Arial" w:eastAsia="Arial" w:hAnsi="Arial"/>
                <w:sz w:val="12"/>
                <w:szCs w:val="12"/>
                <w:color w:val="auto"/>
              </w:rPr>
              <w:t>Retail</w:t>
            </w:r>
          </w:p>
        </w:tc>
        <w:tc>
          <w:tcPr>
            <w:tcW w:w="1080" w:type="dxa"/>
            <w:vAlign w:val="bottom"/>
          </w:tcPr>
          <w:p>
            <w:pPr>
              <w:jc w:val="right"/>
              <w:ind w:right="94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34,120</w:t>
            </w:r>
          </w:p>
        </w:tc>
        <w:tc>
          <w:tcPr>
            <w:tcW w:w="120" w:type="dxa"/>
            <w:vAlign w:val="bottom"/>
          </w:tcPr>
          <w:p>
            <w:pPr>
              <w:spacing w:after="0"/>
              <w:rPr>
                <w:sz w:val="15"/>
                <w:szCs w:val="15"/>
                <w:color w:val="auto"/>
              </w:rPr>
            </w:pPr>
          </w:p>
        </w:tc>
        <w:tc>
          <w:tcPr>
            <w:tcW w:w="1060" w:type="dxa"/>
            <w:vAlign w:val="bottom"/>
          </w:tcPr>
          <w:p>
            <w:pPr>
              <w:jc w:val="right"/>
              <w:ind w:right="92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11,684</w:t>
            </w:r>
          </w:p>
        </w:tc>
        <w:tc>
          <w:tcPr>
            <w:tcW w:w="12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2"/>
                <w:szCs w:val="12"/>
                <w:color w:val="auto"/>
              </w:rPr>
              <w:t>53,699</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20,972</w:t>
            </w:r>
          </w:p>
        </w:tc>
      </w:tr>
      <w:tr>
        <w:trPr>
          <w:trHeight w:val="180"/>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Restaurant and Foodservice</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33,131</w:t>
            </w:r>
          </w:p>
        </w:tc>
        <w:tc>
          <w:tcPr>
            <w:tcW w:w="1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5,683</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53,758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9,171</w:t>
            </w:r>
          </w:p>
        </w:tc>
      </w:tr>
      <w:tr>
        <w:trPr>
          <w:trHeight w:val="172"/>
        </w:trPr>
        <w:tc>
          <w:tcPr>
            <w:tcW w:w="20" w:type="dxa"/>
            <w:vAlign w:val="bottom"/>
          </w:tcPr>
          <w:p>
            <w:pPr>
              <w:spacing w:after="0"/>
              <w:rPr>
                <w:sz w:val="14"/>
                <w:szCs w:val="14"/>
                <w:color w:val="auto"/>
              </w:rPr>
            </w:pPr>
          </w:p>
        </w:tc>
        <w:tc>
          <w:tcPr>
            <w:tcW w:w="4660" w:type="dxa"/>
            <w:vAlign w:val="bottom"/>
            <w:gridSpan w:val="2"/>
          </w:tcPr>
          <w:p>
            <w:pPr>
              <w:ind w:left="300"/>
              <w:spacing w:after="0"/>
              <w:rPr>
                <w:sz w:val="20"/>
                <w:szCs w:val="20"/>
                <w:color w:val="auto"/>
              </w:rPr>
            </w:pPr>
            <w:r>
              <w:rPr>
                <w:rFonts w:ascii="Arial" w:cs="Arial" w:eastAsia="Arial" w:hAnsi="Arial"/>
                <w:sz w:val="12"/>
                <w:szCs w:val="12"/>
                <w:color w:val="auto"/>
              </w:rPr>
              <w:t>Net revenues</w:t>
            </w:r>
          </w:p>
        </w:tc>
        <w:tc>
          <w:tcPr>
            <w:tcW w:w="1080" w:type="dxa"/>
            <w:vAlign w:val="bottom"/>
            <w:tcBorders>
              <w:bottom w:val="single" w:sz="8" w:color="auto"/>
            </w:tcBorders>
          </w:tcPr>
          <w:p>
            <w:pPr>
              <w:jc w:val="right"/>
              <w:ind w:right="94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67,251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92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17,367</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107,457</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30,143</w:t>
            </w:r>
          </w:p>
        </w:tc>
      </w:tr>
    </w:tbl>
    <w:p>
      <w:pPr>
        <w:spacing w:after="0" w:line="252"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Two distributors accounted for approximately 22% and 20%, respectively, of the Company’s gross revenues in the three months ended June 29, 2019; and three distributors accounted for approximately 39%, 15% and 15%, respectively, of the Company’s gross revenues in the three months ended June 30, 2018. Two distributors accounted for approximately 22% and 21%, respectively, of the Company’s gross revenues in the six months ended June 29, 2019; and three distributors accounted for approximately 37%, 15% and 13%, respectively, of the Company’s gross revenues in the six months ended June 30, 2018.</w:t>
      </w:r>
    </w:p>
    <w:p>
      <w:pPr>
        <w:spacing w:after="0" w:line="99" w:lineRule="exact"/>
        <w:rPr>
          <w:sz w:val="20"/>
          <w:szCs w:val="20"/>
          <w:color w:val="auto"/>
        </w:rPr>
      </w:pPr>
    </w:p>
    <w:p>
      <w:pPr>
        <w:jc w:val="both"/>
        <w:ind w:right="60" w:firstLine="216"/>
        <w:spacing w:after="0" w:line="256" w:lineRule="auto"/>
        <w:rPr>
          <w:sz w:val="20"/>
          <w:szCs w:val="20"/>
          <w:color w:val="auto"/>
        </w:rPr>
      </w:pPr>
      <w:r>
        <w:rPr>
          <w:rFonts w:ascii="Arial" w:cs="Arial" w:eastAsia="Arial" w:hAnsi="Arial"/>
          <w:sz w:val="12"/>
          <w:szCs w:val="12"/>
          <w:color w:val="auto"/>
        </w:rPr>
        <w:t>Approximately 12% of the Company’s net revenues in the three months ended June 29, 2019 was from international sales excluding sales in Canada as compared to approximately 3% in the three months ended June 30, 2018. Approximately 13% of the Company’s net revenues in the six months ended June 29, 2019 was from international sales excluding sales in Canada as compared to approximately 2% in the six months ended June 30, 2018. Net revenues from sales to the Canadian market are included with net revenues from sales to the United States market.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Shipping and Handling Costs</w:t>
      </w:r>
    </w:p>
    <w:p>
      <w:pPr>
        <w:spacing w:after="0" w:line="128" w:lineRule="exact"/>
        <w:rPr>
          <w:sz w:val="20"/>
          <w:szCs w:val="20"/>
          <w:color w:val="auto"/>
        </w:rPr>
      </w:pPr>
    </w:p>
    <w:p>
      <w:pPr>
        <w:ind w:right="580" w:firstLine="216"/>
        <w:spacing w:after="0" w:line="262" w:lineRule="auto"/>
        <w:rPr>
          <w:sz w:val="20"/>
          <w:szCs w:val="20"/>
          <w:color w:val="auto"/>
        </w:rPr>
      </w:pPr>
      <w:r>
        <w:rPr>
          <w:rFonts w:ascii="Arial" w:cs="Arial" w:eastAsia="Arial" w:hAnsi="Arial"/>
          <w:sz w:val="12"/>
          <w:szCs w:val="12"/>
          <w:color w:val="auto"/>
        </w:rPr>
        <w:t>Outbound shipping and handling costs included in selling, general and administrative (“SG&amp;A”) expenses in the three months ended June 29, 2019 and June 30, 2018 were $2.6 million and $1.8 million, respectively, and in the six months ended June 29, 2019 and June 30, 2018 were $3.9 million and $2.8 million, respectively.</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Earnings (Loss) Per Share</w:t>
      </w:r>
    </w:p>
    <w:p>
      <w:pPr>
        <w:spacing w:after="0" w:line="128" w:lineRule="exact"/>
        <w:rPr>
          <w:sz w:val="20"/>
          <w:szCs w:val="20"/>
          <w:color w:val="auto"/>
        </w:rPr>
      </w:pPr>
    </w:p>
    <w:p>
      <w:pPr>
        <w:jc w:val="both"/>
        <w:ind w:right="160" w:firstLine="216"/>
        <w:spacing w:after="0" w:line="256" w:lineRule="auto"/>
        <w:rPr>
          <w:sz w:val="20"/>
          <w:szCs w:val="20"/>
          <w:color w:val="auto"/>
        </w:rPr>
      </w:pPr>
      <w:r>
        <w:rPr>
          <w:rFonts w:ascii="Arial" w:cs="Arial" w:eastAsia="Arial" w:hAnsi="Arial"/>
          <w:sz w:val="12"/>
          <w:szCs w:val="12"/>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 Such potential common shares include options, restricted stock units (“RSUs”), warrants and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305"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convertible preferred stock. In periods when the Company records net loss, potential common shares are excluded in the computation of EPS because their inclusion would be anti-dilutive. See </w:t>
      </w:r>
      <w:r>
        <w:rPr>
          <w:rFonts w:ascii="Arial" w:cs="Arial" w:eastAsia="Arial" w:hAnsi="Arial"/>
          <w:sz w:val="12"/>
          <w:szCs w:val="12"/>
          <w:u w:val="single" w:color="auto"/>
          <w:color w:val="0000FF"/>
        </w:rPr>
        <w:t>Note 11</w:t>
      </w:r>
      <w:r>
        <w:rPr>
          <w:rFonts w:ascii="Arial" w:cs="Arial" w:eastAsia="Arial" w:hAnsi="Arial"/>
          <w:sz w:val="12"/>
          <w:szCs w:val="12"/>
          <w:color w:val="auto"/>
        </w:rPr>
        <w: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Related-Party Transactions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Seth Goldman</w:t>
      </w:r>
    </w:p>
    <w:p>
      <w:pPr>
        <w:spacing w:after="0" w:line="12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The Company entered into a consulting agreement with Seth Goldman, the Company’s Executive Chair, on March 2, 2016, which was amended and restated on November 15, 2018 and further amended on April 8, 2019. Pursuant to the consulting agreement, the Company will pay Mr. Goldman $20,210.33 per month for services rendered under the consulting agreement and, on the date of each annual meeting of the Company’s stockholders after which Mr. Goldman’s non-employee service on the board of directors will continue, the Company has agreed to grant Mr. Goldman a restricted stock unit award under the 2018 Equity Incentive Plan (the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w:t>
      </w:r>
    </w:p>
    <w:p>
      <w:pPr>
        <w:spacing w:after="0" w:line="101" w:lineRule="exact"/>
        <w:rPr>
          <w:sz w:val="20"/>
          <w:szCs w:val="20"/>
          <w:color w:val="auto"/>
        </w:rPr>
      </w:pPr>
    </w:p>
    <w:p>
      <w:pPr>
        <w:jc w:val="both"/>
        <w:ind w:right="100" w:firstLine="216"/>
        <w:spacing w:after="0" w:line="256" w:lineRule="auto"/>
        <w:rPr>
          <w:sz w:val="20"/>
          <w:szCs w:val="20"/>
          <w:color w:val="auto"/>
        </w:rPr>
      </w:pPr>
      <w:r>
        <w:rPr>
          <w:rFonts w:ascii="Arial" w:cs="Arial" w:eastAsia="Arial" w:hAnsi="Arial"/>
          <w:sz w:val="12"/>
          <w:szCs w:val="12"/>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Bernhard van Lengerich</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Donald Thompson</w:t>
      </w:r>
    </w:p>
    <w:p>
      <w:pPr>
        <w:spacing w:after="0" w:line="128" w:lineRule="exact"/>
        <w:rPr>
          <w:sz w:val="20"/>
          <w:szCs w:val="20"/>
          <w:color w:val="auto"/>
        </w:rPr>
      </w:pPr>
    </w:p>
    <w:p>
      <w:pPr>
        <w:ind w:right="480" w:firstLine="216"/>
        <w:spacing w:after="0" w:line="262" w:lineRule="auto"/>
        <w:rPr>
          <w:sz w:val="20"/>
          <w:szCs w:val="20"/>
          <w:color w:val="auto"/>
        </w:rPr>
      </w:pPr>
      <w:r>
        <w:rPr>
          <w:rFonts w:ascii="Arial" w:cs="Arial" w:eastAsia="Arial" w:hAnsi="Arial"/>
          <w:sz w:val="12"/>
          <w:szCs w:val="12"/>
          <w:color w:val="auto"/>
        </w:rPr>
        <w:t>In the six months ended June 30, 2018, the Company incurred consulting costs payable to a company associated with Donald Thompson, a member of the Company’s Board of Directors, in the amount of $47,162. The Company did not incur any such consulting costs in the six months ended June 29, 2019.</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28"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305"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years beginning after December 15, 2020. Early adoption is permitted, but no earlier than the Company’s adoption date of Topic 606. The Company early adopted ASU 2018-07 beginning January 1, 2019 along with its adoption of ASU 2014-09. Pursuant to ASU 2018-07, the measurement of equity classified nonemployee awards will be fixed at the grant date, as compared to the previous requirement to remeasure the awards through the performance completion date.</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New Accounting Pronouncements</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99"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January 2016, the FASB issued ASU No. 2016-01, “Financial Instruments—Overall (Subtopic 825-10): Recognition and Measurement of Financial Assets and Financial Liabilities” (“ASU 2016-01”), which makes amendments to the guidance in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03"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 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Restructuring</w:t>
      </w:r>
    </w:p>
    <w:p>
      <w:pPr>
        <w:spacing w:after="0" w:line="128" w:lineRule="exact"/>
        <w:rPr>
          <w:sz w:val="20"/>
          <w:szCs w:val="20"/>
          <w:color w:val="auto"/>
        </w:rPr>
      </w:pPr>
    </w:p>
    <w:p>
      <w:pPr>
        <w:ind w:right="20" w:firstLine="216"/>
        <w:spacing w:after="0" w:line="253" w:lineRule="auto"/>
        <w:rPr>
          <w:rFonts w:ascii="Arial" w:cs="Arial" w:eastAsia="Arial" w:hAnsi="Arial"/>
          <w:sz w:val="12"/>
          <w:szCs w:val="12"/>
          <w:color w:val="auto"/>
        </w:rPr>
      </w:pPr>
      <w:r>
        <w:rPr>
          <w:rFonts w:ascii="Arial" w:cs="Arial" w:eastAsia="Arial" w:hAnsi="Arial"/>
          <w:sz w:val="12"/>
          <w:szCs w:val="12"/>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June 29, 2019 and June 30, 2018, the Company recorded $0.8 million and $ 0.3 million, respectively, in restructuring expenses related to this dispute, which consisted primarily of legal and other expenses. In the six months ended June 29, 2019 and June 30, 2018, the Company recorded $1.2 million and $0.6 million, respectively, in restructuring expenses related to this dispute, which consisted primarily of legal and other expenses. See </w:t>
      </w:r>
      <w:hyperlink w:anchor="page24">
        <w:r>
          <w:rPr>
            <w:rFonts w:ascii="Arial" w:cs="Arial" w:eastAsia="Arial" w:hAnsi="Arial"/>
            <w:sz w:val="12"/>
            <w:szCs w:val="12"/>
            <w:u w:val="single" w:color="auto"/>
            <w:color w:val="0000EE"/>
          </w:rPr>
          <w:t>Note 9</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for further information. As of June 29, 2019 and December 31, 2018, there were no accrued unpaid liabilities associated with this contract termination.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0"/>
          </w:cols>
          <w:pgMar w:left="220" w:top="305"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Inventories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Major classes of inventory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b w:val="1"/>
                <w:bCs w:val="1"/>
                <w:color w:val="auto"/>
              </w:rPr>
              <w:t>June 29,</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402"/>
              <w:spacing w:after="0"/>
              <w:rPr>
                <w:sz w:val="20"/>
                <w:szCs w:val="20"/>
                <w:color w:val="auto"/>
              </w:rPr>
            </w:pPr>
            <w:r>
              <w:rPr>
                <w:rFonts w:ascii="Arial" w:cs="Arial" w:eastAsia="Arial" w:hAnsi="Arial"/>
                <w:sz w:val="11"/>
                <w:szCs w:val="11"/>
                <w:b w:val="1"/>
                <w:bCs w:val="1"/>
                <w:color w:val="auto"/>
              </w:rPr>
              <w:t>December 31,</w:t>
            </w:r>
          </w:p>
        </w:tc>
      </w:tr>
      <w:tr>
        <w:trPr>
          <w:trHeight w:val="119"/>
        </w:trPr>
        <w:tc>
          <w:tcPr>
            <w:tcW w:w="81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060" w:type="dxa"/>
            <w:vAlign w:val="bottom"/>
          </w:tcPr>
          <w:p>
            <w:pPr>
              <w:jc w:val="right"/>
              <w:ind w:right="83"/>
              <w:spacing w:after="0" w:line="119" w:lineRule="exact"/>
              <w:rPr>
                <w:sz w:val="20"/>
                <w:szCs w:val="20"/>
                <w:color w:val="auto"/>
              </w:rPr>
            </w:pPr>
            <w:r>
              <w:rPr>
                <w:rFonts w:ascii="Arial" w:cs="Arial" w:eastAsia="Arial" w:hAnsi="Arial"/>
                <w:sz w:val="11"/>
                <w:szCs w:val="11"/>
                <w:b w:val="1"/>
                <w:bCs w:val="1"/>
                <w:color w:val="auto"/>
              </w:rPr>
              <w:t>2019</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622"/>
              <w:spacing w:after="0" w:line="119" w:lineRule="exact"/>
              <w:rPr>
                <w:sz w:val="20"/>
                <w:szCs w:val="20"/>
                <w:color w:val="auto"/>
              </w:rPr>
            </w:pPr>
            <w:r>
              <w:rPr>
                <w:rFonts w:ascii="Arial" w:cs="Arial" w:eastAsia="Arial" w:hAnsi="Arial"/>
                <w:sz w:val="11"/>
                <w:szCs w:val="11"/>
                <w:b w:val="1"/>
                <w:bCs w:val="1"/>
                <w:color w:val="auto"/>
              </w:rPr>
              <w:t>2018</w:t>
            </w: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2"/>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Raw materials and packaging</w:t>
            </w:r>
          </w:p>
        </w:tc>
        <w:tc>
          <w:tcPr>
            <w:tcW w:w="1060" w:type="dxa"/>
            <w:vAlign w:val="bottom"/>
          </w:tcPr>
          <w:p>
            <w:pPr>
              <w:jc w:val="right"/>
              <w:ind w:right="92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25,047</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13,756</w:t>
            </w:r>
          </w:p>
        </w:tc>
      </w:tr>
      <w:tr>
        <w:trPr>
          <w:trHeight w:val="185"/>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Work in process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2,517</w:t>
            </w:r>
          </w:p>
        </w:tc>
      </w:tr>
      <w:tr>
        <w:trPr>
          <w:trHeight w:val="176"/>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Finished goods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13,984</w:t>
            </w:r>
          </w:p>
        </w:tc>
      </w:tr>
      <w:tr>
        <w:trPr>
          <w:trHeight w:val="172"/>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42,695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30,257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Property, Plant and Equipment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Property, plant, and equipment are stated at cost and capital lease assets are included. A summary of property, plant, and equipment as of June 29, 2019 and December 31, 2018,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60" w:type="dxa"/>
            <w:vAlign w:val="bottom"/>
            <w:gridSpan w:val="3"/>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0"/>
                <w:szCs w:val="10"/>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29, 2019</w:t>
            </w:r>
          </w:p>
        </w:tc>
        <w:tc>
          <w:tcPr>
            <w:tcW w:w="200" w:type="dxa"/>
            <w:vAlign w:val="bottom"/>
          </w:tcPr>
          <w:p>
            <w:pPr>
              <w:spacing w:after="0"/>
              <w:rPr>
                <w:sz w:val="10"/>
                <w:szCs w:val="10"/>
                <w:color w:val="auto"/>
              </w:rPr>
            </w:pPr>
          </w:p>
        </w:tc>
        <w:tc>
          <w:tcPr>
            <w:tcW w:w="1400" w:type="dxa"/>
            <w:vAlign w:val="bottom"/>
          </w:tcPr>
          <w:p>
            <w:pPr>
              <w:jc w:val="right"/>
              <w:ind w:right="260"/>
              <w:spacing w:after="0"/>
              <w:rPr>
                <w:sz w:val="20"/>
                <w:szCs w:val="20"/>
                <w:color w:val="auto"/>
              </w:rPr>
            </w:pPr>
            <w:r>
              <w:rPr>
                <w:rFonts w:ascii="Arial" w:cs="Arial" w:eastAsia="Arial" w:hAnsi="Arial"/>
                <w:sz w:val="11"/>
                <w:szCs w:val="11"/>
                <w:b w:val="1"/>
                <w:bCs w:val="1"/>
                <w:color w:val="auto"/>
              </w:rPr>
              <w:t>December 31, 2018</w:t>
            </w: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2"/>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Manufacturing equipment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29,783</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25,314</w:t>
            </w:r>
          </w:p>
        </w:tc>
      </w:tr>
      <w:tr>
        <w:trPr>
          <w:trHeight w:val="185"/>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Research and development equipment</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6,088</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Leasehold improvements</w:t>
            </w:r>
          </w:p>
        </w:tc>
        <w:tc>
          <w:tcPr>
            <w:tcW w:w="260" w:type="dxa"/>
            <w:vAlign w:val="bottom"/>
          </w:tcPr>
          <w:p>
            <w:pPr>
              <w:spacing w:after="0"/>
              <w:rPr>
                <w:sz w:val="15"/>
                <w:szCs w:val="15"/>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7,337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7,080</w:t>
            </w:r>
          </w:p>
        </w:tc>
      </w:tr>
      <w:tr>
        <w:trPr>
          <w:trHeight w:val="185"/>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Capital leases</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882</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Software</w:t>
            </w:r>
          </w:p>
        </w:tc>
        <w:tc>
          <w:tcPr>
            <w:tcW w:w="260" w:type="dxa"/>
            <w:vAlign w:val="bottom"/>
          </w:tcPr>
          <w:p>
            <w:pPr>
              <w:spacing w:after="0"/>
              <w:rPr>
                <w:sz w:val="15"/>
                <w:szCs w:val="15"/>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60</w:t>
            </w:r>
          </w:p>
        </w:tc>
      </w:tr>
      <w:tr>
        <w:trPr>
          <w:trHeight w:val="185"/>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Vehicles</w:t>
            </w:r>
          </w:p>
        </w:tc>
        <w:tc>
          <w:tcPr>
            <w:tcW w:w="260" w:type="dxa"/>
            <w:vAlign w:val="bottom"/>
          </w:tcPr>
          <w:p>
            <w:pPr>
              <w:spacing w:after="0"/>
              <w:rPr>
                <w:sz w:val="15"/>
                <w:szCs w:val="15"/>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210</w:t>
            </w: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Assets not yet placed in service</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4,970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3,374</w:t>
            </w:r>
          </w:p>
        </w:tc>
      </w:tr>
      <w:tr>
        <w:trPr>
          <w:trHeight w:val="160"/>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Total property, plant and equipment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51,103</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43,203</w:t>
            </w: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depreciation and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16,630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12,676</w:t>
            </w:r>
          </w:p>
        </w:tc>
      </w:tr>
      <w:tr>
        <w:trPr>
          <w:trHeight w:val="172"/>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Property, plant and equipment, net</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34,473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30,527</w:t>
            </w:r>
          </w:p>
        </w:tc>
      </w:tr>
    </w:tbl>
    <w:p>
      <w:pPr>
        <w:spacing w:after="0" w:line="252"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Depreciation and amortization expense for the three months ended June 29, 2019 and June 30, 2018, was $2.1 million and $0.9 million, respectively. Of the total depreciation and amortization expense in the three months ended June 29, 2019 and June 30, 2018, $1.4 million and $0.7 million, respectively, were recorded in cost of goods sold and $0.6 million and $0.2 million, respectively, were recorded in research and development expenses, and $12,000 and $0, respectively, were recorded in SG&amp;A expenses, in the Company’s condensed statements of operations.</w:t>
      </w:r>
    </w:p>
    <w:p>
      <w:pPr>
        <w:spacing w:after="0" w:line="99" w:lineRule="exact"/>
        <w:rPr>
          <w:sz w:val="20"/>
          <w:szCs w:val="20"/>
          <w:color w:val="auto"/>
        </w:rPr>
      </w:pPr>
    </w:p>
    <w:p>
      <w:pPr>
        <w:ind w:right="280" w:firstLine="216"/>
        <w:spacing w:after="0" w:line="256" w:lineRule="auto"/>
        <w:rPr>
          <w:sz w:val="20"/>
          <w:szCs w:val="20"/>
          <w:color w:val="auto"/>
        </w:rPr>
      </w:pPr>
      <w:r>
        <w:rPr>
          <w:rFonts w:ascii="Arial" w:cs="Arial" w:eastAsia="Arial" w:hAnsi="Arial"/>
          <w:sz w:val="12"/>
          <w:szCs w:val="12"/>
          <w:color w:val="auto"/>
        </w:rPr>
        <w:t>Depreciation and amortization expense for the six months ended June 29, 2019 and June 30, 2018, was $4.0 million and $1.6 million, respectively. Of the total depreciation and amortization expense in the six months ended June 29, 2019 and June 30, 2018, $2.8 million and $1.3 million, respectively, were recorded in cost of goods sold and $1.1 million and $0.3 million, respectively, were recorded in research and development expenses, and $22,000 and $0, respectively, were recorded in SG&amp;A expenses, in the Company’s condensed statements of operations.</w:t>
      </w:r>
    </w:p>
    <w:p>
      <w:pPr>
        <w:spacing w:after="0" w:line="99"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The Company has $4.2 million and $1.0 million in property, plant and equipment concluded to meet the criteria for assets held for sale on the condensed balance sheets as of June 29, 2019 and December 31, 2018, respectively. The Company expects to sell such assets in 2019 for amounts that approximate book value.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305"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Debt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Company’s debt balances are detailed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60" w:type="dxa"/>
            <w:vAlign w:val="bottom"/>
            <w:gridSpan w:val="4"/>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0"/>
                <w:szCs w:val="10"/>
                <w:color w:val="auto"/>
              </w:rPr>
            </w:pPr>
          </w:p>
        </w:tc>
        <w:tc>
          <w:tcPr>
            <w:tcW w:w="146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29, 2019</w:t>
            </w:r>
          </w:p>
        </w:tc>
        <w:tc>
          <w:tcPr>
            <w:tcW w:w="200" w:type="dxa"/>
            <w:vAlign w:val="bottom"/>
          </w:tcPr>
          <w:p>
            <w:pPr>
              <w:spacing w:after="0"/>
              <w:rPr>
                <w:sz w:val="10"/>
                <w:szCs w:val="10"/>
                <w:color w:val="auto"/>
              </w:rPr>
            </w:pPr>
          </w:p>
        </w:tc>
        <w:tc>
          <w:tcPr>
            <w:tcW w:w="1400" w:type="dxa"/>
            <w:vAlign w:val="bottom"/>
          </w:tcPr>
          <w:p>
            <w:pPr>
              <w:jc w:val="right"/>
              <w:ind w:right="261"/>
              <w:spacing w:after="0"/>
              <w:rPr>
                <w:sz w:val="20"/>
                <w:szCs w:val="20"/>
                <w:color w:val="auto"/>
              </w:rPr>
            </w:pPr>
            <w:r>
              <w:rPr>
                <w:rFonts w:ascii="Arial" w:cs="Arial" w:eastAsia="Arial" w:hAnsi="Arial"/>
                <w:sz w:val="11"/>
                <w:szCs w:val="11"/>
                <w:b w:val="1"/>
                <w:bCs w:val="1"/>
                <w:color w:val="auto"/>
              </w:rPr>
              <w:t>December 31, 2018</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2"/>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7"/>
              </w:rPr>
              <w:t>2018</w:t>
            </w:r>
          </w:p>
        </w:tc>
        <w:tc>
          <w:tcPr>
            <w:tcW w:w="7860" w:type="dxa"/>
            <w:vAlign w:val="bottom"/>
            <w:gridSpan w:val="2"/>
          </w:tcPr>
          <w:p>
            <w:pPr>
              <w:ind w:left="20"/>
              <w:spacing w:after="0"/>
              <w:rPr>
                <w:sz w:val="20"/>
                <w:szCs w:val="20"/>
                <w:color w:val="auto"/>
              </w:rPr>
            </w:pPr>
            <w:r>
              <w:rPr>
                <w:rFonts w:ascii="Arial" w:cs="Arial" w:eastAsia="Arial" w:hAnsi="Arial"/>
                <w:sz w:val="12"/>
                <w:szCs w:val="12"/>
                <w:color w:val="auto"/>
              </w:rPr>
              <w:t>Revolving Credit Facility (defined below)</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6,000</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6,000</w:t>
            </w:r>
          </w:p>
        </w:tc>
      </w:tr>
      <w:tr>
        <w:trPr>
          <w:trHeight w:val="185"/>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2018</w:t>
            </w:r>
          </w:p>
        </w:tc>
        <w:tc>
          <w:tcPr>
            <w:tcW w:w="7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Term Loan Facility (defined below)</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20,000</w:t>
            </w:r>
          </w:p>
        </w:tc>
      </w:tr>
      <w:tr>
        <w:trPr>
          <w:trHeight w:val="176"/>
        </w:trPr>
        <w:tc>
          <w:tcPr>
            <w:tcW w:w="8160" w:type="dxa"/>
            <w:vAlign w:val="bottom"/>
            <w:gridSpan w:val="4"/>
          </w:tcPr>
          <w:p>
            <w:pPr>
              <w:ind w:left="20"/>
              <w:spacing w:after="0"/>
              <w:rPr>
                <w:sz w:val="20"/>
                <w:szCs w:val="20"/>
                <w:color w:val="auto"/>
              </w:rPr>
            </w:pPr>
            <w:r>
              <w:rPr>
                <w:rFonts w:ascii="Arial" w:cs="Arial" w:eastAsia="Arial" w:hAnsi="Arial"/>
                <w:sz w:val="12"/>
                <w:szCs w:val="12"/>
                <w:color w:val="auto"/>
              </w:rPr>
              <w:t>Equipment financing loan</w:t>
            </w:r>
          </w:p>
        </w:tc>
        <w:tc>
          <w:tcPr>
            <w:tcW w:w="260" w:type="dxa"/>
            <w:vAlign w:val="bottom"/>
          </w:tcPr>
          <w:p>
            <w:pPr>
              <w:spacing w:after="0"/>
              <w:rPr>
                <w:sz w:val="15"/>
                <w:szCs w:val="15"/>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5,000</w:t>
            </w:r>
          </w:p>
        </w:tc>
      </w:tr>
      <w:tr>
        <w:trPr>
          <w:trHeight w:val="180"/>
        </w:trPr>
        <w:tc>
          <w:tcPr>
            <w:tcW w:w="81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Debt issuance costs</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(533)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(612)</w:t>
            </w:r>
          </w:p>
        </w:tc>
      </w:tr>
      <w:tr>
        <w:trPr>
          <w:trHeight w:val="160"/>
        </w:trPr>
        <w:tc>
          <w:tcPr>
            <w:tcW w:w="8160" w:type="dxa"/>
            <w:vAlign w:val="bottom"/>
            <w:gridSpan w:val="4"/>
          </w:tcPr>
          <w:p>
            <w:pPr>
              <w:ind w:left="20"/>
              <w:spacing w:after="0"/>
              <w:rPr>
                <w:sz w:val="20"/>
                <w:szCs w:val="20"/>
                <w:color w:val="auto"/>
              </w:rPr>
            </w:pPr>
            <w:r>
              <w:rPr>
                <w:rFonts w:ascii="Arial" w:cs="Arial" w:eastAsia="Arial" w:hAnsi="Arial"/>
                <w:sz w:val="12"/>
                <w:szCs w:val="12"/>
                <w:color w:val="auto"/>
              </w:rPr>
              <w:t>Total debt outstanding</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30,467</w:t>
            </w:r>
          </w:p>
        </w:tc>
        <w:tc>
          <w:tcPr>
            <w:tcW w:w="10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30,388</w:t>
            </w:r>
          </w:p>
        </w:tc>
      </w:tr>
      <w:tr>
        <w:trPr>
          <w:trHeight w:val="180"/>
        </w:trPr>
        <w:tc>
          <w:tcPr>
            <w:tcW w:w="81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Less: current portion of long-term debt</w:t>
            </w:r>
          </w:p>
        </w:tc>
        <w:tc>
          <w:tcPr>
            <w:tcW w:w="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6,000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2"/>
        </w:trPr>
        <w:tc>
          <w:tcPr>
            <w:tcW w:w="8160" w:type="dxa"/>
            <w:vAlign w:val="bottom"/>
            <w:gridSpan w:val="4"/>
          </w:tcPr>
          <w:p>
            <w:pPr>
              <w:ind w:left="20"/>
              <w:spacing w:after="0"/>
              <w:rPr>
                <w:sz w:val="20"/>
                <w:szCs w:val="20"/>
                <w:color w:val="auto"/>
              </w:rPr>
            </w:pPr>
            <w:r>
              <w:rPr>
                <w:rFonts w:ascii="Arial" w:cs="Arial" w:eastAsia="Arial" w:hAnsi="Arial"/>
                <w:sz w:val="12"/>
                <w:szCs w:val="12"/>
                <w:color w:val="auto"/>
              </w:rPr>
              <w:t>Long-term debt</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24,467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30,388</w:t>
            </w:r>
          </w:p>
        </w:tc>
      </w:tr>
    </w:tbl>
    <w:p>
      <w:pPr>
        <w:spacing w:after="0" w:line="252"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The Company records debt issuance costs as a reduction of carrying value of the debt in the accompanying condensed balance sheets. Debt issuance costs, net of amortization, totaled $0.5 million and $0.6 million as of June 29, 2019 and December 31, 2018, respectively. Debt issuance costs are amortized as interest expense over the term of the loan for which amortization of $20,000 and $26,000 was recorded during the three months ended June 29, 2019 and June 30, 2018, respectively, and $78,000 and $35,000 was recorded during the six months ended June 29, 2019 and June 30, 2018, respectively.</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Amended and Restated Loan and Security Agreement</w:t>
      </w:r>
    </w:p>
    <w:p>
      <w:pPr>
        <w:spacing w:after="0" w:line="128"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In June 2018, the Company refinanced its then existing revolving credit facility and term loan facility under a loan and security agreement with Silicon Valley Bank (“SVB”) (the “Amended LSA”). The Amended LSA includes a $ 6.0 million revolving credit facility (the “2018 Revolving Credit Facility”) and a term loan facility (the “2018 Term Loan Facility”)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03" w:lineRule="exact"/>
        <w:rPr>
          <w:sz w:val="20"/>
          <w:szCs w:val="20"/>
          <w:color w:val="auto"/>
        </w:rPr>
      </w:pPr>
    </w:p>
    <w:p>
      <w:pPr>
        <w:jc w:val="both"/>
        <w:ind w:right="340" w:firstLine="216"/>
        <w:spacing w:after="0" w:line="254" w:lineRule="auto"/>
        <w:rPr>
          <w:sz w:val="20"/>
          <w:szCs w:val="20"/>
          <w:color w:val="auto"/>
        </w:rPr>
      </w:pPr>
      <w:r>
        <w:rPr>
          <w:rFonts w:ascii="Arial" w:cs="Arial" w:eastAsia="Arial" w:hAnsi="Arial"/>
          <w:sz w:val="12"/>
          <w:szCs w:val="12"/>
          <w:color w:val="auto"/>
        </w:rPr>
        <w:t>The 2018 Term Loan Facility and the 2018 Revolving Credit Facility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 The Company was in compliance with the covenants in the SVB Credit Facilities as of June 29, 2019.</w:t>
      </w:r>
    </w:p>
    <w:p>
      <w:pPr>
        <w:spacing w:after="0" w:line="100"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As of June 29, 2019 and December 31, 2018, the Company had $6.0 million and $20.0 million in borrowings on the 2018 Revolving Credit Facility and 2018 Term Loan Facility, respectively, and had no availability to borrow under either of these loan facilities. In the three months ended June 29, 2019 and June 30, 2018, the Company incurred $0.5 million and $22,000, respectively, in interest expense related to the SVB credit facilities. In the six months ended June 29, 2019 and June 30, 2018, the Company incurred $1.1 million and $40,000, respectively, in interest expense related to the SVB credit facilities. The interest rates on the 2018 Revolving Credit Facility and the 2018 Term Loan Facility at June 29, 2019 were 6.25% and 9.50%,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305"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Equipment Loan Facility</w:t>
      </w:r>
    </w:p>
    <w:p>
      <w:pPr>
        <w:spacing w:after="0" w:line="128" w:lineRule="exact"/>
        <w:rPr>
          <w:sz w:val="20"/>
          <w:szCs w:val="20"/>
          <w:color w:val="auto"/>
        </w:rPr>
      </w:pPr>
    </w:p>
    <w:p>
      <w:pPr>
        <w:ind w:right="200" w:firstLine="216"/>
        <w:spacing w:after="0" w:line="254" w:lineRule="auto"/>
        <w:rPr>
          <w:sz w:val="20"/>
          <w:szCs w:val="20"/>
          <w:color w:val="auto"/>
        </w:rPr>
      </w:pPr>
      <w:r>
        <w:rPr>
          <w:rFonts w:ascii="Arial" w:cs="Arial" w:eastAsia="Arial" w:hAnsi="Arial"/>
          <w:sz w:val="12"/>
          <w:szCs w:val="12"/>
          <w:color w:val="auto"/>
        </w:rPr>
        <w:t>The Company had $ 5.0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the Company recorded $0.2 million and $0, respectively, in interest expense related to the equipment loan facility. For the six months ended June 29, 2019 and June 30, 2018, the Company recorded $0.3 million and $0, respectively, in interest expense related to the equipment loan facility. The Company was in compliance with the covenants contained in the equipment loan facility as of June 29, 2019.</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Warrant Liabilities</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 xml:space="preserve">In connection with its financing arrangements, the Company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In connection with the Company’s refinancing of its credit facilities with SVB, the Company issued to SVB and its affiliates warrants to purchase an aggregate of 60,002 shares of its common stock at an exercise price of $3.00 per share. Upon the closing of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 and no warrants were outstanding as of June 29, 2019. See </w:t>
      </w:r>
      <w:r>
        <w:rPr>
          <w:rFonts w:ascii="Arial" w:cs="Arial" w:eastAsia="Arial" w:hAnsi="Arial"/>
          <w:sz w:val="12"/>
          <w:szCs w:val="12"/>
          <w:u w:val="single" w:color="auto"/>
          <w:color w:val="0000FF"/>
        </w:rPr>
        <w:t>Note 2</w:t>
      </w:r>
      <w:r>
        <w:rPr>
          <w:rFonts w:ascii="Arial" w:cs="Arial" w:eastAsia="Arial" w:hAnsi="Arial"/>
          <w:sz w:val="12"/>
          <w:szCs w:val="12"/>
          <w:color w:val="auto"/>
        </w:rPr>
        <w:t xml:space="preserve"> for further information on the warrant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Stockholders’ Equity (Deficit) and Convertible Preferred Stock</w:t>
      </w:r>
    </w:p>
    <w:p>
      <w:pPr>
        <w:spacing w:after="0" w:line="128"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Upon the closing of the IPO, all outstanding shares of the Company’s convertible preferred stock automatically converted into 41,562,111 shares of common stock on a one-for-one basis. On May 6, 2019, the Company filed an Amended and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 As of June 29, 2019, the Company had 60,167,521 shares of common stock issued and outstanding.</w:t>
      </w:r>
    </w:p>
    <w:p>
      <w:pPr>
        <w:spacing w:after="0" w:line="100" w:lineRule="exact"/>
        <w:rPr>
          <w:sz w:val="20"/>
          <w:szCs w:val="20"/>
          <w:color w:val="auto"/>
        </w:rPr>
      </w:pPr>
    </w:p>
    <w:p>
      <w:pPr>
        <w:ind w:right="320" w:firstLine="216"/>
        <w:spacing w:after="0" w:line="254" w:lineRule="auto"/>
        <w:rPr>
          <w:sz w:val="20"/>
          <w:szCs w:val="20"/>
          <w:color w:val="auto"/>
        </w:rPr>
      </w:pPr>
      <w:r>
        <w:rPr>
          <w:rFonts w:ascii="Arial" w:cs="Arial" w:eastAsia="Arial" w:hAnsi="Arial"/>
          <w:sz w:val="12"/>
          <w:szCs w:val="12"/>
          <w:color w:val="auto"/>
        </w:rPr>
        <w:t>As of December 31, 2018, the Company’s shares consisted of 58,669,600 authorized shares of common stock, par value $0.0001 per share, of which 6,951,350 shares were issued and outstanding, and 43,882,867 authorized shares of preferred stock, par value $0.0001 per share, of which 3,333,500 shares of Series A Preferred Stock, 4,680,565 shares of Series B Preferred Stock, 8,076,636 shares of Series C Preferred Stock, 8,713,201 shares of Series D Preferred Stock, 4,701,449 shares of Series E Preferred Stock, 4,866,758 shares of Series F Preferred Stock, 5,114,786 shares of Series G Preferred Stock and 2,075,216 shares of Series H Preferred Stock were issued and outstanding.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Share-Based Compensation</w:t>
      </w:r>
    </w:p>
    <w:p>
      <w:pPr>
        <w:spacing w:after="0" w:line="128"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305"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The remaining shares available for issuance under the 2011 Plan were added to the shares reserved for issuance under the 2018 Plan.</w:t>
      </w:r>
    </w:p>
    <w:p>
      <w:pPr>
        <w:spacing w:after="0" w:line="114"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The 2018 Plan provides for the grant of stock options (including incentive stock options and non-qualified stock options), stock appreciation rights, restricted stock, RSUs, performance units, and performance shares to the Company’s employees, directors, and consultants. The maximum aggregate number of shares that may be issued under the 2018 Plan is 14,482,356 shares of the Company’s common stock. In addition, 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the Company’s Board of Directors.</w:t>
      </w:r>
    </w:p>
    <w:p>
      <w:pPr>
        <w:spacing w:after="0" w:line="100" w:lineRule="exact"/>
        <w:rPr>
          <w:sz w:val="20"/>
          <w:szCs w:val="20"/>
          <w:color w:val="auto"/>
        </w:rPr>
      </w:pPr>
    </w:p>
    <w:p>
      <w:pPr>
        <w:ind w:right="340" w:firstLine="216"/>
        <w:spacing w:after="0" w:line="256" w:lineRule="auto"/>
        <w:rPr>
          <w:sz w:val="20"/>
          <w:szCs w:val="20"/>
          <w:color w:val="auto"/>
        </w:rPr>
      </w:pPr>
      <w:r>
        <w:rPr>
          <w:rFonts w:ascii="Arial" w:cs="Arial" w:eastAsia="Arial" w:hAnsi="Arial"/>
          <w:sz w:val="12"/>
          <w:szCs w:val="12"/>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99"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The following grants were made pursuant to the 2018 Plan in the six months ended June 29, 2019: (i) options to purchase 264,033 shares of common stock were granted to certain employees on April 3, 2019, having an exercise price of $20.02 per share, (ii) options to purchase (A) 1,000,000 shares of common stock were granted to executive officers on April 18, 2019, (B) 48,999 shares of common stock were granted to certain employees on April 29, 2019, and (C) 50,000 shares of common stock were granted to certain executive officers on May 1, 2019, in each case to be effective upon and subject to the effectiveness of the registration statement relating to the Company’s IPO and having an exercise price equal to the IPO price of $25.00 per share, (iii) awards covering 99,433 shares of restricted stock were granted to nonemployees on April 18, 2019 at a purchase price of $0.01 per share to be issued upon payment of the purchase price, (iv) an option to purchase 125,000 shares of common stock was granted to an executive officer on June 10, 2019, having an exercise price of $168.10 per share, and (v) 70,360 RSUs with a grant date fair value of $168.10 were granted to certain employees on June 10, 2019.</w:t>
      </w:r>
    </w:p>
    <w:p>
      <w:pPr>
        <w:spacing w:after="0" w:line="103" w:lineRule="exact"/>
        <w:rPr>
          <w:sz w:val="20"/>
          <w:szCs w:val="20"/>
          <w:color w:val="auto"/>
        </w:rPr>
      </w:pPr>
    </w:p>
    <w:p>
      <w:pPr>
        <w:ind w:right="400" w:firstLine="216"/>
        <w:spacing w:after="0" w:line="307" w:lineRule="auto"/>
        <w:rPr>
          <w:sz w:val="20"/>
          <w:szCs w:val="20"/>
          <w:color w:val="auto"/>
        </w:rPr>
      </w:pPr>
      <w:r>
        <w:rPr>
          <w:rFonts w:ascii="Arial" w:cs="Arial" w:eastAsia="Arial" w:hAnsi="Arial"/>
          <w:sz w:val="11"/>
          <w:szCs w:val="11"/>
          <w:color w:val="auto"/>
        </w:rPr>
        <w:t>As of June 29, 2019 and December 31, 2018, there were 6,245,103 and 5,120,293 shares, respectively, issuable under stock options outstanding, 70,360 and 0 shares, respectively, issuable under RSUs outstanding, 4,705,766 and 4,335,331 shares, respectively, issued for stock option exercises and restricted stock grants, and 3,437,794 and 6,859 shares, respectively, available for grants under the 2018 Plan.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Stock Options</w:t>
      </w:r>
    </w:p>
    <w:p>
      <w:pPr>
        <w:spacing w:after="0" w:line="128" w:lineRule="exact"/>
        <w:rPr>
          <w:sz w:val="20"/>
          <w:szCs w:val="20"/>
          <w:color w:val="auto"/>
        </w:rPr>
      </w:pPr>
    </w:p>
    <w:p>
      <w:pPr>
        <w:ind w:right="120" w:firstLine="216"/>
        <w:spacing w:after="0" w:line="262" w:lineRule="auto"/>
        <w:rPr>
          <w:sz w:val="20"/>
          <w:szCs w:val="20"/>
          <w:color w:val="auto"/>
        </w:rPr>
      </w:pPr>
      <w:r>
        <w:rPr>
          <w:rFonts w:ascii="Arial" w:cs="Arial" w:eastAsia="Arial" w:hAnsi="Arial"/>
          <w:sz w:val="12"/>
          <w:szCs w:val="12"/>
          <w:color w:val="auto"/>
        </w:rPr>
        <w:t>Option grants in the six months ended June 29, 2019 vest 25% of the total award on the first anniversary of the vesting commencement date, and thereafter ratably vesting monthly over the remaining three-year period.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305" w:right="2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Company’s stock option activity during the six months ended June 29,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506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6"/>
              </w:rPr>
              <w:t>Weighted</w:t>
            </w: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w:t>
            </w: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6"/>
        </w:trPr>
        <w:tc>
          <w:tcPr>
            <w:tcW w:w="506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5"/>
              </w:rPr>
              <w:t>of</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Average</w:t>
            </w: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Remaining</w:t>
            </w:r>
          </w:p>
        </w:tc>
        <w:tc>
          <w:tcPr>
            <w:tcW w:w="160" w:type="dxa"/>
            <w:vAlign w:val="bottom"/>
          </w:tcPr>
          <w:p>
            <w:pPr>
              <w:spacing w:after="0"/>
              <w:rPr>
                <w:sz w:val="10"/>
                <w:szCs w:val="10"/>
                <w:color w:val="auto"/>
              </w:rPr>
            </w:pPr>
          </w:p>
        </w:tc>
        <w:tc>
          <w:tcPr>
            <w:tcW w:w="1440" w:type="dxa"/>
            <w:vAlign w:val="bottom"/>
          </w:tcPr>
          <w:p>
            <w:pPr>
              <w:jc w:val="center"/>
              <w:ind w:right="102"/>
              <w:spacing w:after="0"/>
              <w:rPr>
                <w:sz w:val="20"/>
                <w:szCs w:val="20"/>
                <w:color w:val="auto"/>
              </w:rPr>
            </w:pPr>
            <w:r>
              <w:rPr>
                <w:rFonts w:ascii="Arial" w:cs="Arial" w:eastAsia="Arial" w:hAnsi="Arial"/>
                <w:sz w:val="11"/>
                <w:szCs w:val="11"/>
                <w:b w:val="1"/>
                <w:bCs w:val="1"/>
                <w:color w:val="auto"/>
                <w:w w:val="95"/>
              </w:rPr>
              <w:t>Aggregate</w:t>
            </w:r>
          </w:p>
        </w:tc>
      </w:tr>
      <w:tr>
        <w:trPr>
          <w:trHeight w:val="126"/>
        </w:trPr>
        <w:tc>
          <w:tcPr>
            <w:tcW w:w="506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7"/>
              </w:rPr>
              <w:t>Exercise</w:t>
            </w:r>
          </w:p>
        </w:tc>
        <w:tc>
          <w:tcPr>
            <w:tcW w:w="1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Contractual</w:t>
            </w:r>
          </w:p>
        </w:tc>
        <w:tc>
          <w:tcPr>
            <w:tcW w:w="160" w:type="dxa"/>
            <w:vAlign w:val="bottom"/>
          </w:tcPr>
          <w:p>
            <w:pPr>
              <w:spacing w:after="0"/>
              <w:rPr>
                <w:sz w:val="10"/>
                <w:szCs w:val="10"/>
                <w:color w:val="auto"/>
              </w:rPr>
            </w:pPr>
          </w:p>
        </w:tc>
        <w:tc>
          <w:tcPr>
            <w:tcW w:w="1440" w:type="dxa"/>
            <w:vAlign w:val="bottom"/>
          </w:tcPr>
          <w:p>
            <w:pPr>
              <w:jc w:val="center"/>
              <w:ind w:right="122"/>
              <w:spacing w:after="0"/>
              <w:rPr>
                <w:sz w:val="20"/>
                <w:szCs w:val="20"/>
                <w:color w:val="auto"/>
              </w:rPr>
            </w:pPr>
            <w:r>
              <w:rPr>
                <w:rFonts w:ascii="Arial" w:cs="Arial" w:eastAsia="Arial" w:hAnsi="Arial"/>
                <w:sz w:val="11"/>
                <w:szCs w:val="11"/>
                <w:b w:val="1"/>
                <w:bCs w:val="1"/>
                <w:color w:val="auto"/>
                <w:w w:val="98"/>
              </w:rPr>
              <w:t>Intrinsic</w:t>
            </w:r>
          </w:p>
        </w:tc>
      </w:tr>
      <w:tr>
        <w:trPr>
          <w:trHeight w:val="155"/>
        </w:trPr>
        <w:tc>
          <w:tcPr>
            <w:tcW w:w="50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42"/>
              <w:spacing w:after="0"/>
              <w:rPr>
                <w:sz w:val="20"/>
                <w:szCs w:val="20"/>
                <w:color w:val="auto"/>
              </w:rPr>
            </w:pPr>
            <w:r>
              <w:rPr>
                <w:rFonts w:ascii="Arial" w:cs="Arial" w:eastAsia="Arial" w:hAnsi="Arial"/>
                <w:sz w:val="11"/>
                <w:szCs w:val="11"/>
                <w:b w:val="1"/>
                <w:bCs w:val="1"/>
                <w:color w:val="auto"/>
                <w:w w:val="96"/>
              </w:rPr>
              <w:t>Price</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Life (Years)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1"/>
                <w:szCs w:val="11"/>
                <w:b w:val="1"/>
                <w:bCs w:val="1"/>
                <w:color w:val="auto"/>
                <w:w w:val="96"/>
              </w:rPr>
              <w:t>Value (in thousands)</w:t>
            </w:r>
            <w:r>
              <w:rPr>
                <w:rFonts w:ascii="Arial" w:cs="Arial" w:eastAsia="Arial" w:hAnsi="Arial"/>
                <w:sz w:val="14"/>
                <w:szCs w:val="14"/>
                <w:b w:val="1"/>
                <w:bCs w:val="1"/>
                <w:color w:val="auto"/>
                <w:w w:val="96"/>
                <w:vertAlign w:val="superscript"/>
              </w:rPr>
              <w:t>(1)</w:t>
            </w:r>
          </w:p>
        </w:tc>
      </w:tr>
      <w:tr>
        <w:trPr>
          <w:trHeight w:val="16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Outstanding at December 31, 2018</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5,120,293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3.13</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81,371</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1,488,032</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36.14</w:t>
            </w:r>
          </w:p>
        </w:tc>
        <w:tc>
          <w:tcPr>
            <w:tcW w:w="10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(294,335)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7,328</w:t>
            </w:r>
          </w:p>
        </w:tc>
      </w:tr>
      <w:tr>
        <w:trPr>
          <w:trHeight w:val="17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Cancelled/Forfeited</w:t>
            </w: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(68,887)</w:t>
            </w:r>
          </w:p>
        </w:tc>
        <w:tc>
          <w:tcPr>
            <w:tcW w:w="4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7.02</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2"/>
                <w:szCs w:val="12"/>
                <w:color w:val="auto"/>
                <w:w w:val="99"/>
              </w:rPr>
              <w:t>—</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at June 29, 2019</w:t>
            </w: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6,245,103</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11.01</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935,616</w:t>
            </w:r>
          </w:p>
        </w:tc>
      </w:tr>
      <w:tr>
        <w:trPr>
          <w:trHeight w:val="154"/>
        </w:trPr>
        <w:tc>
          <w:tcPr>
            <w:tcW w:w="5060" w:type="dxa"/>
            <w:vAlign w:val="bottom"/>
          </w:tcPr>
          <w:p>
            <w:pPr>
              <w:ind w:left="20"/>
              <w:spacing w:after="0"/>
              <w:rPr>
                <w:sz w:val="20"/>
                <w:szCs w:val="20"/>
                <w:color w:val="auto"/>
              </w:rPr>
            </w:pPr>
            <w:r>
              <w:rPr>
                <w:rFonts w:ascii="Arial" w:cs="Arial" w:eastAsia="Arial" w:hAnsi="Arial"/>
                <w:sz w:val="12"/>
                <w:szCs w:val="12"/>
                <w:b w:val="1"/>
                <w:bCs w:val="1"/>
                <w:color w:val="auto"/>
              </w:rPr>
              <w:t>Vested and exercisable at June 29, 2019</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3,091,340</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492,807</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Vested and expected to vest at June 29, 2019</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4,419,185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686,118</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 Aggregate intrinsic value is calculated as the difference between the value of common stock on the transaction date and the exercise price multiplied by the number of shares issuable under the stock option.</w:t>
      </w:r>
    </w:p>
    <w:p>
      <w:pPr>
        <w:spacing w:after="0" w:line="114" w:lineRule="exact"/>
        <w:rPr>
          <w:sz w:val="20"/>
          <w:szCs w:val="20"/>
          <w:color w:val="auto"/>
        </w:rPr>
      </w:pPr>
    </w:p>
    <w:p>
      <w:pPr>
        <w:ind w:right="120" w:firstLine="216"/>
        <w:spacing w:after="0" w:line="254" w:lineRule="auto"/>
        <w:rPr>
          <w:sz w:val="20"/>
          <w:szCs w:val="20"/>
          <w:color w:val="auto"/>
        </w:rPr>
      </w:pPr>
      <w:r>
        <w:rPr>
          <w:rFonts w:ascii="Arial" w:cs="Arial" w:eastAsia="Arial" w:hAnsi="Arial"/>
          <w:sz w:val="12"/>
          <w:szCs w:val="12"/>
          <w:color w:val="auto"/>
        </w:rPr>
        <w:t>During the three months ended June 29, 2019 and June 30, 2018, the Company recorded in aggregate $1.2 million and $0.5 million, respectively, of share-based compensation expense related to options issued to employees and nonemployees. During the six months ended June 29, 2019 and June 30, 2018, the Company recorded in aggregate $1.8 million and $0.7 million, respectively, of share-based compensation expense related to options issued to employees and nonemployees. The share-based compensation expense is included in cost of goods sold and SG&amp;A expenses in the Company’s condensed statements of operations.</w:t>
      </w:r>
    </w:p>
    <w:p>
      <w:pPr>
        <w:spacing w:after="0" w:line="100"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As of June 29, 2019 and December 31, 2018, there was $9.5 million and $2.4 million in unrecognized compensation expense related to nonvested stock option awards which is expected to be recognized over 3.5 years and 2.9 years, respectively.</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RSU grants in the six months ended June 29, 2019 vest 25% of the total award on the first anniversary of the grant date, and thereafter ratably vesting quarterly over the remaining three years of the award.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following table summarizes the Company’s RSU activity during the six months ended June 29,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right="43"/>
              <w:spacing w:after="0"/>
              <w:rPr>
                <w:sz w:val="20"/>
                <w:szCs w:val="20"/>
                <w:color w:val="auto"/>
              </w:rPr>
            </w:pPr>
            <w:r>
              <w:rPr>
                <w:rFonts w:ascii="Arial" w:cs="Arial" w:eastAsia="Arial" w:hAnsi="Arial"/>
                <w:sz w:val="11"/>
                <w:szCs w:val="11"/>
                <w:b w:val="1"/>
                <w:bCs w:val="1"/>
                <w:color w:val="auto"/>
                <w:w w:val="96"/>
              </w:rPr>
              <w:t>Weighted</w:t>
            </w:r>
          </w:p>
        </w:tc>
      </w:tr>
      <w:tr>
        <w:trPr>
          <w:trHeight w:val="126"/>
        </w:trPr>
        <w:tc>
          <w:tcPr>
            <w:tcW w:w="80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right="63"/>
              <w:spacing w:after="0"/>
              <w:rPr>
                <w:sz w:val="20"/>
                <w:szCs w:val="20"/>
                <w:color w:val="auto"/>
              </w:rPr>
            </w:pPr>
            <w:r>
              <w:rPr>
                <w:rFonts w:ascii="Arial" w:cs="Arial" w:eastAsia="Arial" w:hAnsi="Arial"/>
                <w:sz w:val="11"/>
                <w:szCs w:val="11"/>
                <w:b w:val="1"/>
                <w:bCs w:val="1"/>
                <w:color w:val="auto"/>
                <w:w w:val="96"/>
              </w:rPr>
              <w:t>Average</w:t>
            </w:r>
          </w:p>
        </w:tc>
      </w:tr>
      <w:tr>
        <w:trPr>
          <w:trHeight w:val="126"/>
        </w:trPr>
        <w:tc>
          <w:tcPr>
            <w:tcW w:w="80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right="63"/>
              <w:spacing w:after="0"/>
              <w:rPr>
                <w:sz w:val="20"/>
                <w:szCs w:val="20"/>
                <w:color w:val="auto"/>
              </w:rPr>
            </w:pPr>
            <w:r>
              <w:rPr>
                <w:rFonts w:ascii="Arial" w:cs="Arial" w:eastAsia="Arial" w:hAnsi="Arial"/>
                <w:sz w:val="11"/>
                <w:szCs w:val="11"/>
                <w:b w:val="1"/>
                <w:bCs w:val="1"/>
                <w:color w:val="auto"/>
                <w:w w:val="97"/>
              </w:rPr>
              <w:t>Grant Date Fair Value Per</w:t>
            </w:r>
          </w:p>
        </w:tc>
      </w:tr>
      <w:tr>
        <w:trPr>
          <w:trHeight w:val="148"/>
        </w:trPr>
        <w:tc>
          <w:tcPr>
            <w:tcW w:w="802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97"/>
              </w:rPr>
              <w:t>Share</w:t>
            </w:r>
          </w:p>
        </w:tc>
      </w:tr>
      <w:tr>
        <w:trPr>
          <w:trHeight w:val="167"/>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Unvested at January 1, 2019</w:t>
            </w: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Granted</w:t>
            </w:r>
          </w:p>
        </w:tc>
        <w:tc>
          <w:tcPr>
            <w:tcW w:w="16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70,360</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CCEEFF"/>
            </w:tcBorders>
          </w:tcPr>
          <w:p>
            <w:pPr>
              <w:jc w:val="right"/>
              <w:ind w:right="63"/>
              <w:spacing w:after="0"/>
              <w:rPr>
                <w:sz w:val="20"/>
                <w:szCs w:val="20"/>
                <w:color w:val="auto"/>
              </w:rPr>
            </w:pPr>
            <w:r>
              <w:rPr>
                <w:rFonts w:ascii="Arial" w:cs="Arial" w:eastAsia="Arial" w:hAnsi="Arial"/>
                <w:sz w:val="12"/>
                <w:szCs w:val="12"/>
                <w:color w:val="auto"/>
              </w:rPr>
              <w:t>168.10</w:t>
            </w:r>
          </w:p>
        </w:tc>
      </w:tr>
      <w:tr>
        <w:trPr>
          <w:trHeight w:val="17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Unvested at June 29, 2019</w:t>
            </w:r>
          </w:p>
        </w:tc>
        <w:tc>
          <w:tcPr>
            <w:tcW w:w="1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70,360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168.10</w:t>
            </w:r>
          </w:p>
        </w:tc>
      </w:tr>
    </w:tbl>
    <w:p>
      <w:pPr>
        <w:spacing w:after="0" w:line="2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three months ended June 29, 2019 and June 30, 2018, the Company recorded in aggregate $89,000 and $0, respectively, of share-based compensation expense related to RSUs granted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305"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color w:val="auto"/>
        </w:rPr>
        <w:t>to employees. During the six months ended June 29, 2019 and June 30, 2018, the Company recorded in aggregate $89,000 and $0, respectively, of share-based compensation expense related to RSUs granted to employees. The share-based compensation expense is included in cost of goods sold and SG&amp;A expenses in the Company’s condensed statements of operations.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29, 2019 and December 31, 2018, there was $2.9 million and $0 in unrecognized compensation expense related to nonvested RSUs which is expected to be recognized over 3.9 years.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Restricted Stock to Nonemployees</w:t>
      </w:r>
    </w:p>
    <w:p>
      <w:pPr>
        <w:spacing w:after="0" w:line="128" w:lineRule="exact"/>
        <w:rPr>
          <w:sz w:val="20"/>
          <w:szCs w:val="20"/>
          <w:color w:val="auto"/>
        </w:rPr>
      </w:pPr>
    </w:p>
    <w:p>
      <w:pPr>
        <w:jc w:val="both"/>
        <w:ind w:right="120" w:firstLine="216"/>
        <w:spacing w:after="0" w:line="256" w:lineRule="auto"/>
        <w:rPr>
          <w:sz w:val="20"/>
          <w:szCs w:val="20"/>
          <w:color w:val="auto"/>
        </w:rPr>
      </w:pPr>
      <w:r>
        <w:rPr>
          <w:rFonts w:ascii="Arial" w:cs="Arial" w:eastAsia="Arial" w:hAnsi="Arial"/>
          <w:sz w:val="12"/>
          <w:szCs w:val="12"/>
          <w:color w:val="auto"/>
        </w:rPr>
        <w:t>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will be released from the repurchase option by May 18, 2021).</w:t>
      </w:r>
    </w:p>
    <w:p>
      <w:pPr>
        <w:spacing w:after="0" w:line="99" w:lineRule="exact"/>
        <w:rPr>
          <w:sz w:val="20"/>
          <w:szCs w:val="20"/>
          <w:color w:val="auto"/>
        </w:rPr>
      </w:pPr>
    </w:p>
    <w:p>
      <w:pPr>
        <w:ind w:right="200" w:firstLine="216"/>
        <w:spacing w:after="0" w:line="256" w:lineRule="auto"/>
        <w:rPr>
          <w:sz w:val="20"/>
          <w:szCs w:val="20"/>
          <w:color w:val="auto"/>
        </w:rPr>
      </w:pPr>
      <w:r>
        <w:rPr>
          <w:rFonts w:ascii="Arial" w:cs="Arial" w:eastAsia="Arial" w:hAnsi="Arial"/>
          <w:sz w:val="12"/>
          <w:szCs w:val="12"/>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Company’s restricted stock activity during the six months ended June 29,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Weighted</w:t>
            </w:r>
          </w:p>
        </w:tc>
        <w:tc>
          <w:tcPr>
            <w:tcW w:w="300" w:type="dxa"/>
            <w:vAlign w:val="bottom"/>
          </w:tcPr>
          <w:p>
            <w:pPr>
              <w:spacing w:after="0"/>
              <w:rPr>
                <w:sz w:val="10"/>
                <w:szCs w:val="10"/>
                <w:color w:val="auto"/>
              </w:rPr>
            </w:pPr>
          </w:p>
        </w:tc>
        <w:tc>
          <w:tcPr>
            <w:tcW w:w="1300" w:type="dxa"/>
            <w:vAlign w:val="bottom"/>
          </w:tcPr>
          <w:p>
            <w:pPr>
              <w:jc w:val="center"/>
              <w:ind w:right="243"/>
              <w:spacing w:after="0"/>
              <w:rPr>
                <w:sz w:val="20"/>
                <w:szCs w:val="20"/>
                <w:color w:val="auto"/>
              </w:rPr>
            </w:pPr>
            <w:r>
              <w:rPr>
                <w:rFonts w:ascii="Arial" w:cs="Arial" w:eastAsia="Arial" w:hAnsi="Arial"/>
                <w:sz w:val="11"/>
                <w:szCs w:val="11"/>
                <w:b w:val="1"/>
                <w:bCs w:val="1"/>
                <w:color w:val="auto"/>
                <w:w w:val="96"/>
              </w:rPr>
              <w:t>Weighted</w:t>
            </w:r>
          </w:p>
        </w:tc>
      </w:tr>
      <w:tr>
        <w:trPr>
          <w:trHeight w:val="126"/>
        </w:trPr>
        <w:tc>
          <w:tcPr>
            <w:tcW w:w="6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w:t>
            </w:r>
          </w:p>
        </w:tc>
        <w:tc>
          <w:tcPr>
            <w:tcW w:w="300" w:type="dxa"/>
            <w:vAlign w:val="bottom"/>
          </w:tcPr>
          <w:p>
            <w:pPr>
              <w:spacing w:after="0"/>
              <w:rPr>
                <w:sz w:val="10"/>
                <w:szCs w:val="10"/>
                <w:color w:val="auto"/>
              </w:rPr>
            </w:pPr>
          </w:p>
        </w:tc>
        <w:tc>
          <w:tcPr>
            <w:tcW w:w="1300" w:type="dxa"/>
            <w:vAlign w:val="bottom"/>
          </w:tcPr>
          <w:p>
            <w:pPr>
              <w:jc w:val="center"/>
              <w:ind w:right="243"/>
              <w:spacing w:after="0"/>
              <w:rPr>
                <w:sz w:val="20"/>
                <w:szCs w:val="20"/>
                <w:color w:val="auto"/>
              </w:rPr>
            </w:pPr>
            <w:r>
              <w:rPr>
                <w:rFonts w:ascii="Arial" w:cs="Arial" w:eastAsia="Arial" w:hAnsi="Arial"/>
                <w:sz w:val="11"/>
                <w:szCs w:val="11"/>
                <w:b w:val="1"/>
                <w:bCs w:val="1"/>
                <w:color w:val="auto"/>
              </w:rPr>
              <w:t>Average</w:t>
            </w:r>
          </w:p>
        </w:tc>
      </w:tr>
      <w:tr>
        <w:trPr>
          <w:trHeight w:val="126"/>
        </w:trPr>
        <w:tc>
          <w:tcPr>
            <w:tcW w:w="644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6"/>
              </w:rPr>
              <w:t>Number</w:t>
            </w:r>
          </w:p>
        </w:tc>
        <w:tc>
          <w:tcPr>
            <w:tcW w:w="12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Remaining</w:t>
            </w:r>
          </w:p>
        </w:tc>
        <w:tc>
          <w:tcPr>
            <w:tcW w:w="300" w:type="dxa"/>
            <w:vAlign w:val="bottom"/>
          </w:tcPr>
          <w:p>
            <w:pPr>
              <w:spacing w:after="0"/>
              <w:rPr>
                <w:sz w:val="10"/>
                <w:szCs w:val="10"/>
                <w:color w:val="auto"/>
              </w:rPr>
            </w:pPr>
          </w:p>
        </w:tc>
        <w:tc>
          <w:tcPr>
            <w:tcW w:w="1300" w:type="dxa"/>
            <w:vAlign w:val="bottom"/>
          </w:tcPr>
          <w:p>
            <w:pPr>
              <w:jc w:val="center"/>
              <w:ind w:right="243"/>
              <w:spacing w:after="0"/>
              <w:rPr>
                <w:sz w:val="20"/>
                <w:szCs w:val="20"/>
                <w:color w:val="auto"/>
              </w:rPr>
            </w:pPr>
            <w:r>
              <w:rPr>
                <w:rFonts w:ascii="Arial" w:cs="Arial" w:eastAsia="Arial" w:hAnsi="Arial"/>
                <w:sz w:val="11"/>
                <w:szCs w:val="11"/>
                <w:b w:val="1"/>
                <w:bCs w:val="1"/>
                <w:color w:val="auto"/>
                <w:w w:val="99"/>
              </w:rPr>
              <w:t>Grant Date</w:t>
            </w:r>
          </w:p>
        </w:tc>
      </w:tr>
      <w:tr>
        <w:trPr>
          <w:trHeight w:val="126"/>
        </w:trPr>
        <w:tc>
          <w:tcPr>
            <w:tcW w:w="644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rPr>
              <w:t>of Shares of</w:t>
            </w:r>
          </w:p>
        </w:tc>
        <w:tc>
          <w:tcPr>
            <w:tcW w:w="120" w:type="dxa"/>
            <w:vAlign w:val="bottom"/>
          </w:tcPr>
          <w:p>
            <w:pPr>
              <w:spacing w:after="0"/>
              <w:rPr>
                <w:sz w:val="10"/>
                <w:szCs w:val="1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Contractual</w:t>
            </w:r>
          </w:p>
        </w:tc>
        <w:tc>
          <w:tcPr>
            <w:tcW w:w="300" w:type="dxa"/>
            <w:vAlign w:val="bottom"/>
          </w:tcPr>
          <w:p>
            <w:pPr>
              <w:spacing w:after="0"/>
              <w:rPr>
                <w:sz w:val="10"/>
                <w:szCs w:val="10"/>
                <w:color w:val="auto"/>
              </w:rPr>
            </w:pPr>
          </w:p>
        </w:tc>
        <w:tc>
          <w:tcPr>
            <w:tcW w:w="1300" w:type="dxa"/>
            <w:vAlign w:val="bottom"/>
          </w:tcPr>
          <w:p>
            <w:pPr>
              <w:jc w:val="center"/>
              <w:ind w:right="243"/>
              <w:spacing w:after="0"/>
              <w:rPr>
                <w:sz w:val="20"/>
                <w:szCs w:val="20"/>
                <w:color w:val="auto"/>
              </w:rPr>
            </w:pPr>
            <w:r>
              <w:rPr>
                <w:rFonts w:ascii="Arial" w:cs="Arial" w:eastAsia="Arial" w:hAnsi="Arial"/>
                <w:sz w:val="11"/>
                <w:szCs w:val="11"/>
                <w:b w:val="1"/>
                <w:bCs w:val="1"/>
                <w:color w:val="auto"/>
                <w:w w:val="98"/>
              </w:rPr>
              <w:t>Fair Value</w:t>
            </w:r>
          </w:p>
        </w:tc>
      </w:tr>
      <w:tr>
        <w:trPr>
          <w:trHeight w:val="148"/>
        </w:trPr>
        <w:tc>
          <w:tcPr>
            <w:tcW w:w="644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Restricted Stock</w:t>
            </w:r>
          </w:p>
        </w:tc>
        <w:tc>
          <w:tcPr>
            <w:tcW w:w="12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Life (Years)</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43"/>
              <w:spacing w:after="0"/>
              <w:rPr>
                <w:sz w:val="20"/>
                <w:szCs w:val="20"/>
                <w:color w:val="auto"/>
              </w:rPr>
            </w:pPr>
            <w:r>
              <w:rPr>
                <w:rFonts w:ascii="Arial" w:cs="Arial" w:eastAsia="Arial" w:hAnsi="Arial"/>
                <w:sz w:val="11"/>
                <w:szCs w:val="11"/>
                <w:b w:val="1"/>
                <w:bCs w:val="1"/>
                <w:color w:val="auto"/>
              </w:rPr>
              <w:t>Per Share</w:t>
            </w:r>
          </w:p>
        </w:tc>
      </w:tr>
      <w:tr>
        <w:trPr>
          <w:trHeight w:val="167"/>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Unvested at December 31, 2018</w:t>
            </w:r>
          </w:p>
        </w:tc>
        <w:tc>
          <w:tcPr>
            <w:tcW w:w="1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100,127</w:t>
            </w:r>
          </w:p>
        </w:tc>
        <w:tc>
          <w:tcPr>
            <w:tcW w:w="1740" w:type="dxa"/>
            <w:vAlign w:val="bottom"/>
            <w:gridSpan w:val="2"/>
            <w:shd w:val="clear" w:color="auto" w:fill="CCEEFF"/>
          </w:tcPr>
          <w:p>
            <w:pPr>
              <w:jc w:val="center"/>
              <w:ind w:left="6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17.03</w:t>
            </w:r>
          </w:p>
        </w:tc>
      </w:tr>
      <w:tr>
        <w:trPr>
          <w:trHeight w:val="176"/>
        </w:trPr>
        <w:tc>
          <w:tcPr>
            <w:tcW w:w="6440" w:type="dxa"/>
            <w:vAlign w:val="bottom"/>
          </w:tcPr>
          <w:p>
            <w:pPr>
              <w:ind w:left="20"/>
              <w:spacing w:after="0"/>
              <w:rPr>
                <w:sz w:val="20"/>
                <w:szCs w:val="20"/>
                <w:color w:val="auto"/>
              </w:rPr>
            </w:pPr>
            <w:r>
              <w:rPr>
                <w:rFonts w:ascii="Arial" w:cs="Arial" w:eastAsia="Arial" w:hAnsi="Arial"/>
                <w:sz w:val="12"/>
                <w:szCs w:val="12"/>
                <w:color w:val="auto"/>
              </w:rPr>
              <w:t>Granted</w:t>
            </w:r>
          </w:p>
        </w:tc>
        <w:tc>
          <w:tcPr>
            <w:tcW w:w="1600" w:type="dxa"/>
            <w:vAlign w:val="bottom"/>
          </w:tcPr>
          <w:p>
            <w:pPr>
              <w:jc w:val="right"/>
              <w:ind w:right="63"/>
              <w:spacing w:after="0"/>
              <w:rPr>
                <w:sz w:val="20"/>
                <w:szCs w:val="20"/>
                <w:color w:val="auto"/>
              </w:rPr>
            </w:pPr>
            <w:r>
              <w:rPr>
                <w:rFonts w:ascii="Arial" w:cs="Arial" w:eastAsia="Arial" w:hAnsi="Arial"/>
                <w:sz w:val="12"/>
                <w:szCs w:val="12"/>
                <w:color w:val="auto"/>
              </w:rPr>
              <w:t>99,433</w:t>
            </w:r>
          </w:p>
        </w:tc>
        <w:tc>
          <w:tcPr>
            <w:tcW w:w="120" w:type="dxa"/>
            <w:vAlign w:val="bottom"/>
          </w:tcPr>
          <w:p>
            <w:pPr>
              <w:spacing w:after="0"/>
              <w:rPr>
                <w:sz w:val="15"/>
                <w:szCs w:val="15"/>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3"/>
              <w:spacing w:after="0"/>
              <w:rPr>
                <w:sz w:val="20"/>
                <w:szCs w:val="20"/>
                <w:color w:val="auto"/>
              </w:rPr>
            </w:pPr>
            <w:r>
              <w:rPr>
                <w:rFonts w:ascii="Arial" w:cs="Arial" w:eastAsia="Arial" w:hAnsi="Arial"/>
                <w:sz w:val="12"/>
                <w:szCs w:val="12"/>
                <w:color w:val="auto"/>
              </w:rPr>
              <w:t>20.02</w:t>
            </w:r>
          </w:p>
        </w:tc>
      </w:tr>
      <w:tr>
        <w:trPr>
          <w:trHeight w:val="185"/>
        </w:trPr>
        <w:tc>
          <w:tcPr>
            <w:tcW w:w="6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Vested/Released</w:t>
            </w:r>
          </w:p>
        </w:tc>
        <w:tc>
          <w:tcPr>
            <w:tcW w:w="1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(35,667)</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67"/>
        </w:trPr>
        <w:tc>
          <w:tcPr>
            <w:tcW w:w="6440" w:type="dxa"/>
            <w:vAlign w:val="bottom"/>
          </w:tcPr>
          <w:p>
            <w:pPr>
              <w:ind w:left="20"/>
              <w:spacing w:after="0"/>
              <w:rPr>
                <w:sz w:val="20"/>
                <w:szCs w:val="20"/>
                <w:color w:val="auto"/>
              </w:rPr>
            </w:pPr>
            <w:r>
              <w:rPr>
                <w:rFonts w:ascii="Arial" w:cs="Arial" w:eastAsia="Arial" w:hAnsi="Arial"/>
                <w:sz w:val="12"/>
                <w:szCs w:val="12"/>
                <w:b w:val="1"/>
                <w:bCs w:val="1"/>
                <w:color w:val="auto"/>
              </w:rPr>
              <w:t>Unvested at June 29, 2019</w:t>
            </w:r>
          </w:p>
        </w:tc>
        <w:tc>
          <w:tcPr>
            <w:tcW w:w="16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163,893</w:t>
            </w:r>
          </w:p>
        </w:tc>
        <w:tc>
          <w:tcPr>
            <w:tcW w:w="1740" w:type="dxa"/>
            <w:vAlign w:val="bottom"/>
            <w:gridSpan w:val="2"/>
          </w:tcPr>
          <w:p>
            <w:pPr>
              <w:jc w:val="center"/>
              <w:ind w:left="6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3"/>
              <w:spacing w:after="0"/>
              <w:rPr>
                <w:sz w:val="20"/>
                <w:szCs w:val="20"/>
                <w:color w:val="auto"/>
              </w:rPr>
            </w:pPr>
            <w:r>
              <w:rPr>
                <w:rFonts w:ascii="Arial" w:cs="Arial" w:eastAsia="Arial" w:hAnsi="Arial"/>
                <w:sz w:val="12"/>
                <w:szCs w:val="12"/>
                <w:color w:val="auto"/>
              </w:rPr>
              <w:t>19.46</w:t>
            </w:r>
          </w:p>
        </w:tc>
      </w:tr>
    </w:tbl>
    <w:p>
      <w:pPr>
        <w:spacing w:after="0" w:line="252" w:lineRule="exact"/>
        <w:rPr>
          <w:sz w:val="20"/>
          <w:szCs w:val="20"/>
          <w:color w:val="auto"/>
        </w:rPr>
      </w:pPr>
    </w:p>
    <w:p>
      <w:pPr>
        <w:ind w:right="280" w:firstLine="216"/>
        <w:spacing w:after="0" w:line="262" w:lineRule="auto"/>
        <w:rPr>
          <w:sz w:val="20"/>
          <w:szCs w:val="20"/>
          <w:color w:val="auto"/>
        </w:rPr>
      </w:pPr>
      <w:r>
        <w:rPr>
          <w:rFonts w:ascii="Arial" w:cs="Arial" w:eastAsia="Arial" w:hAnsi="Arial"/>
          <w:sz w:val="12"/>
          <w:szCs w:val="12"/>
          <w:color w:val="auto"/>
        </w:rPr>
        <w:t>As of June 29, 2019, 140,560 shares of restricted stock had been purchased by nonemployee brand ambassadors which remained subject to vesting requirements and repurchase pursuant to restricted stock purchase agreements.</w:t>
      </w:r>
    </w:p>
    <w:p>
      <w:pPr>
        <w:spacing w:after="0" w:line="95" w:lineRule="exact"/>
        <w:rPr>
          <w:sz w:val="20"/>
          <w:szCs w:val="20"/>
          <w:color w:val="auto"/>
        </w:rPr>
      </w:pPr>
    </w:p>
    <w:p>
      <w:pPr>
        <w:ind w:right="200" w:firstLine="216"/>
        <w:spacing w:after="0" w:line="256" w:lineRule="auto"/>
        <w:rPr>
          <w:sz w:val="20"/>
          <w:szCs w:val="20"/>
          <w:color w:val="auto"/>
        </w:rPr>
      </w:pPr>
      <w:r>
        <w:rPr>
          <w:rFonts w:ascii="Arial" w:cs="Arial" w:eastAsia="Arial" w:hAnsi="Arial"/>
          <w:sz w:val="12"/>
          <w:szCs w:val="12"/>
          <w:color w:val="auto"/>
        </w:rPr>
        <w:t>During the three and six months ended June 29, 2019, the Company recorded in aggregate $0.5 million and $ 0.8 million, respectively, of share-based compensation expense related to restricted stock issued to nonemployee brand ambassadors, which is included in SG&amp;A expenses in the Company’s condensed statements of operations. During the three and six months ended June 30, 2018, the Company recorded no share-based compensation expense related to restricted stock issued to nonemployee brand ambassadors.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29, 2019, there was $3.0 million in unrecognized compensation expense related to nonvested restricted stock, which is expected to be recognized over 1.8 years.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November 15, 2018, the Company’s Board of Directors adopted its 2018 Employee Stock Purchase Plan (“2018 ESPP”), which was subsequently approved by the Company’s stockholders and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305"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The Company has reserved 804,195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 of the shares of common stock outstanding on the last day of the prior fiscal year; or (iii) such lesser number of shares determined by the Company’s Board of Directors.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Leases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Effective March 1, 2019, the Company entered into a lease for its principal executive offices in El Segundo, California, for an initial term of 5 years. The aggregate lease amount for the five-year term is $2.7 million.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future minimum lease payments required under noncancelable lease obligations related to this lease are $2.6 million due through 2023 (approximately $0.5 million annually) and $0.1 million thereafter.</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Purchase Commitments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29, 2019, the Company had committed to purchase pea protein inventory totaling $28.4 million.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Litigation</w:t>
      </w:r>
    </w:p>
    <w:p>
      <w:pPr>
        <w:spacing w:after="0" w:line="128" w:lineRule="exact"/>
        <w:rPr>
          <w:sz w:val="20"/>
          <w:szCs w:val="20"/>
          <w:color w:val="auto"/>
        </w:rPr>
      </w:pPr>
    </w:p>
    <w:p>
      <w:pPr>
        <w:ind w:right="20" w:firstLine="216"/>
        <w:spacing w:after="0" w:line="253" w:lineRule="auto"/>
        <w:rPr>
          <w:rFonts w:ascii="Arial" w:cs="Arial" w:eastAsia="Arial" w:hAnsi="Arial"/>
          <w:sz w:val="12"/>
          <w:szCs w:val="12"/>
          <w:color w:val="auto"/>
        </w:rPr>
      </w:pPr>
      <w:r>
        <w:rPr>
          <w:rFonts w:ascii="Arial" w:cs="Arial" w:eastAsia="Arial" w:hAnsi="Arial"/>
          <w:sz w:val="12"/>
          <w:szCs w:val="12"/>
          <w:color w:val="auto"/>
        </w:rPr>
        <w:t xml:space="preserve">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 dated December 2, 2014 between the Company and the former co-manufacturer, pursuant to its terms (see </w:t>
      </w:r>
      <w:hyperlink w:anchor="page17">
        <w:r>
          <w:rPr>
            <w:rFonts w:ascii="Arial" w:cs="Arial" w:eastAsia="Arial" w:hAnsi="Arial"/>
            <w:sz w:val="12"/>
            <w:szCs w:val="12"/>
            <w:u w:val="single" w:color="auto"/>
            <w:color w:val="0000EE"/>
          </w:rPr>
          <w:t>Note 3</w:t>
        </w:r>
      </w:hyperlink>
      <w:r>
        <w:rPr>
          <w:rFonts w:ascii="Arial" w:cs="Arial" w:eastAsia="Arial" w:hAnsi="Arial"/>
          <w:sz w:val="12"/>
          <w:szCs w:val="12"/>
          <w:color w:val="auto"/>
        </w:rPr>
        <w:t>). The Company denies these claims, filed counter-claims on July 27, 2017, alleging (1) breach of contract, (2) unfair competition under California Business &amp; Professions Code Section 17200 Et. Seq., and (3) conversion, and is in the process of litigating this matter.</w:t>
      </w:r>
    </w:p>
    <w:p>
      <w:pPr>
        <w:spacing w:after="0" w:line="101"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the former co-manufacturer’s claims.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305" w:right="21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Income Taxes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the six months ended June 29, 2019 and June 30, 2018, the Company recorded $21,000 and $0 in income tax expense in its condensed statements of operations.</w:t>
      </w:r>
    </w:p>
    <w:p>
      <w:pPr>
        <w:spacing w:after="0" w:line="114"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00"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As of June 29, 2019,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Net Loss Per Share Attributable to Common Stockholders</w:t>
      </w:r>
    </w:p>
    <w:p>
      <w:pPr>
        <w:spacing w:after="0" w:line="128"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The Company calculates basic and diluted net loss per share attributable to common stockholders in conformity with the two-class method required for companies with participating securities. The Company considers all series of convertible preferred stock issued and outstanding prior to the IPO to be participating securities. Under the two-class method, the net loss attributable to common stockholders is not allocated to the convertible preferred stock as the holders of convertible preferred stock issued and outstanding prior to the IPO do not have a contractual obligation to share in losses.</w:t>
      </w:r>
    </w:p>
    <w:p>
      <w:pPr>
        <w:spacing w:after="0" w:line="99"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The diluted net loss per share attributable to common stockholders is computed by giving effect to all potential dilutive common stock equivalents outstanding for the period. For purposes of this calculation, options to purchase common stock, RSUs, common stock warrants and securities such as convertible preferred stock and convertible preferred stock warrants that were issued and outstanding before the Company’s IPO,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 At June 29, 2019 and June 30, 2018, 6,559,565 shares and 5,296,339 shares, respectively, were excluded from the dilution calculation because their inclusion would have been antidilutive.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305" w:right="2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BEYOND MEAT,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923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Six Months Ended</w:t>
            </w:r>
          </w:p>
        </w:tc>
        <w:tc>
          <w:tcPr>
            <w:tcW w:w="11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29,</w:t>
            </w:r>
          </w:p>
        </w:tc>
        <w:tc>
          <w:tcPr>
            <w:tcW w:w="5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w:t>
            </w:r>
          </w:p>
        </w:tc>
        <w:tc>
          <w:tcPr>
            <w:tcW w:w="340" w:type="dxa"/>
            <w:vAlign w:val="bottom"/>
          </w:tcPr>
          <w:p>
            <w:pPr>
              <w:spacing w:after="0"/>
              <w:rPr>
                <w:sz w:val="11"/>
                <w:szCs w:val="11"/>
                <w:color w:val="auto"/>
              </w:rPr>
            </w:pPr>
          </w:p>
        </w:tc>
        <w:tc>
          <w:tcPr>
            <w:tcW w:w="136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29,</w:t>
            </w:r>
          </w:p>
        </w:tc>
        <w:tc>
          <w:tcPr>
            <w:tcW w:w="500" w:type="dxa"/>
            <w:vAlign w:val="bottom"/>
          </w:tcPr>
          <w:p>
            <w:pPr>
              <w:spacing w:after="0"/>
              <w:rPr>
                <w:sz w:val="11"/>
                <w:szCs w:val="11"/>
                <w:color w:val="auto"/>
              </w:rPr>
            </w:pPr>
          </w:p>
        </w:tc>
        <w:tc>
          <w:tcPr>
            <w:tcW w:w="1100" w:type="dxa"/>
            <w:vAlign w:val="bottom"/>
          </w:tcPr>
          <w:p>
            <w:pPr>
              <w:jc w:val="right"/>
              <w:ind w:right="522"/>
              <w:spacing w:after="0"/>
              <w:rPr>
                <w:sz w:val="20"/>
                <w:szCs w:val="20"/>
                <w:color w:val="auto"/>
              </w:rPr>
            </w:pPr>
            <w:r>
              <w:rPr>
                <w:rFonts w:ascii="Arial" w:cs="Arial" w:eastAsia="Arial" w:hAnsi="Arial"/>
                <w:sz w:val="11"/>
                <w:szCs w:val="11"/>
                <w:b w:val="1"/>
                <w:bCs w:val="1"/>
                <w:color w:val="auto"/>
              </w:rPr>
              <w:t>June 30,</w:t>
            </w:r>
          </w:p>
        </w:tc>
      </w:tr>
      <w:tr>
        <w:trPr>
          <w:trHeight w:val="119"/>
        </w:trPr>
        <w:tc>
          <w:tcPr>
            <w:tcW w:w="47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 except share and per share amounts)</w:t>
            </w:r>
          </w:p>
        </w:tc>
        <w:tc>
          <w:tcPr>
            <w:tcW w:w="340" w:type="dxa"/>
            <w:vAlign w:val="bottom"/>
          </w:tcPr>
          <w:p>
            <w:pPr>
              <w:spacing w:after="0"/>
              <w:rPr>
                <w:sz w:val="10"/>
                <w:szCs w:val="10"/>
                <w:color w:val="auto"/>
              </w:rPr>
            </w:pPr>
          </w:p>
        </w:tc>
        <w:tc>
          <w:tcPr>
            <w:tcW w:w="1280" w:type="dxa"/>
            <w:vAlign w:val="bottom"/>
          </w:tcPr>
          <w:p>
            <w:pPr>
              <w:jc w:val="right"/>
              <w:ind w:right="642"/>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jc w:val="right"/>
              <w:ind w:right="642"/>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right"/>
              <w:ind w:right="622"/>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jc w:val="right"/>
              <w:ind w:right="622"/>
              <w:spacing w:after="0" w:line="119" w:lineRule="exact"/>
              <w:rPr>
                <w:sz w:val="20"/>
                <w:szCs w:val="20"/>
                <w:color w:val="auto"/>
              </w:rPr>
            </w:pPr>
            <w:r>
              <w:rPr>
                <w:rFonts w:ascii="Arial" w:cs="Arial" w:eastAsia="Arial" w:hAnsi="Arial"/>
                <w:sz w:val="11"/>
                <w:szCs w:val="11"/>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5"/>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Numerator:</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8"/>
        </w:trPr>
        <w:tc>
          <w:tcPr>
            <w:tcW w:w="472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Net loss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(9,441)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(7,396)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(16,090)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(13,092)</w:t>
            </w:r>
          </w:p>
        </w:tc>
      </w:tr>
      <w:tr>
        <w:trPr>
          <w:trHeight w:val="180"/>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Denominator:</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4720" w:type="dxa"/>
            <w:vAlign w:val="bottom"/>
            <w:gridSpan w:val="3"/>
          </w:tcPr>
          <w:p>
            <w:pPr>
              <w:ind w:left="20"/>
              <w:spacing w:after="0"/>
              <w:rPr>
                <w:sz w:val="20"/>
                <w:szCs w:val="20"/>
                <w:color w:val="auto"/>
              </w:rPr>
            </w:pPr>
            <w:r>
              <w:rPr>
                <w:rFonts w:ascii="Arial" w:cs="Arial" w:eastAsia="Arial" w:hAnsi="Arial"/>
                <w:sz w:val="12"/>
                <w:szCs w:val="12"/>
                <w:color w:val="auto"/>
              </w:rPr>
              <w:t>Weighted average common shares outstanding—basic</w:t>
            </w:r>
          </w:p>
        </w:tc>
        <w:tc>
          <w:tcPr>
            <w:tcW w:w="340" w:type="dxa"/>
            <w:vAlign w:val="bottom"/>
          </w:tcPr>
          <w:p>
            <w:pPr>
              <w:spacing w:after="0"/>
              <w:rPr>
                <w:sz w:val="15"/>
                <w:szCs w:val="15"/>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39,081,359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6,072,319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23,206,203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5,933,806</w:t>
            </w:r>
          </w:p>
        </w:tc>
      </w:tr>
      <w:tr>
        <w:trPr>
          <w:trHeight w:val="157"/>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Dilutive effect of stock equivalents resulting from stock options, RSUs, common stock</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49"/>
        </w:trPr>
        <w:tc>
          <w:tcPr>
            <w:tcW w:w="20" w:type="dxa"/>
            <w:vAlign w:val="bottom"/>
            <w:shd w:val="clear" w:color="auto" w:fill="CCEEFF"/>
          </w:tcPr>
          <w:p>
            <w:pPr>
              <w:spacing w:after="0"/>
              <w:rPr>
                <w:sz w:val="12"/>
                <w:szCs w:val="12"/>
                <w:color w:val="auto"/>
              </w:rPr>
            </w:pPr>
          </w:p>
        </w:tc>
        <w:tc>
          <w:tcPr>
            <w:tcW w:w="4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warrants, preferred stock warrants and convertible preferred stock (as converted)</w:t>
            </w:r>
          </w:p>
        </w:tc>
        <w:tc>
          <w:tcPr>
            <w:tcW w:w="3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2"/>
        </w:trPr>
        <w:tc>
          <w:tcPr>
            <w:tcW w:w="472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Weighted average common shares outstanding—diluted</w:t>
            </w: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39,081,359</w:t>
            </w:r>
          </w:p>
        </w:tc>
        <w:tc>
          <w:tcPr>
            <w:tcW w:w="12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6,072,319</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23,206,203</w:t>
            </w:r>
          </w:p>
        </w:tc>
        <w:tc>
          <w:tcPr>
            <w:tcW w:w="1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5,933,806</w:t>
            </w:r>
          </w:p>
        </w:tc>
      </w:tr>
      <w:tr>
        <w:trPr>
          <w:trHeight w:val="171"/>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loss per common share—basic and diluted</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(0.24)</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(0.69)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305"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6" w:lineRule="exact"/>
        <w:rPr>
          <w:sz w:val="20"/>
          <w:szCs w:val="20"/>
          <w:color w:val="auto"/>
        </w:rPr>
      </w:pPr>
    </w:p>
    <w:p>
      <w:pPr>
        <w:ind w:right="40" w:firstLine="216"/>
        <w:spacing w:after="0" w:line="287" w:lineRule="auto"/>
        <w:rPr>
          <w:sz w:val="20"/>
          <w:szCs w:val="20"/>
          <w:color w:val="auto"/>
        </w:rPr>
      </w:pPr>
      <w:r>
        <w:rPr>
          <w:rFonts w:ascii="Arial" w:cs="Arial" w:eastAsia="Arial" w:hAnsi="Arial"/>
          <w:sz w:val="11"/>
          <w:szCs w:val="11"/>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Part II, Item 1A. “Risk Factors” and “ Note Regarding Forward-Looking Statements” included elsewhere in this report. The following discussion of our financial condition and results of operations should be read in conjunction with our unaudited condensed financial statements and the related notes and other financial information included elsewhere in this quarterly report and our audited financial statements and notes thereto included in the prospectus dated May 1, 2019 filed with the Securities and Exchange Commission (“SEC”) on May 3, 2019 (the “Prospectus”). The interim results for the three and six months ended June 29, 2019 are not necessarily indicative of the results to be expected for the fiscal year ending December 31, 2019 or for any other interim period or for any other future fiscal year.</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01"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We sell a range of plant-based products across the three main meat platforms of beef, pork and poultry. They are offered in ready-to-cook formats (primarily merchandised in the meat case), which we refer to as our “fresh” platform, and ready-to-heat formats (merchandised in the freezer), which we refer to as our “frozen” platform. Our products are currently available in approximately 53,000 points of distribution primarily in the United States and Canada as well as several other countries, across mainstream grocery, mass merchandiser and natural retailer channels, and various food-away-from-home channels, including restaurants, foodservice outlets and schools.</w:t>
      </w:r>
    </w:p>
    <w:p>
      <w:pPr>
        <w:spacing w:after="0" w:line="100"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2"/>
          <w:szCs w:val="12"/>
          <w:color w:val="auto"/>
        </w:rPr>
        <w:t>On May 6, 2019, we completed our initial public offering (“IPO”) of common stock, in which we sold 11,068,750 shares, including 1,443,750 shares pursuant to the underwriters’ over-allotment option. The shares began trading on the Nasdaq Global Select Market on May 2, 2019. The shares were sold at an IPO price of $25.00 per share for net proceeds of approximately $252.4 million, after deducting underwriting discounts and commissions of $ 19.4 million and offering expenses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00"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Our Results of Operations and Trends and Other Factors Affecting Our Business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Revenues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generate net revenues primarily from sales of our products, including the Beyond Burger, Beyond Sausage and other plant-based meat products to our customers, which include mainstream grocery, mass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00"/>
          </w:cols>
          <w:pgMar w:left="220" w:top="611" w:right="27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merchandiser and natural retailers, as well as restaurants and other foodservice outlets mainly in the United States.</w:t>
      </w:r>
    </w:p>
    <w:p>
      <w:pPr>
        <w:spacing w:after="0" w:line="114"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We continue to experience substantial growth in net revenues over the prior periods. The following factors and trends in our business have driven net revenue growth over this period and are expected to be key drivers of our net revenue growth for the foreseeable future:</w:t>
      </w:r>
    </w:p>
    <w:p>
      <w:pPr>
        <w:spacing w:after="0" w:line="95" w:lineRule="exact"/>
        <w:rPr>
          <w:sz w:val="20"/>
          <w:szCs w:val="20"/>
          <w:color w:val="auto"/>
        </w:rPr>
      </w:pPr>
    </w:p>
    <w:p>
      <w:pPr>
        <w:ind w:left="420" w:right="580" w:hanging="212"/>
        <w:spacing w:after="0" w:line="262"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increased penetration across our retail channel, including mainstream grocery, mass merchandiser and natural retailer customers, and our restaurant and foodservice channel, including restaurants, foodservice outlets and schools;</w:t>
      </w:r>
    </w:p>
    <w:p>
      <w:pPr>
        <w:spacing w:after="0" w:line="95" w:lineRule="exact"/>
        <w:rPr>
          <w:rFonts w:ascii="Arial" w:cs="Arial" w:eastAsia="Arial" w:hAnsi="Arial"/>
          <w:sz w:val="12"/>
          <w:szCs w:val="12"/>
          <w:color w:val="auto"/>
        </w:rPr>
      </w:pPr>
    </w:p>
    <w:p>
      <w:pPr>
        <w:ind w:left="420" w:right="100" w:hanging="212"/>
        <w:spacing w:after="0" w:line="262"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increased velocity of our fresh product sales across our channels, by which we mean that the volume of our products sold per outlet has generally increased period-over-period due to greater adoption of and demand for our products;</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continued innovation, including enhancing existing products and introducing new products that appeal to a broad range of consumers, including those who typically eat animal-based meat;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impact of marketing efforts as we continue to build our brand and drive consumer adoption of our products;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overall market trends, including growing consumer demand for nutritious, convenient and high protein plant-based foods.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to the factors and trends above, we expect the following to positively impact net revenues going forward:</w:t>
      </w:r>
    </w:p>
    <w:p>
      <w:pPr>
        <w:spacing w:after="0" w:line="114" w:lineRule="exact"/>
        <w:rPr>
          <w:sz w:val="20"/>
          <w:szCs w:val="20"/>
          <w:color w:val="auto"/>
        </w:rPr>
      </w:pPr>
    </w:p>
    <w:p>
      <w:pPr>
        <w:ind w:left="420" w:right="320" w:hanging="212"/>
        <w:spacing w:after="0" w:line="262"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increased production levels as we scale production to meet demand for our products across our distribution channels both domestically and internationally, including Australia, Europe, Hong Kong, Israel, South Africa, South Korea and parts of the Middle East; and</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increased desire by restaurant and foodservice establishments to add plant-based products to their menus and to highlight these offerings.</w:t>
      </w:r>
    </w:p>
    <w:p>
      <w:pPr>
        <w:spacing w:after="0" w:line="114"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Net revenues from sales in our retail channel increased by 192.0% in the three months ended June 29, 2019 to $34.1 million from $11.7 million in the three months ended June 30, 2018. Net revenues from sales in our restaurant and foodservice channel increased by 483.0% in the three months ended June 29, 2019 to $33.1 million from $5.7 million in the three months ended June 30, 2018.</w:t>
      </w:r>
    </w:p>
    <w:p>
      <w:pPr>
        <w:spacing w:after="0" w:line="9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Net revenues from sales in our retail channel increased by 156.1% in the six months ended June 29, 2019 to $53.7 million from $21.0 million in the six months ended June 30, 2018. Net revenues from sales in our restaurant and foodservice channel increased by 486.2% in the six months ended June 29, 2019 to $53.8 million from $9.2 million in the three months ended June 30, 2018. We expect further growth in both channels as we increase our production capacity in response to demand and add new customers.</w:t>
      </w:r>
    </w:p>
    <w:p>
      <w:pPr>
        <w:spacing w:after="0" w:line="99"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We distribute our products internationally, using distributors in Australia, Chile, the European Union, Hong Kong, Ireland, Israel, the Middle East, New Zealand, the Philippines, Singapore, South Africa, South Korea, Taiwan and the United Kingdom. Our international net revenues (excluding revenues from Canada) are included in our restaurant and foodservice channel and were approximately 12% and 3%, respectively, of our net revenues in the three months ended June 29, 2019 and June 30, 2018 and were approximately 13% and 2%, respectively, of our net revenues in the six months ended June 29, 2019 and June 30, 2018. All of our long-lived assets are in the United States and we have no long-lived assets in any international locations. Net revenues from sales to the Canadian market are included with net revenues from sales to the United States market.</w:t>
      </w:r>
    </w:p>
    <w:p>
      <w:pPr>
        <w:spacing w:after="0" w:line="101" w:lineRule="exact"/>
        <w:rPr>
          <w:sz w:val="20"/>
          <w:szCs w:val="20"/>
          <w:color w:val="auto"/>
        </w:rPr>
      </w:pPr>
    </w:p>
    <w:p>
      <w:pPr>
        <w:ind w:right="320" w:firstLine="216"/>
        <w:spacing w:after="0" w:line="262" w:lineRule="auto"/>
        <w:rPr>
          <w:sz w:val="20"/>
          <w:szCs w:val="20"/>
          <w:color w:val="auto"/>
        </w:rPr>
      </w:pPr>
      <w:r>
        <w:rPr>
          <w:rFonts w:ascii="Arial" w:cs="Arial" w:eastAsia="Arial" w:hAnsi="Arial"/>
          <w:sz w:val="12"/>
          <w:szCs w:val="12"/>
          <w:color w:val="auto"/>
        </w:rPr>
        <w:t>Over the next few years, the main driver of growth in our net revenues is expected to be sales of our fresh products, primarily the Beyond Burger, in both our retail channel and our restaurant and foodservice channel predominantly in the United States, as well as internationally. We also expect net revenues and gross margin to</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553" w:right="21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benefit from increased sales of our fresh products due to the higher net selling price per pound of our fresh platform products compared to our frozen platform products.</w:t>
      </w:r>
    </w:p>
    <w:p>
      <w:pPr>
        <w:spacing w:after="0" w:line="114" w:lineRule="exact"/>
        <w:rPr>
          <w:sz w:val="20"/>
          <w:szCs w:val="20"/>
          <w:color w:val="auto"/>
        </w:rPr>
      </w:pPr>
    </w:p>
    <w:p>
      <w:pPr>
        <w:jc w:val="both"/>
        <w:ind w:right="320" w:firstLine="216"/>
        <w:spacing w:after="0" w:line="256" w:lineRule="auto"/>
        <w:rPr>
          <w:sz w:val="20"/>
          <w:szCs w:val="20"/>
          <w:color w:val="auto"/>
        </w:rPr>
      </w:pPr>
      <w:r>
        <w:rPr>
          <w:rFonts w:ascii="Arial" w:cs="Arial" w:eastAsia="Arial" w:hAnsi="Arial"/>
          <w:sz w:val="12"/>
          <w:szCs w:val="12"/>
          <w:color w:val="auto"/>
        </w:rPr>
        <w:t>As we seek to continue to rapidly grow our net revenues, we face several challenges. In 2017, continuing into 2018, demand for our products exceeded our expectations and production capacity, significantly constraining our net revenue growth relative to our total demand opportunity. While we have significantly expanded our production capacity to address production shortfall, we may experience a lag in production relative to customer demand if our growth rate exceeds our expectations.</w:t>
      </w:r>
    </w:p>
    <w:p>
      <w:pPr>
        <w:spacing w:after="0" w:line="99"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We anticipate that these promotional activities could impact our net revenues and that changes in such activities could impact period-over-period results.</w:t>
      </w:r>
    </w:p>
    <w:p>
      <w:pPr>
        <w:spacing w:after="0" w:line="99"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In addition, because we do not have any purchase commitments from our distributors or customers, the amount of net revenues we recognize will vary from period to period depending on the volume and mix of our products sold, particularly between products in our fresh and frozen platforms, and the channels through which our products are sold, causing variability in our results.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Gross Profit</w:t>
      </w:r>
    </w:p>
    <w:p>
      <w:pPr>
        <w:spacing w:after="0" w:line="128"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Gross profit consists of our net revenues less cost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 In order to keep pace with demand, we had to very quickly scale production and we have not always been able to meet all demand for our products. As a result, we have had to quickly expand our sources of supply for our core protein inputs such as pea protein. Our growth has also significantly increased facility and warehouse utilization rates. We intend to continue to increase our production capabilities at our two in-house manufacturing facilities in Columbia, Missouri. As a result, we expect our cost of goods sold to increase in absolute dollars to support our growth. However, we expect such expenses to decrease as a percentage of net revenues over time as we continue to scale our business.</w:t>
      </w:r>
    </w:p>
    <w:p>
      <w:pPr>
        <w:spacing w:after="0" w:line="103"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Gross margin improved by 1,880 basis points to 33.8% in the three months ended June 29, 2019 from 15.0% in the three months ended June 30, 2018. Gross margin improved by 1,570 basis points to 31.2% in the six months ended June 29, 2019 from 15.5% in the six months ended June 30, 2018. Gross margin benefited from an increase in the amount of products sold, improved production efficiencies and from a greater proportion of revenues from products in our fresh platform which have a higher net selling price per pound. As we continue to expand production and are able to increase manufacturing efficiency and leverage the cost of our fixed production and staff costs, we expect to increase our gross margin. We also expect to continue to increase gross margin through ingredient cost savings achieved through scale of purchasing and through expanding our co-manufacturing network and negotiating lower tolling fees.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Research and Development Expenses</w:t>
      </w:r>
    </w:p>
    <w:p>
      <w:pPr>
        <w:spacing w:after="0" w:line="126" w:lineRule="exact"/>
        <w:rPr>
          <w:sz w:val="20"/>
          <w:szCs w:val="20"/>
          <w:color w:val="auto"/>
        </w:rPr>
      </w:pPr>
    </w:p>
    <w:p>
      <w:pPr>
        <w:ind w:right="100" w:firstLine="216"/>
        <w:spacing w:after="0" w:line="254" w:lineRule="auto"/>
        <w:rPr>
          <w:sz w:val="20"/>
          <w:szCs w:val="20"/>
          <w:color w:val="auto"/>
        </w:rPr>
      </w:pPr>
      <w:r>
        <w:rPr>
          <w:rFonts w:ascii="Arial" w:cs="Arial" w:eastAsia="Arial" w:hAnsi="Arial"/>
          <w:sz w:val="12"/>
          <w:szCs w:val="12"/>
          <w:color w:val="auto"/>
        </w:rPr>
        <w:t>Research and development expenses consist primarily of personnel and related expenses for our research and development staff, including salaries, benefits, bonuses, and share-based compensation. Our research and development efforts are focused on enhancements to our product formulations and production processes in addition to the development of new products. We expect to continue to invest substantial amounts in research and development, as most recently evidenced in the build-out of our state-of-the-art Manhattan Beach Project Innovation Center. Research and development and innovation are core elements of our business strategy, as we believe they represent a critical competitive advantage for us. We believe that we need to continue to rapidly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553" w:right="219" w:bottom="1440" w:gutter="0" w:footer="0" w:header="0"/>
        </w:sectPr>
      </w:pPr>
    </w:p>
    <w:bookmarkStart w:id="29" w:name="page30"/>
    <w:bookmarkEnd w:id="29"/>
    <w:p>
      <w:pPr>
        <w:spacing w:after="0" w:line="262" w:lineRule="auto"/>
        <w:rPr>
          <w:sz w:val="20"/>
          <w:szCs w:val="20"/>
          <w:color w:val="auto"/>
        </w:rPr>
      </w:pPr>
      <w:r>
        <w:rPr>
          <w:rFonts w:ascii="Arial" w:cs="Arial" w:eastAsia="Arial" w:hAnsi="Arial"/>
          <w:sz w:val="12"/>
          <w:szCs w:val="12"/>
          <w:color w:val="auto"/>
        </w:rPr>
        <w:t>innovate in order to be able to continue to capture a larger market share of consumers who typically eat animal-based meats. We expect these expenses to increase somewhat in absolute dollars, but to decrease as a percentage of net revenues as we continue to scale production.</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SG&amp;A Expenses</w:t>
      </w:r>
    </w:p>
    <w:p>
      <w:pPr>
        <w:spacing w:after="0" w:line="126"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SG&amp;A expenses consist primarily of marketing, selling and administrative expenses, including personnel and related expenses, share-based compensation, outbound shipping and handling costs, non-manufacturing rent expense, depreciation and amortization expense on non-manufacturing assets and other miscellaneous operating items. Marketing and selling expenses include advertising costs, costs associated with consumer promotions, product samples and sales aids incurred to acquire new customers, retain existing customers and build our brand awareness. Administrative expenses include the expenses related to management, accounting, IT, and other office functions. We expect SG&amp;A expenses to increase in absolute dollars as we increase our domestic and international expansion efforts to meet our product demand and incur costs related to our status as a public company.</w:t>
      </w:r>
    </w:p>
    <w:p>
      <w:pPr>
        <w:spacing w:after="0" w:line="101"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Our selling and marketing expense is expected to increase, both through a greater focus on marketing and through additions to our sales organizations. We expect to significantly expand our marketing efforts to achieve greater brand awareness, attract new customers and increase market penetration. We have historically had a very small sales force, with only nine full-time sales employees as of December 31, 2017 growing to 28 full-time sales employees as of June 29, 2019. As we continue to grow, we expect to expand our sales force to address additional opportunities, which could substantially increase our selling expense. Our administrative expenses are expected to increase as a public company with increased personnel cost in accounting, IT and compliance-related expenses.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Restructuring Expenses</w:t>
      </w:r>
    </w:p>
    <w:p>
      <w:pPr>
        <w:spacing w:after="0" w:line="126"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In May 2017, management approved a plan to terminate an exclusive supply agreement with one of our co-manufacturers. See “—Results of Operations—Three and Six Months Ended June 29, 2019 Compared to Three and Six Months ended June 30, 2018—Restructuring Expenses” for a discussion of these expenses.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Seasonality</w:t>
      </w:r>
    </w:p>
    <w:p>
      <w:pPr>
        <w:spacing w:after="0" w:line="128"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Generally, we expect to experience greater demand for certain of our products during the summer grilling season. As our business continues to grow, we expect to see additional seasonality effects, with revenue growth tending to be greater in the second and third quarters of the year.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60"/>
          </w:cols>
          <w:pgMar w:left="220" w:top="553" w:right="21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Results of Operations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selected items in our condensed statements of operations for the periods presented:</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48"/>
        </w:trPr>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1"/>
                <w:szCs w:val="11"/>
                <w:b w:val="1"/>
                <w:bCs w:val="1"/>
                <w:color w:val="auto"/>
              </w:rPr>
              <w:t>Three Months Ended</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Six Months Ended</w:t>
            </w:r>
          </w:p>
        </w:tc>
        <w:tc>
          <w:tcPr>
            <w:tcW w:w="1040" w:type="dxa"/>
            <w:vAlign w:val="bottom"/>
            <w:tcBorders>
              <w:bottom w:val="single" w:sz="8" w:color="auto"/>
            </w:tcBorders>
          </w:tcPr>
          <w:p>
            <w:pPr>
              <w:spacing w:after="0"/>
              <w:rPr>
                <w:sz w:val="12"/>
                <w:szCs w:val="12"/>
                <w:color w:val="auto"/>
              </w:rPr>
            </w:pPr>
          </w:p>
        </w:tc>
      </w:tr>
      <w:tr>
        <w:trPr>
          <w:trHeight w:val="129"/>
        </w:trPr>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June 29,</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June 29,</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center"/>
              <w:ind w:right="421"/>
              <w:spacing w:after="0"/>
              <w:rPr>
                <w:sz w:val="20"/>
                <w:szCs w:val="20"/>
                <w:color w:val="auto"/>
              </w:rPr>
            </w:pPr>
            <w:r>
              <w:rPr>
                <w:rFonts w:ascii="Arial" w:cs="Arial" w:eastAsia="Arial" w:hAnsi="Arial"/>
                <w:sz w:val="11"/>
                <w:szCs w:val="11"/>
                <w:b w:val="1"/>
                <w:bCs w:val="1"/>
                <w:color w:val="auto"/>
                <w:w w:val="99"/>
              </w:rPr>
              <w:t>June 30,</w:t>
            </w:r>
          </w:p>
        </w:tc>
      </w:tr>
      <w:tr>
        <w:trPr>
          <w:trHeight w:val="119"/>
        </w:trPr>
        <w:tc>
          <w:tcPr>
            <w:tcW w:w="180" w:type="dxa"/>
            <w:vAlign w:val="bottom"/>
          </w:tcPr>
          <w:p>
            <w:pPr>
              <w:spacing w:after="0"/>
              <w:rPr>
                <w:sz w:val="10"/>
                <w:szCs w:val="10"/>
                <w:color w:val="auto"/>
              </w:rPr>
            </w:pPr>
          </w:p>
        </w:tc>
        <w:tc>
          <w:tcPr>
            <w:tcW w:w="44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 thousands)</w:t>
            </w:r>
          </w:p>
        </w:tc>
        <w:tc>
          <w:tcPr>
            <w:tcW w:w="940" w:type="dxa"/>
            <w:vAlign w:val="bottom"/>
          </w:tcPr>
          <w:p>
            <w:pPr>
              <w:jc w:val="right"/>
              <w:ind w:right="23"/>
              <w:spacing w:after="0" w:line="119" w:lineRule="exact"/>
              <w:rPr>
                <w:sz w:val="20"/>
                <w:szCs w:val="20"/>
                <w:color w:val="auto"/>
              </w:rPr>
            </w:pPr>
            <w:r>
              <w:rPr>
                <w:rFonts w:ascii="Arial" w:cs="Arial" w:eastAsia="Arial" w:hAnsi="Arial"/>
                <w:sz w:val="11"/>
                <w:szCs w:val="11"/>
                <w:b w:val="1"/>
                <w:bCs w:val="1"/>
                <w:color w:val="auto"/>
              </w:rPr>
              <w:t>2019</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24"/>
              <w:spacing w:after="0" w:line="119" w:lineRule="exact"/>
              <w:rPr>
                <w:sz w:val="20"/>
                <w:szCs w:val="20"/>
                <w:color w:val="auto"/>
              </w:rPr>
            </w:pPr>
            <w:r>
              <w:rPr>
                <w:rFonts w:ascii="Arial" w:cs="Arial" w:eastAsia="Arial" w:hAnsi="Arial"/>
                <w:sz w:val="11"/>
                <w:szCs w:val="11"/>
                <w:b w:val="1"/>
                <w:bCs w:val="1"/>
                <w:color w:val="auto"/>
              </w:rPr>
              <w:t>2018</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24"/>
              <w:spacing w:after="0" w:line="119" w:lineRule="exact"/>
              <w:rPr>
                <w:sz w:val="20"/>
                <w:szCs w:val="20"/>
                <w:color w:val="auto"/>
              </w:rPr>
            </w:pPr>
            <w:r>
              <w:rPr>
                <w:rFonts w:ascii="Arial" w:cs="Arial" w:eastAsia="Arial" w:hAnsi="Arial"/>
                <w:sz w:val="11"/>
                <w:szCs w:val="11"/>
                <w:b w:val="1"/>
                <w:bCs w:val="1"/>
                <w:color w:val="auto"/>
              </w:rPr>
              <w:t>2019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jc w:val="center"/>
              <w:ind w:right="381"/>
              <w:spacing w:after="0" w:line="119" w:lineRule="exact"/>
              <w:rPr>
                <w:sz w:val="20"/>
                <w:szCs w:val="20"/>
                <w:color w:val="auto"/>
              </w:rPr>
            </w:pPr>
            <w:r>
              <w:rPr>
                <w:rFonts w:ascii="Arial" w:cs="Arial" w:eastAsia="Arial" w:hAnsi="Arial"/>
                <w:sz w:val="11"/>
                <w:szCs w:val="11"/>
                <w:b w:val="1"/>
                <w:bCs w:val="1"/>
                <w:color w:val="auto"/>
                <w:w w:val="97"/>
              </w:rPr>
              <w:t>2018</w:t>
            </w:r>
          </w:p>
        </w:tc>
      </w:tr>
      <w:tr>
        <w:trPr>
          <w:trHeight w:val="20"/>
        </w:trPr>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revenues</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17,367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6"/>
              </w:rPr>
              <w:t>107,457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30,143</w:t>
            </w:r>
          </w:p>
        </w:tc>
      </w:tr>
      <w:tr>
        <w:trPr>
          <w:trHeight w:val="176"/>
        </w:trPr>
        <w:tc>
          <w:tcPr>
            <w:tcW w:w="180" w:type="dxa"/>
            <w:vAlign w:val="bottom"/>
          </w:tcPr>
          <w:p>
            <w:pPr>
              <w:spacing w:after="0"/>
              <w:rPr>
                <w:sz w:val="15"/>
                <w:szCs w:val="15"/>
                <w:color w:val="auto"/>
              </w:rPr>
            </w:pPr>
          </w:p>
        </w:tc>
        <w:tc>
          <w:tcPr>
            <w:tcW w:w="44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Cost of goods sold</w:t>
            </w: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44,510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14,755</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73,945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25,474</w:t>
            </w:r>
          </w:p>
        </w:tc>
      </w:tr>
      <w:tr>
        <w:trPr>
          <w:trHeight w:val="160"/>
        </w:trPr>
        <w:tc>
          <w:tcPr>
            <w:tcW w:w="180" w:type="dxa"/>
            <w:vAlign w:val="bottom"/>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Gross profit</w:t>
            </w:r>
          </w:p>
        </w:tc>
        <w:tc>
          <w:tcPr>
            <w:tcW w:w="9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22,741</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2,612</w:t>
            </w: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33,512</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4,669</w:t>
            </w:r>
          </w:p>
        </w:tc>
      </w:tr>
      <w:tr>
        <w:trPr>
          <w:trHeight w:val="160"/>
        </w:trPr>
        <w:tc>
          <w:tcPr>
            <w:tcW w:w="180" w:type="dxa"/>
            <w:vAlign w:val="bottom"/>
          </w:tcPr>
          <w:p>
            <w:pPr>
              <w:spacing w:after="0"/>
              <w:rPr>
                <w:sz w:val="13"/>
                <w:szCs w:val="13"/>
                <w:color w:val="auto"/>
              </w:rPr>
            </w:pPr>
          </w:p>
        </w:tc>
        <w:tc>
          <w:tcPr>
            <w:tcW w:w="4400" w:type="dxa"/>
            <w:vAlign w:val="bottom"/>
            <w:gridSpan w:val="3"/>
          </w:tcPr>
          <w:p>
            <w:pPr>
              <w:spacing w:after="0"/>
              <w:rPr>
                <w:sz w:val="20"/>
                <w:szCs w:val="20"/>
                <w:color w:val="auto"/>
              </w:rPr>
            </w:pPr>
            <w:r>
              <w:rPr>
                <w:rFonts w:ascii="Arial" w:cs="Arial" w:eastAsia="Arial" w:hAnsi="Arial"/>
                <w:sz w:val="12"/>
                <w:szCs w:val="12"/>
                <w:color w:val="auto"/>
              </w:rPr>
              <w:t>Research and development expenses</w:t>
            </w:r>
          </w:p>
        </w:tc>
        <w:tc>
          <w:tcPr>
            <w:tcW w:w="9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2,497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8,710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4,102</w:t>
            </w:r>
          </w:p>
        </w:tc>
      </w:tr>
      <w:tr>
        <w:trPr>
          <w:trHeight w:val="185"/>
        </w:trPr>
        <w:tc>
          <w:tcPr>
            <w:tcW w:w="180" w:type="dxa"/>
            <w:vAlign w:val="bottom"/>
          </w:tcPr>
          <w:p>
            <w:pPr>
              <w:spacing w:after="0"/>
              <w:rPr>
                <w:sz w:val="16"/>
                <w:szCs w:val="16"/>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26,692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12,780</w:t>
            </w:r>
          </w:p>
        </w:tc>
      </w:tr>
      <w:tr>
        <w:trPr>
          <w:trHeight w:val="176"/>
        </w:trPr>
        <w:tc>
          <w:tcPr>
            <w:tcW w:w="180" w:type="dxa"/>
            <w:vAlign w:val="bottom"/>
          </w:tcPr>
          <w:p>
            <w:pPr>
              <w:spacing w:after="0"/>
              <w:rPr>
                <w:sz w:val="15"/>
                <w:szCs w:val="15"/>
                <w:color w:val="auto"/>
              </w:rPr>
            </w:pPr>
          </w:p>
        </w:tc>
        <w:tc>
          <w:tcPr>
            <w:tcW w:w="440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Restructuring expenses</w:t>
            </w: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1,241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642</w:t>
            </w:r>
          </w:p>
        </w:tc>
      </w:tr>
      <w:tr>
        <w:trPr>
          <w:trHeight w:val="160"/>
        </w:trPr>
        <w:tc>
          <w:tcPr>
            <w:tcW w:w="180" w:type="dxa"/>
            <w:vAlign w:val="bottom"/>
          </w:tcPr>
          <w:p>
            <w:pPr>
              <w:spacing w:after="0"/>
              <w:rPr>
                <w:sz w:val="13"/>
                <w:szCs w:val="13"/>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9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20,574</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9,888</w:t>
            </w: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36,643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17,524</w:t>
            </w:r>
          </w:p>
        </w:tc>
      </w:tr>
      <w:tr>
        <w:trPr>
          <w:trHeight w:val="172"/>
        </w:trPr>
        <w:tc>
          <w:tcPr>
            <w:tcW w:w="18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Arial" w:cs="Arial" w:eastAsia="Arial" w:hAnsi="Arial"/>
                <w:sz w:val="12"/>
                <w:szCs w:val="12"/>
                <w:color w:val="auto"/>
              </w:rPr>
              <w:t>Income (loss) from operations</w:t>
            </w: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2,167</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(7,276)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2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(12,855)</w:t>
            </w:r>
          </w:p>
        </w:tc>
      </w:tr>
      <w:tr>
        <w:trPr>
          <w:trHeight w:val="252"/>
        </w:trPr>
        <w:tc>
          <w:tcPr>
            <w:tcW w:w="8760" w:type="dxa"/>
            <w:vAlign w:val="bottom"/>
            <w:gridSpan w:val="14"/>
          </w:tcPr>
          <w:p>
            <w:pPr>
              <w:jc w:val="right"/>
              <w:ind w:right="364"/>
              <w:spacing w:after="0"/>
              <w:rPr>
                <w:sz w:val="20"/>
                <w:szCs w:val="20"/>
                <w:color w:val="auto"/>
              </w:rPr>
            </w:pPr>
            <w:r>
              <w:rPr>
                <w:rFonts w:ascii="Arial" w:cs="Arial" w:eastAsia="Arial" w:hAnsi="Arial"/>
                <w:sz w:val="12"/>
                <w:szCs w:val="12"/>
                <w:color w:val="auto"/>
                <w:w w:val="99"/>
              </w:rPr>
              <w:t>The following table presents selected items in our condensed statements of operations as a percentage of net revenues for the respective periods presented:</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72"/>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1"/>
                <w:szCs w:val="11"/>
                <w:b w:val="1"/>
                <w:bCs w:val="1"/>
                <w:color w:val="auto"/>
                <w:w w:val="97"/>
              </w:rPr>
              <w:t>Three Months Ended</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Six Months Ended</w:t>
            </w:r>
          </w:p>
        </w:tc>
        <w:tc>
          <w:tcPr>
            <w:tcW w:w="1040" w:type="dxa"/>
            <w:vAlign w:val="bottom"/>
            <w:tcBorders>
              <w:bottom w:val="single" w:sz="8" w:color="auto"/>
            </w:tcBorders>
          </w:tcPr>
          <w:p>
            <w:pPr>
              <w:spacing w:after="0"/>
              <w:rPr>
                <w:sz w:val="24"/>
                <w:szCs w:val="24"/>
                <w:color w:val="auto"/>
              </w:rPr>
            </w:pPr>
          </w:p>
        </w:tc>
      </w:tr>
      <w:tr>
        <w:trPr>
          <w:trHeight w:val="129"/>
        </w:trPr>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23"/>
              <w:spacing w:after="0"/>
              <w:rPr>
                <w:sz w:val="20"/>
                <w:szCs w:val="20"/>
                <w:color w:val="auto"/>
              </w:rPr>
            </w:pPr>
            <w:r>
              <w:rPr>
                <w:rFonts w:ascii="Arial" w:cs="Arial" w:eastAsia="Arial" w:hAnsi="Arial"/>
                <w:sz w:val="11"/>
                <w:szCs w:val="11"/>
                <w:b w:val="1"/>
                <w:bCs w:val="1"/>
                <w:color w:val="auto"/>
              </w:rPr>
              <w:t>June 29,</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24"/>
              <w:spacing w:after="0"/>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4"/>
              <w:spacing w:after="0"/>
              <w:rPr>
                <w:sz w:val="20"/>
                <w:szCs w:val="20"/>
                <w:color w:val="auto"/>
              </w:rPr>
            </w:pPr>
            <w:r>
              <w:rPr>
                <w:rFonts w:ascii="Arial" w:cs="Arial" w:eastAsia="Arial" w:hAnsi="Arial"/>
                <w:sz w:val="11"/>
                <w:szCs w:val="11"/>
                <w:b w:val="1"/>
                <w:bCs w:val="1"/>
                <w:color w:val="auto"/>
              </w:rPr>
              <w:t>June 29,</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w w:val="99"/>
              </w:rPr>
              <w:t>June 30,</w:t>
            </w:r>
          </w:p>
        </w:tc>
      </w:tr>
      <w:tr>
        <w:trPr>
          <w:trHeight w:val="148"/>
        </w:trPr>
        <w:tc>
          <w:tcPr>
            <w:tcW w:w="180" w:type="dxa"/>
            <w:vAlign w:val="bottom"/>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61"/>
              <w:spacing w:after="0"/>
              <w:rPr>
                <w:sz w:val="20"/>
                <w:szCs w:val="20"/>
                <w:color w:val="auto"/>
              </w:rPr>
            </w:pPr>
            <w:r>
              <w:rPr>
                <w:rFonts w:ascii="Arial" w:cs="Arial" w:eastAsia="Arial" w:hAnsi="Arial"/>
                <w:sz w:val="11"/>
                <w:szCs w:val="11"/>
                <w:b w:val="1"/>
                <w:bCs w:val="1"/>
                <w:color w:val="auto"/>
                <w:w w:val="97"/>
              </w:rPr>
              <w:t>2018</w:t>
            </w:r>
          </w:p>
        </w:tc>
      </w:tr>
      <w:tr>
        <w:trPr>
          <w:trHeight w:val="167"/>
        </w:trPr>
        <w:tc>
          <w:tcPr>
            <w:tcW w:w="180" w:type="dxa"/>
            <w:vAlign w:val="bottom"/>
          </w:tcPr>
          <w:p>
            <w:pPr>
              <w:spacing w:after="0"/>
              <w:rPr>
                <w:sz w:val="14"/>
                <w:szCs w:val="14"/>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revenues</w:t>
            </w: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100.0 %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100.0 %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76"/>
        </w:trPr>
        <w:tc>
          <w:tcPr>
            <w:tcW w:w="180" w:type="dxa"/>
            <w:vAlign w:val="bottom"/>
          </w:tcPr>
          <w:p>
            <w:pPr>
              <w:spacing w:after="0"/>
              <w:rPr>
                <w:sz w:val="15"/>
                <w:szCs w:val="15"/>
                <w:color w:val="auto"/>
              </w:rPr>
            </w:pPr>
          </w:p>
        </w:tc>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Cost of goods sold</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85.0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68.8</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84.5</w:t>
            </w:r>
          </w:p>
        </w:tc>
      </w:tr>
      <w:tr>
        <w:trPr>
          <w:trHeight w:val="160"/>
        </w:trPr>
        <w:tc>
          <w:tcPr>
            <w:tcW w:w="180" w:type="dxa"/>
            <w:vAlign w:val="bottom"/>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profit</w:t>
            </w: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31.2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15.5</w:t>
            </w:r>
          </w:p>
        </w:tc>
      </w:tr>
      <w:tr>
        <w:trPr>
          <w:trHeight w:val="160"/>
        </w:trPr>
        <w:tc>
          <w:tcPr>
            <w:tcW w:w="180" w:type="dxa"/>
            <w:vAlign w:val="bottom"/>
          </w:tcPr>
          <w:p>
            <w:pPr>
              <w:spacing w:after="0"/>
              <w:rPr>
                <w:sz w:val="13"/>
                <w:szCs w:val="13"/>
                <w:color w:val="auto"/>
              </w:rPr>
            </w:pPr>
          </w:p>
        </w:tc>
        <w:tc>
          <w:tcPr>
            <w:tcW w:w="4400" w:type="dxa"/>
            <w:vAlign w:val="bottom"/>
            <w:gridSpan w:val="3"/>
          </w:tcPr>
          <w:p>
            <w:pPr>
              <w:spacing w:after="0"/>
              <w:rPr>
                <w:sz w:val="20"/>
                <w:szCs w:val="20"/>
                <w:color w:val="auto"/>
              </w:rPr>
            </w:pPr>
            <w:r>
              <w:rPr>
                <w:rFonts w:ascii="Arial" w:cs="Arial" w:eastAsia="Arial" w:hAnsi="Arial"/>
                <w:sz w:val="12"/>
                <w:szCs w:val="12"/>
                <w:color w:val="auto"/>
              </w:rPr>
              <w:t>Research and development expenses</w:t>
            </w:r>
          </w:p>
        </w:tc>
        <w:tc>
          <w:tcPr>
            <w:tcW w:w="940" w:type="dxa"/>
            <w:vAlign w:val="bottom"/>
          </w:tcPr>
          <w:p>
            <w:pPr>
              <w:spacing w:after="0"/>
              <w:rPr>
                <w:sz w:val="13"/>
                <w:szCs w:val="13"/>
                <w:color w:val="auto"/>
              </w:rPr>
            </w:pPr>
          </w:p>
        </w:tc>
        <w:tc>
          <w:tcPr>
            <w:tcW w:w="460" w:type="dxa"/>
            <w:vAlign w:val="bottom"/>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jc w:val="right"/>
              <w:ind w:right="120"/>
              <w:spacing w:after="0"/>
              <w:rPr>
                <w:sz w:val="20"/>
                <w:szCs w:val="20"/>
                <w:color w:val="auto"/>
              </w:rPr>
            </w:pPr>
            <w:r>
              <w:rPr>
                <w:rFonts w:ascii="Arial" w:cs="Arial" w:eastAsia="Arial" w:hAnsi="Arial"/>
                <w:sz w:val="12"/>
                <w:szCs w:val="12"/>
                <w:color w:val="auto"/>
              </w:rPr>
              <w:t>14.4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121"/>
              <w:spacing w:after="0"/>
              <w:rPr>
                <w:sz w:val="20"/>
                <w:szCs w:val="20"/>
                <w:color w:val="auto"/>
              </w:rPr>
            </w:pPr>
            <w:r>
              <w:rPr>
                <w:rFonts w:ascii="Arial" w:cs="Arial" w:eastAsia="Arial" w:hAnsi="Arial"/>
                <w:sz w:val="12"/>
                <w:szCs w:val="12"/>
                <w:color w:val="auto"/>
              </w:rPr>
              <w:t>13.6</w:t>
            </w:r>
          </w:p>
        </w:tc>
      </w:tr>
      <w:tr>
        <w:trPr>
          <w:trHeight w:val="185"/>
        </w:trPr>
        <w:tc>
          <w:tcPr>
            <w:tcW w:w="180" w:type="dxa"/>
            <w:vAlign w:val="bottom"/>
          </w:tcPr>
          <w:p>
            <w:pPr>
              <w:spacing w:after="0"/>
              <w:rPr>
                <w:sz w:val="16"/>
                <w:szCs w:val="16"/>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24.8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42.4</w:t>
            </w:r>
          </w:p>
        </w:tc>
      </w:tr>
      <w:tr>
        <w:trPr>
          <w:trHeight w:val="176"/>
        </w:trPr>
        <w:tc>
          <w:tcPr>
            <w:tcW w:w="180" w:type="dxa"/>
            <w:vAlign w:val="bottom"/>
          </w:tcPr>
          <w:p>
            <w:pPr>
              <w:spacing w:after="0"/>
              <w:rPr>
                <w:sz w:val="15"/>
                <w:szCs w:val="15"/>
                <w:color w:val="auto"/>
              </w:rPr>
            </w:pPr>
          </w:p>
        </w:tc>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Restructuring expenses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1.2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2.1</w:t>
            </w:r>
          </w:p>
        </w:tc>
      </w:tr>
      <w:tr>
        <w:trPr>
          <w:trHeight w:val="160"/>
        </w:trPr>
        <w:tc>
          <w:tcPr>
            <w:tcW w:w="180" w:type="dxa"/>
            <w:vAlign w:val="bottom"/>
          </w:tcPr>
          <w:p>
            <w:pPr>
              <w:spacing w:after="0"/>
              <w:rPr>
                <w:sz w:val="13"/>
                <w:szCs w:val="13"/>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1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30.6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56.9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34.1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58.1</w:t>
            </w:r>
          </w:p>
        </w:tc>
      </w:tr>
      <w:tr>
        <w:trPr>
          <w:trHeight w:val="172"/>
        </w:trPr>
        <w:tc>
          <w:tcPr>
            <w:tcW w:w="18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Arial" w:cs="Arial" w:eastAsia="Arial" w:hAnsi="Arial"/>
                <w:sz w:val="12"/>
                <w:szCs w:val="12"/>
                <w:color w:val="auto"/>
              </w:rPr>
              <w:t>Income (loss) from operations</w:t>
            </w:r>
          </w:p>
        </w:tc>
        <w:tc>
          <w:tcPr>
            <w:tcW w:w="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(42.6)%</w:t>
            </w:r>
          </w:p>
        </w:tc>
      </w:tr>
      <w:tr>
        <w:trPr>
          <w:trHeight w:val="414"/>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100"/>
          </w:cols>
          <w:pgMar w:left="220" w:top="611" w:right="579" w:bottom="1440" w:gutter="0" w:footer="0" w:header="0"/>
        </w:sectPr>
      </w:pPr>
    </w:p>
    <w:bookmarkStart w:id="31" w:name="page32"/>
    <w:bookmarkEnd w:id="31"/>
    <w:p>
      <w:pPr>
        <w:ind w:left="200"/>
        <w:spacing w:after="0"/>
        <w:rPr>
          <w:sz w:val="20"/>
          <w:szCs w:val="20"/>
          <w:color w:val="auto"/>
        </w:rPr>
      </w:pPr>
      <w:r>
        <w:rPr>
          <w:rFonts w:ascii="Arial" w:cs="Arial" w:eastAsia="Arial" w:hAnsi="Arial"/>
          <w:sz w:val="12"/>
          <w:szCs w:val="12"/>
          <w:b w:val="1"/>
          <w:bCs w:val="1"/>
          <w:i w:val="1"/>
          <w:iCs w:val="1"/>
          <w:color w:val="auto"/>
        </w:rPr>
        <w:t>Three and Six Months Ended June 29, 2019 Compared to Three and Six Months Ended June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Net Revenues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ind w:left="760"/>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29,</w:t>
            </w:r>
          </w:p>
        </w:tc>
        <w:tc>
          <w:tcPr>
            <w:tcW w:w="200" w:type="dxa"/>
            <w:vAlign w:val="bottom"/>
          </w:tcPr>
          <w:p>
            <w:pPr>
              <w:spacing w:after="0"/>
              <w:rPr>
                <w:sz w:val="11"/>
                <w:szCs w:val="11"/>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June 30,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29,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19"/>
        </w:trPr>
        <w:tc>
          <w:tcPr>
            <w:tcW w:w="21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860" w:type="dxa"/>
            <w:vAlign w:val="bottom"/>
          </w:tcPr>
          <w:p>
            <w:pPr>
              <w:jc w:val="center"/>
              <w:ind w:right="123"/>
              <w:spacing w:after="0" w:line="119" w:lineRule="exact"/>
              <w:rPr>
                <w:sz w:val="20"/>
                <w:szCs w:val="20"/>
                <w:color w:val="auto"/>
              </w:rPr>
            </w:pPr>
            <w:r>
              <w:rPr>
                <w:rFonts w:ascii="Arial" w:cs="Arial" w:eastAsia="Arial" w:hAnsi="Arial"/>
                <w:sz w:val="11"/>
                <w:szCs w:val="11"/>
                <w:b w:val="1"/>
                <w:bCs w:val="1"/>
                <w:color w:val="auto"/>
                <w:w w:val="97"/>
              </w:rPr>
              <w:t>2019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42"/>
              <w:spacing w:after="0" w:line="119" w:lineRule="exact"/>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1"/>
              <w:spacing w:after="0" w:line="11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403"/>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62"/>
              <w:spacing w:after="0" w:line="119" w:lineRule="exact"/>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ind w:left="180"/>
              <w:spacing w:after="0" w:line="119" w:lineRule="exact"/>
              <w:rPr>
                <w:sz w:val="20"/>
                <w:szCs w:val="20"/>
                <w:color w:val="auto"/>
              </w:rPr>
            </w:pPr>
            <w:r>
              <w:rPr>
                <w:rFonts w:ascii="Arial" w:cs="Arial" w:eastAsia="Arial" w:hAnsi="Arial"/>
                <w:sz w:val="11"/>
                <w:szCs w:val="11"/>
                <w:b w:val="1"/>
                <w:bCs w:val="1"/>
                <w:color w:val="auto"/>
              </w:rPr>
              <w:t>Amount</w:t>
            </w:r>
          </w:p>
        </w:tc>
        <w:tc>
          <w:tcPr>
            <w:tcW w:w="760" w:type="dxa"/>
            <w:vAlign w:val="bottom"/>
          </w:tcPr>
          <w:p>
            <w:pPr>
              <w:jc w:val="right"/>
              <w:ind w:right="421"/>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80"/>
              <w:spacing w:after="0"/>
              <w:rPr>
                <w:sz w:val="20"/>
                <w:szCs w:val="20"/>
                <w:color w:val="auto"/>
              </w:rPr>
            </w:pPr>
            <w:r>
              <w:rPr>
                <w:rFonts w:ascii="Arial" w:cs="Arial" w:eastAsia="Arial" w:hAnsi="Arial"/>
                <w:sz w:val="12"/>
                <w:szCs w:val="12"/>
                <w:color w:val="auto"/>
              </w:rPr>
              <w:t>Gross Fresh Platform</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67,722</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15,119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52,603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347.9%</w:t>
            </w:r>
          </w:p>
        </w:tc>
        <w:tc>
          <w:tcPr>
            <w:tcW w:w="10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16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106,528</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24,715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81,813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331.0%</w:t>
            </w:r>
          </w:p>
        </w:tc>
      </w:tr>
      <w:tr>
        <w:trPr>
          <w:trHeight w:val="185"/>
        </w:trPr>
        <w:tc>
          <w:tcPr>
            <w:tcW w:w="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Gross Frozen Platform</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5,639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10,151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76"/>
        </w:trPr>
        <w:tc>
          <w:tcPr>
            <w:tcW w:w="2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Less: Discounts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(6,110)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(2,258)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(3,852)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170.6%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(9,222)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(3,826)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(5,396)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141.0%</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Net revenues</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67,251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17,367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49,884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287.2%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107,457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30,143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77,314</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256.5%</w:t>
            </w: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78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1"/>
                <w:szCs w:val="11"/>
                <w:b w:val="1"/>
                <w:bCs w:val="1"/>
                <w:color w:val="auto"/>
              </w:rPr>
              <w:t>Six Months Ended</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29,</w:t>
            </w:r>
          </w:p>
        </w:tc>
        <w:tc>
          <w:tcPr>
            <w:tcW w:w="200" w:type="dxa"/>
            <w:vAlign w:val="bottom"/>
          </w:tcPr>
          <w:p>
            <w:pPr>
              <w:spacing w:after="0"/>
              <w:rPr>
                <w:sz w:val="11"/>
                <w:szCs w:val="11"/>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June 30,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29,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19"/>
        </w:trPr>
        <w:tc>
          <w:tcPr>
            <w:tcW w:w="21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860" w:type="dxa"/>
            <w:vAlign w:val="bottom"/>
          </w:tcPr>
          <w:p>
            <w:pPr>
              <w:jc w:val="center"/>
              <w:ind w:right="123"/>
              <w:spacing w:after="0" w:line="119" w:lineRule="exact"/>
              <w:rPr>
                <w:sz w:val="20"/>
                <w:szCs w:val="20"/>
                <w:color w:val="auto"/>
              </w:rPr>
            </w:pPr>
            <w:r>
              <w:rPr>
                <w:rFonts w:ascii="Arial" w:cs="Arial" w:eastAsia="Arial" w:hAnsi="Arial"/>
                <w:sz w:val="11"/>
                <w:szCs w:val="11"/>
                <w:b w:val="1"/>
                <w:bCs w:val="1"/>
                <w:color w:val="auto"/>
                <w:w w:val="97"/>
              </w:rPr>
              <w:t>2019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center"/>
              <w:ind w:right="142"/>
              <w:spacing w:after="0" w:line="119" w:lineRule="exact"/>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361"/>
              <w:spacing w:after="0" w:line="11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323"/>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22"/>
              <w:spacing w:after="0" w:line="119" w:lineRule="exact"/>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Amount</w:t>
            </w:r>
          </w:p>
        </w:tc>
        <w:tc>
          <w:tcPr>
            <w:tcW w:w="760" w:type="dxa"/>
            <w:vAlign w:val="bottom"/>
          </w:tcPr>
          <w:p>
            <w:pPr>
              <w:jc w:val="right"/>
              <w:ind w:right="481"/>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160" w:type="dxa"/>
            <w:vAlign w:val="bottom"/>
            <w:gridSpan w:val="2"/>
          </w:tcPr>
          <w:p>
            <w:pPr>
              <w:ind w:left="80"/>
              <w:spacing w:after="0"/>
              <w:rPr>
                <w:sz w:val="20"/>
                <w:szCs w:val="20"/>
                <w:color w:val="auto"/>
              </w:rPr>
            </w:pPr>
            <w:r>
              <w:rPr>
                <w:rFonts w:ascii="Arial" w:cs="Arial" w:eastAsia="Arial" w:hAnsi="Arial"/>
                <w:sz w:val="12"/>
                <w:szCs w:val="12"/>
                <w:color w:val="auto"/>
              </w:rPr>
              <w:t>Retail</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3"/>
              <w:spacing w:after="0"/>
              <w:rPr>
                <w:sz w:val="20"/>
                <w:szCs w:val="20"/>
                <w:color w:val="auto"/>
              </w:rPr>
            </w:pPr>
            <w:r>
              <w:rPr>
                <w:rFonts w:ascii="Arial" w:cs="Arial" w:eastAsia="Arial" w:hAnsi="Arial"/>
                <w:sz w:val="12"/>
                <w:szCs w:val="12"/>
                <w:color w:val="auto"/>
              </w:rPr>
              <w:t>34,120</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11,684</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22,436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192.0%</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53,699</w:t>
            </w:r>
          </w:p>
        </w:tc>
        <w:tc>
          <w:tcPr>
            <w:tcW w:w="1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20,972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32,727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156.1%</w:t>
            </w:r>
          </w:p>
        </w:tc>
      </w:tr>
      <w:tr>
        <w:trPr>
          <w:trHeight w:val="180"/>
        </w:trPr>
        <w:tc>
          <w:tcPr>
            <w:tcW w:w="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Restaurant and Foodservice</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33,131</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5,683</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27,448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483.0%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53,758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9,171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44,587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486.2%</w:t>
            </w:r>
          </w:p>
        </w:tc>
      </w:tr>
      <w:tr>
        <w:trPr>
          <w:trHeight w:val="172"/>
        </w:trPr>
        <w:tc>
          <w:tcPr>
            <w:tcW w:w="2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2"/>
                <w:szCs w:val="12"/>
                <w:color w:val="auto"/>
              </w:rPr>
              <w:t>Net revenues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67,251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17,367</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49,884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287.2%</w:t>
            </w:r>
          </w:p>
        </w:tc>
        <w:tc>
          <w:tcPr>
            <w:tcW w:w="120" w:type="dxa"/>
            <w:vAlign w:val="bottom"/>
            <w:gridSpan w:val="2"/>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107,457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30,143</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77,314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256.5%</w:t>
            </w:r>
          </w:p>
        </w:tc>
      </w:tr>
    </w:tbl>
    <w:p>
      <w:pPr>
        <w:spacing w:after="0" w:line="10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Net revenues increased by $49.9 million, or 287.2%, and $77.3 million, or 256.5%, in the three and six months ended June 29, 2019, respectively, as compared to the prior-year periods primarily due to strong growth in sales volumes of products in our fresh platform across both our retail and our restaurant and foodservice channels, driven by expansion in the number of retail and foodservice points of distribution, including new strategic customers, international customers and greater demand from our existing customers. Net revenues from international customers (excluding the Canadian market) in the three and six months ended June 29, 2019 were approximately 12% and 13% of net revenues, respectively, as compared to approximately 3% and 2% of net revenues, respectively, in the prior-year periods. We discontinued our frozen chicken strips product line during the first quarter of 2019, causing a decline in frozen product revenues consistent with our shift to concentrate more on our fresh products platform.</w:t>
      </w:r>
    </w:p>
    <w:p>
      <w:pPr>
        <w:spacing w:after="0" w:line="101"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Gross revenues from sales of products in our fresh platform in the three and six months ended June 29, 2019 increased $52.6 million, or 347.9%, and $81.8 million, or 331.0%, respectively, primarily due to increases in sales of the Beyond Burger and Beyond Sausage. Net revenues from retail sales in the three and six months ended June 29, 2019 increased $22.4 million, or 192.0%, and $32.7 million, or 156.1%, respectively, primarily due to increase in sales of the Beyond Burger. Net revenues from sales through our restaurant and foodservice channel in the three and six months ended June 29, 2019 increased $27.4 million, or 483.0%, and $44.6 million, or 486.2%, respectively, primarily due to increases in sales of the Beyond Burger, which was being served in approximately 18,000 restaurant and foodservice outlets worldwide as of June 16, 2019, and due to increased sales of Beyond Sausage.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611" w:right="199" w:bottom="1440" w:gutter="0" w:footer="0" w:header="0"/>
        </w:sectPr>
      </w:pPr>
    </w:p>
    <w:bookmarkStart w:id="32" w:name="page33"/>
    <w:bookmarkEnd w:id="32"/>
    <w:p>
      <w:pPr>
        <w:ind w:left="200"/>
        <w:spacing w:after="0"/>
        <w:rPr>
          <w:sz w:val="20"/>
          <w:szCs w:val="20"/>
          <w:color w:val="auto"/>
        </w:rPr>
      </w:pPr>
      <w:r>
        <w:rPr>
          <w:rFonts w:ascii="Arial" w:cs="Arial" w:eastAsia="Arial" w:hAnsi="Arial"/>
          <w:sz w:val="12"/>
          <w:szCs w:val="12"/>
          <w:color w:val="auto"/>
        </w:rPr>
        <w:t>The following tables present volume of our products sold in pounds: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6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1"/>
                <w:szCs w:val="11"/>
                <w:b w:val="1"/>
                <w:bCs w:val="1"/>
                <w:color w:val="auto"/>
              </w:rPr>
              <w:t>Change</w:t>
            </w:r>
          </w:p>
        </w:tc>
        <w:tc>
          <w:tcPr>
            <w:tcW w:w="120" w:type="dxa"/>
            <w:vAlign w:val="bottom"/>
          </w:tcPr>
          <w:p>
            <w:pPr>
              <w:spacing w:after="0"/>
              <w:rPr>
                <w:sz w:val="12"/>
                <w:szCs w:val="12"/>
                <w:color w:val="auto"/>
              </w:rPr>
            </w:pPr>
          </w:p>
        </w:tc>
        <w:tc>
          <w:tcPr>
            <w:tcW w:w="2160" w:type="dxa"/>
            <w:vAlign w:val="bottom"/>
            <w:tcBorders>
              <w:bottom w:val="single" w:sz="8" w:color="auto"/>
            </w:tcBorders>
            <w:gridSpan w:val="3"/>
          </w:tcPr>
          <w:p>
            <w:pPr>
              <w:ind w:left="620"/>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1"/>
                <w:szCs w:val="11"/>
                <w:b w:val="1"/>
                <w:bCs w:val="1"/>
                <w:color w:val="auto"/>
              </w:rPr>
              <w:t>Change</w:t>
            </w:r>
          </w:p>
        </w:tc>
      </w:tr>
      <w:tr>
        <w:trPr>
          <w:trHeight w:val="129"/>
        </w:trPr>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June 29,</w:t>
            </w:r>
          </w:p>
        </w:tc>
        <w:tc>
          <w:tcPr>
            <w:tcW w:w="11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June 30,</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June 29,</w:t>
            </w:r>
          </w:p>
        </w:tc>
        <w:tc>
          <w:tcPr>
            <w:tcW w:w="11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June 30,</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19"/>
        </w:trPr>
        <w:tc>
          <w:tcPr>
            <w:tcW w:w="23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 thousands)</w:t>
            </w:r>
          </w:p>
        </w:tc>
        <w:tc>
          <w:tcPr>
            <w:tcW w:w="1020" w:type="dxa"/>
            <w:vAlign w:val="bottom"/>
          </w:tcPr>
          <w:p>
            <w:pPr>
              <w:jc w:val="right"/>
              <w:ind w:right="326"/>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1020" w:type="dxa"/>
            <w:vAlign w:val="bottom"/>
          </w:tcPr>
          <w:p>
            <w:pPr>
              <w:jc w:val="right"/>
              <w:ind w:right="346"/>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820" w:type="dxa"/>
            <w:vAlign w:val="bottom"/>
          </w:tcPr>
          <w:p>
            <w:pPr>
              <w:ind w:left="320"/>
              <w:spacing w:after="0" w:line="119" w:lineRule="exact"/>
              <w:rPr>
                <w:sz w:val="20"/>
                <w:szCs w:val="20"/>
                <w:color w:val="auto"/>
              </w:rPr>
            </w:pPr>
            <w:r>
              <w:rPr>
                <w:rFonts w:ascii="Arial" w:cs="Arial" w:eastAsia="Arial" w:hAnsi="Arial"/>
                <w:sz w:val="11"/>
                <w:szCs w:val="11"/>
                <w:b w:val="1"/>
                <w:bCs w:val="1"/>
                <w:color w:val="auto"/>
              </w:rPr>
              <w:t>Amount</w:t>
            </w:r>
          </w:p>
        </w:tc>
        <w:tc>
          <w:tcPr>
            <w:tcW w:w="1400" w:type="dxa"/>
            <w:vAlign w:val="bottom"/>
            <w:gridSpan w:val="3"/>
          </w:tcPr>
          <w:p>
            <w:pPr>
              <w:jc w:val="right"/>
              <w:ind w:right="480"/>
              <w:spacing w:after="0" w:line="119"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1020" w:type="dxa"/>
            <w:vAlign w:val="bottom"/>
          </w:tcPr>
          <w:p>
            <w:pPr>
              <w:jc w:val="right"/>
              <w:ind w:right="346"/>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1040" w:type="dxa"/>
            <w:vAlign w:val="bottom"/>
          </w:tcPr>
          <w:p>
            <w:pPr>
              <w:jc w:val="right"/>
              <w:ind w:right="346"/>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820" w:type="dxa"/>
            <w:vAlign w:val="bottom"/>
          </w:tcPr>
          <w:p>
            <w:pPr>
              <w:ind w:left="300"/>
              <w:spacing w:after="0" w:line="119" w:lineRule="exact"/>
              <w:rPr>
                <w:sz w:val="20"/>
                <w:szCs w:val="20"/>
                <w:color w:val="auto"/>
              </w:rPr>
            </w:pPr>
            <w:r>
              <w:rPr>
                <w:rFonts w:ascii="Arial" w:cs="Arial" w:eastAsia="Arial" w:hAnsi="Arial"/>
                <w:sz w:val="11"/>
                <w:szCs w:val="11"/>
                <w:b w:val="1"/>
                <w:bCs w:val="1"/>
                <w:color w:val="auto"/>
              </w:rPr>
              <w:t>Amount</w:t>
            </w:r>
          </w:p>
        </w:tc>
        <w:tc>
          <w:tcPr>
            <w:tcW w:w="1400" w:type="dxa"/>
            <w:vAlign w:val="bottom"/>
            <w:gridSpan w:val="3"/>
          </w:tcPr>
          <w:p>
            <w:pPr>
              <w:jc w:val="right"/>
              <w:ind w:right="500"/>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29234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00" w:type="dxa"/>
            <w:vAlign w:val="bottom"/>
            <w:gridSpan w:val="3"/>
          </w:tcPr>
          <w:p>
            <w:pPr>
              <w:ind w:left="20"/>
              <w:spacing w:after="0"/>
              <w:rPr>
                <w:sz w:val="20"/>
                <w:szCs w:val="20"/>
                <w:color w:val="auto"/>
              </w:rPr>
            </w:pPr>
            <w:r>
              <w:rPr>
                <w:rFonts w:ascii="Arial" w:cs="Arial" w:eastAsia="Arial" w:hAnsi="Arial"/>
                <w:sz w:val="12"/>
                <w:szCs w:val="12"/>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2380" w:type="dxa"/>
            <w:vAlign w:val="bottom"/>
            <w:gridSpan w:val="2"/>
          </w:tcPr>
          <w:p>
            <w:pPr>
              <w:ind w:left="80"/>
              <w:spacing w:after="0"/>
              <w:rPr>
                <w:sz w:val="20"/>
                <w:szCs w:val="20"/>
                <w:color w:val="auto"/>
              </w:rPr>
            </w:pPr>
            <w:r>
              <w:rPr>
                <w:rFonts w:ascii="Arial" w:cs="Arial" w:eastAsia="Arial" w:hAnsi="Arial"/>
                <w:sz w:val="12"/>
                <w:szCs w:val="12"/>
                <w:color w:val="auto"/>
              </w:rPr>
              <w:t>Fresh Platform</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2"/>
                <w:szCs w:val="12"/>
                <w:color w:val="auto"/>
              </w:rPr>
              <w:t>4,609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1,377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3,232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234.7 %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left="203"/>
              <w:spacing w:after="0"/>
              <w:rPr>
                <w:sz w:val="20"/>
                <w:szCs w:val="20"/>
                <w:color w:val="auto"/>
              </w:rPr>
            </w:pPr>
            <w:r>
              <w:rPr>
                <w:rFonts w:ascii="Arial" w:cs="Arial" w:eastAsia="Arial" w:hAnsi="Arial"/>
                <w:sz w:val="12"/>
                <w:szCs w:val="12"/>
                <w:color w:val="auto"/>
                <w:w w:val="99"/>
              </w:rPr>
              <w:t>7,236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left="202"/>
              <w:spacing w:after="0"/>
              <w:rPr>
                <w:sz w:val="20"/>
                <w:szCs w:val="20"/>
                <w:color w:val="auto"/>
              </w:rPr>
            </w:pPr>
            <w:r>
              <w:rPr>
                <w:rFonts w:ascii="Arial" w:cs="Arial" w:eastAsia="Arial" w:hAnsi="Arial"/>
                <w:sz w:val="12"/>
                <w:szCs w:val="12"/>
                <w:color w:val="auto"/>
                <w:w w:val="99"/>
              </w:rPr>
              <w:t>2,237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4,999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223.5 %</w:t>
            </w:r>
          </w:p>
        </w:tc>
      </w:tr>
      <w:tr>
        <w:trPr>
          <w:trHeight w:val="180"/>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Frozen Platform</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435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676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(241)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(35.7)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left="203"/>
              <w:spacing w:after="0"/>
              <w:rPr>
                <w:sz w:val="20"/>
                <w:szCs w:val="20"/>
                <w:color w:val="auto"/>
              </w:rPr>
            </w:pPr>
            <w:r>
              <w:rPr>
                <w:rFonts w:ascii="Arial" w:cs="Arial" w:eastAsia="Arial" w:hAnsi="Arial"/>
                <w:sz w:val="12"/>
                <w:szCs w:val="12"/>
                <w:color w:val="auto"/>
                <w:w w:val="99"/>
              </w:rPr>
              <w:t>1,034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left="202"/>
              <w:spacing w:after="0"/>
              <w:rPr>
                <w:sz w:val="20"/>
                <w:szCs w:val="20"/>
                <w:color w:val="auto"/>
              </w:rPr>
            </w:pPr>
            <w:r>
              <w:rPr>
                <w:rFonts w:ascii="Arial" w:cs="Arial" w:eastAsia="Arial" w:hAnsi="Arial"/>
                <w:sz w:val="12"/>
                <w:szCs w:val="12"/>
                <w:color w:val="auto"/>
                <w:w w:val="99"/>
              </w:rPr>
              <w:t>1,437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(403)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(28.0)</w:t>
            </w:r>
          </w:p>
        </w:tc>
      </w:tr>
      <w:tr>
        <w:trPr>
          <w:trHeight w:val="172"/>
        </w:trPr>
        <w:tc>
          <w:tcPr>
            <w:tcW w:w="2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5,044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2,053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2,991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145.7 %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203"/>
              <w:spacing w:after="0"/>
              <w:rPr>
                <w:sz w:val="20"/>
                <w:szCs w:val="20"/>
                <w:color w:val="auto"/>
              </w:rPr>
            </w:pPr>
            <w:r>
              <w:rPr>
                <w:rFonts w:ascii="Arial" w:cs="Arial" w:eastAsia="Arial" w:hAnsi="Arial"/>
                <w:sz w:val="12"/>
                <w:szCs w:val="12"/>
                <w:color w:val="auto"/>
                <w:w w:val="99"/>
              </w:rPr>
              <w:t>8,270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202"/>
              <w:spacing w:after="0"/>
              <w:rPr>
                <w:sz w:val="20"/>
                <w:szCs w:val="20"/>
                <w:color w:val="auto"/>
              </w:rPr>
            </w:pPr>
            <w:r>
              <w:rPr>
                <w:rFonts w:ascii="Arial" w:cs="Arial" w:eastAsia="Arial" w:hAnsi="Arial"/>
                <w:sz w:val="12"/>
                <w:szCs w:val="12"/>
                <w:color w:val="auto"/>
                <w:w w:val="99"/>
              </w:rPr>
              <w:t>3,674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4,596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125.1 %</w:t>
            </w: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40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7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ind w:left="420"/>
              <w:spacing w:after="0"/>
              <w:rPr>
                <w:sz w:val="20"/>
                <w:szCs w:val="20"/>
                <w:color w:val="auto"/>
              </w:rPr>
            </w:pPr>
            <w:r>
              <w:rPr>
                <w:rFonts w:ascii="Arial" w:cs="Arial" w:eastAsia="Arial" w:hAnsi="Arial"/>
                <w:sz w:val="11"/>
                <w:szCs w:val="11"/>
                <w:b w:val="1"/>
                <w:bCs w:val="1"/>
                <w:color w:val="auto"/>
              </w:rPr>
              <w:t>Six Months Ended</w:t>
            </w:r>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9"/>
              </w:rPr>
              <w:t>June 29,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9"/>
              </w:rPr>
              <w:t>June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June 29,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9"/>
        </w:trPr>
        <w:tc>
          <w:tcPr>
            <w:tcW w:w="24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83"/>
              <w:spacing w:after="0" w:line="119"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ind w:right="62"/>
              <w:spacing w:after="0" w:line="119" w:lineRule="exact"/>
              <w:rPr>
                <w:sz w:val="20"/>
                <w:szCs w:val="20"/>
                <w:color w:val="auto"/>
              </w:rPr>
            </w:pPr>
            <w:r>
              <w:rPr>
                <w:rFonts w:ascii="Arial" w:cs="Arial" w:eastAsia="Arial" w:hAnsi="Arial"/>
                <w:sz w:val="11"/>
                <w:szCs w:val="11"/>
                <w:b w:val="1"/>
                <w:bCs w:val="1"/>
                <w:color w:val="auto"/>
                <w:w w:val="97"/>
              </w:rPr>
              <w:t>2018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6"/>
          </w:tcPr>
          <w:p>
            <w:pPr>
              <w:ind w:left="10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1"/>
              <w:spacing w:after="0" w:line="119"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103"/>
              <w:spacing w:after="0" w:line="119"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302"/>
              <w:spacing w:after="0" w:line="119" w:lineRule="exact"/>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4"/>
          </w:tcPr>
          <w:p>
            <w:pPr>
              <w:ind w:left="10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1"/>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5"/>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Restaurant and Foodservice:</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2"/>
                <w:szCs w:val="12"/>
                <w:color w:val="auto"/>
              </w:rPr>
              <w:t>Fresh Platform</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5,770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792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4,978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w w:val="98"/>
              </w:rPr>
              <w:t>628.5%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9,066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1,269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7,797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614.4%</w:t>
            </w:r>
          </w:p>
        </w:tc>
      </w:tr>
      <w:tr>
        <w:trPr>
          <w:trHeight w:val="180"/>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Frozen Platform</w:t>
            </w: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682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232</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194.0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998</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406</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592</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145.8</w:t>
            </w:r>
          </w:p>
        </w:tc>
      </w:tr>
      <w:tr>
        <w:trPr>
          <w:trHeight w:val="172"/>
        </w:trPr>
        <w:tc>
          <w:tcPr>
            <w:tcW w:w="2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6,452</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1,024</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5,428</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w w:val="98"/>
              </w:rPr>
              <w:t>530.1%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223"/>
              <w:spacing w:after="0"/>
              <w:rPr>
                <w:sz w:val="20"/>
                <w:szCs w:val="20"/>
                <w:color w:val="auto"/>
              </w:rPr>
            </w:pPr>
            <w:r>
              <w:rPr>
                <w:rFonts w:ascii="Arial" w:cs="Arial" w:eastAsia="Arial" w:hAnsi="Arial"/>
                <w:sz w:val="12"/>
                <w:szCs w:val="12"/>
                <w:color w:val="auto"/>
                <w:w w:val="97"/>
              </w:rPr>
              <w:t>10,064</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1,675</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8,389</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500.8%</w:t>
            </w:r>
          </w:p>
        </w:tc>
      </w:tr>
      <w:tr>
        <w:trPr>
          <w:trHeight w:val="324"/>
        </w:trPr>
        <w:tc>
          <w:tcPr>
            <w:tcW w:w="20" w:type="dxa"/>
            <w:vAlign w:val="bottom"/>
          </w:tcPr>
          <w:p>
            <w:pPr>
              <w:spacing w:after="0"/>
              <w:rPr>
                <w:sz w:val="24"/>
                <w:szCs w:val="24"/>
                <w:color w:val="auto"/>
              </w:rPr>
            </w:pPr>
          </w:p>
        </w:tc>
        <w:tc>
          <w:tcPr>
            <w:tcW w:w="2380" w:type="dxa"/>
            <w:vAlign w:val="bottom"/>
            <w:gridSpan w:val="2"/>
          </w:tcPr>
          <w:p>
            <w:pPr>
              <w:ind w:left="180"/>
              <w:spacing w:after="0"/>
              <w:rPr>
                <w:sz w:val="20"/>
                <w:szCs w:val="20"/>
                <w:color w:val="auto"/>
              </w:rPr>
            </w:pPr>
            <w:r>
              <w:rPr>
                <w:rFonts w:ascii="Arial" w:cs="Arial" w:eastAsia="Arial" w:hAnsi="Arial"/>
                <w:sz w:val="12"/>
                <w:szCs w:val="12"/>
                <w:i w:val="1"/>
                <w:iCs w:val="1"/>
                <w:color w:val="auto"/>
              </w:rPr>
              <w:t>Cost of Goods Sold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40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72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ind w:left="440"/>
              <w:spacing w:after="0"/>
              <w:rPr>
                <w:sz w:val="20"/>
                <w:szCs w:val="20"/>
                <w:color w:val="auto"/>
              </w:rPr>
            </w:pPr>
            <w:r>
              <w:rPr>
                <w:rFonts w:ascii="Arial" w:cs="Arial" w:eastAsia="Arial" w:hAnsi="Arial"/>
                <w:sz w:val="11"/>
                <w:szCs w:val="11"/>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9"/>
              </w:rPr>
              <w:t>June 29,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9"/>
              </w:rPr>
              <w:t>June 30,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5"/>
              </w:rPr>
              <w:t>June 29,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4"/>
          </w:tcPr>
          <w:p>
            <w:pPr>
              <w:ind w:left="100"/>
              <w:spacing w:after="0"/>
              <w:rPr>
                <w:sz w:val="20"/>
                <w:szCs w:val="20"/>
                <w:color w:val="auto"/>
              </w:rPr>
            </w:pPr>
            <w:r>
              <w:rPr>
                <w:rFonts w:ascii="Arial" w:cs="Arial" w:eastAsia="Arial" w:hAnsi="Arial"/>
                <w:sz w:val="11"/>
                <w:szCs w:val="11"/>
                <w:b w:val="1"/>
                <w:bCs w:val="1"/>
                <w:color w:val="auto"/>
              </w:rPr>
              <w:t>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9"/>
        </w:trPr>
        <w:tc>
          <w:tcPr>
            <w:tcW w:w="24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83"/>
              <w:spacing w:after="0" w:line="119"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ind w:right="62"/>
              <w:spacing w:after="0" w:line="119" w:lineRule="exact"/>
              <w:rPr>
                <w:sz w:val="20"/>
                <w:szCs w:val="20"/>
                <w:color w:val="auto"/>
              </w:rPr>
            </w:pPr>
            <w:r>
              <w:rPr>
                <w:rFonts w:ascii="Arial" w:cs="Arial" w:eastAsia="Arial" w:hAnsi="Arial"/>
                <w:sz w:val="11"/>
                <w:szCs w:val="11"/>
                <w:b w:val="1"/>
                <w:bCs w:val="1"/>
                <w:color w:val="auto"/>
                <w:w w:val="97"/>
              </w:rPr>
              <w:t>2018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6"/>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381"/>
              <w:spacing w:after="0" w:line="119"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63"/>
              <w:spacing w:after="0" w:line="119"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302"/>
              <w:spacing w:after="0" w:line="119" w:lineRule="exact"/>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1"/>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Cost of goods sold</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44,510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14,755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29,755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2"/>
                <w:szCs w:val="12"/>
                <w:color w:val="auto"/>
              </w:rPr>
              <w:t>201.7%   $</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73,945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97"/>
              </w:rPr>
              <w:t>25,474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48,471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r>
    </w:tbl>
    <w:p>
      <w:pPr>
        <w:spacing w:after="0" w:line="108" w:lineRule="exact"/>
        <w:rPr>
          <w:sz w:val="20"/>
          <w:szCs w:val="20"/>
          <w:color w:val="auto"/>
        </w:rPr>
      </w:pPr>
    </w:p>
    <w:p>
      <w:pPr>
        <w:ind w:right="180" w:firstLine="216"/>
        <w:spacing w:after="0" w:line="262" w:lineRule="auto"/>
        <w:rPr>
          <w:sz w:val="20"/>
          <w:szCs w:val="20"/>
          <w:color w:val="auto"/>
        </w:rPr>
      </w:pPr>
      <w:r>
        <w:rPr>
          <w:rFonts w:ascii="Arial" w:cs="Arial" w:eastAsia="Arial" w:hAnsi="Arial"/>
          <w:sz w:val="12"/>
          <w:szCs w:val="12"/>
          <w:color w:val="auto"/>
        </w:rPr>
        <w:t>Cost of goods sold increased by $29.8 million, or 201.7%, and $48.5 million, or 190.3%, respectively, in the three and six months ended June 29, 2019 as compared to the prior-year periods, primarily due to the increase in the sales volume of our products.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Gross Profit and Gross Margin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auto"/>
              </w:rPr>
              <w:t>Change</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29,</w:t>
            </w:r>
          </w:p>
        </w:tc>
        <w:tc>
          <w:tcPr>
            <w:tcW w:w="18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304"/>
              <w:spacing w:after="0"/>
              <w:rPr>
                <w:sz w:val="20"/>
                <w:szCs w:val="20"/>
                <w:color w:val="auto"/>
              </w:rPr>
            </w:pPr>
            <w:r>
              <w:rPr>
                <w:rFonts w:ascii="Arial" w:cs="Arial" w:eastAsia="Arial" w:hAnsi="Arial"/>
                <w:sz w:val="11"/>
                <w:szCs w:val="11"/>
                <w:b w:val="1"/>
                <w:bCs w:val="1"/>
                <w:color w:val="auto"/>
              </w:rPr>
              <w:t>June 29,</w:t>
            </w:r>
          </w:p>
        </w:tc>
        <w:tc>
          <w:tcPr>
            <w:tcW w:w="24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9"/>
        </w:trPr>
        <w:tc>
          <w:tcPr>
            <w:tcW w:w="24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880" w:type="dxa"/>
            <w:vAlign w:val="bottom"/>
          </w:tcPr>
          <w:p>
            <w:pPr>
              <w:jc w:val="right"/>
              <w:ind w:right="364"/>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43"/>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Amount</w:t>
            </w:r>
          </w:p>
        </w:tc>
        <w:tc>
          <w:tcPr>
            <w:tcW w:w="2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384"/>
              <w:spacing w:after="0" w:line="119" w:lineRule="exact"/>
              <w:rPr>
                <w:sz w:val="20"/>
                <w:szCs w:val="20"/>
                <w:color w:val="auto"/>
              </w:rPr>
            </w:pPr>
            <w:r>
              <w:rPr>
                <w:rFonts w:ascii="Arial" w:cs="Arial" w:eastAsia="Arial" w:hAnsi="Arial"/>
                <w:sz w:val="11"/>
                <w:szCs w:val="11"/>
                <w:b w:val="1"/>
                <w:bCs w:val="1"/>
                <w:color w:val="auto"/>
              </w:rPr>
              <w:t>2019</w:t>
            </w:r>
          </w:p>
        </w:tc>
        <w:tc>
          <w:tcPr>
            <w:tcW w:w="240" w:type="dxa"/>
            <w:vAlign w:val="bottom"/>
          </w:tcPr>
          <w:p>
            <w:pPr>
              <w:spacing w:after="0"/>
              <w:rPr>
                <w:sz w:val="10"/>
                <w:szCs w:val="10"/>
                <w:color w:val="auto"/>
              </w:rPr>
            </w:pPr>
          </w:p>
        </w:tc>
        <w:tc>
          <w:tcPr>
            <w:tcW w:w="860" w:type="dxa"/>
            <w:vAlign w:val="bottom"/>
          </w:tcPr>
          <w:p>
            <w:pPr>
              <w:jc w:val="right"/>
              <w:ind w:right="343"/>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ind w:right="683"/>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2"/>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5"/>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22,741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2,612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20,129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770.6%   $</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33,512</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83"/>
              <w:spacing w:after="0"/>
              <w:rPr>
                <w:sz w:val="20"/>
                <w:szCs w:val="20"/>
                <w:color w:val="auto"/>
              </w:rPr>
            </w:pPr>
            <w:r>
              <w:rPr>
                <w:rFonts w:ascii="Arial" w:cs="Arial" w:eastAsia="Arial" w:hAnsi="Arial"/>
                <w:sz w:val="12"/>
                <w:szCs w:val="12"/>
                <w:color w:val="auto"/>
              </w:rPr>
              <w:t>28,843</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617.8%</w:t>
            </w:r>
          </w:p>
        </w:tc>
      </w:tr>
      <w:tr>
        <w:trPr>
          <w:trHeight w:val="171"/>
        </w:trPr>
        <w:tc>
          <w:tcPr>
            <w:tcW w:w="2420" w:type="dxa"/>
            <w:vAlign w:val="bottom"/>
            <w:gridSpan w:val="3"/>
          </w:tcPr>
          <w:p>
            <w:pPr>
              <w:ind w:left="20"/>
              <w:spacing w:after="0"/>
              <w:rPr>
                <w:sz w:val="20"/>
                <w:szCs w:val="20"/>
                <w:color w:val="auto"/>
              </w:rPr>
            </w:pPr>
            <w:r>
              <w:rPr>
                <w:rFonts w:ascii="Arial" w:cs="Arial" w:eastAsia="Arial" w:hAnsi="Arial"/>
                <w:sz w:val="12"/>
                <w:szCs w:val="12"/>
                <w:color w:val="auto"/>
              </w:rPr>
              <w:t>Gross margin</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1,880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2"/>
                <w:szCs w:val="12"/>
                <w:color w:val="auto"/>
              </w:rPr>
              <w:t>N/A</w:t>
            </w:r>
          </w:p>
        </w:tc>
        <w:tc>
          <w:tcPr>
            <w:tcW w:w="900" w:type="dxa"/>
            <w:vAlign w:val="bottom"/>
          </w:tcPr>
          <w:p>
            <w:pPr>
              <w:jc w:val="right"/>
              <w:ind w:right="4"/>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83"/>
              <w:spacing w:after="0"/>
              <w:rPr>
                <w:sz w:val="20"/>
                <w:szCs w:val="20"/>
                <w:color w:val="auto"/>
              </w:rPr>
            </w:pPr>
            <w:r>
              <w:rPr>
                <w:rFonts w:ascii="Arial" w:cs="Arial" w:eastAsia="Arial" w:hAnsi="Arial"/>
                <w:sz w:val="12"/>
                <w:szCs w:val="12"/>
                <w:color w:val="auto"/>
              </w:rPr>
              <w:t>1,570</w:t>
            </w:r>
          </w:p>
        </w:tc>
        <w:tc>
          <w:tcPr>
            <w:tcW w:w="720" w:type="dxa"/>
            <w:vAlign w:val="bottom"/>
          </w:tcPr>
          <w:p>
            <w:pPr>
              <w:jc w:val="center"/>
              <w:ind w:left="202"/>
              <w:spacing w:after="0"/>
              <w:rPr>
                <w:sz w:val="20"/>
                <w:szCs w:val="20"/>
                <w:color w:val="auto"/>
              </w:rPr>
            </w:pPr>
            <w:r>
              <w:rPr>
                <w:rFonts w:ascii="Arial" w:cs="Arial" w:eastAsia="Arial" w:hAnsi="Arial"/>
                <w:sz w:val="12"/>
                <w:szCs w:val="12"/>
                <w:color w:val="auto"/>
              </w:rPr>
              <w:t>N/A</w:t>
            </w:r>
          </w:p>
        </w:tc>
      </w:tr>
    </w:tbl>
    <w:p>
      <w:pPr>
        <w:spacing w:after="0" w:line="117" w:lineRule="exact"/>
        <w:rPr>
          <w:sz w:val="20"/>
          <w:szCs w:val="20"/>
          <w:color w:val="auto"/>
        </w:rPr>
      </w:pPr>
    </w:p>
    <w:p>
      <w:pPr>
        <w:ind w:right="160" w:firstLine="216"/>
        <w:spacing w:after="0" w:line="253" w:lineRule="auto"/>
        <w:rPr>
          <w:sz w:val="20"/>
          <w:szCs w:val="20"/>
          <w:color w:val="auto"/>
        </w:rPr>
      </w:pPr>
      <w:r>
        <w:rPr>
          <w:rFonts w:ascii="Arial" w:cs="Arial" w:eastAsia="Arial" w:hAnsi="Arial"/>
          <w:sz w:val="12"/>
          <w:szCs w:val="12"/>
          <w:color w:val="auto"/>
        </w:rPr>
        <w:t>Gross profit in the three months ended June 29, 2019 was $22.7 million as compared to gross profit of $2.6 million in the prior-year period, an improvement of $20.1 million. Gross profit in the six months ended June 29, 2019, was $ 33.5 million as compared to gross profit of $4.7 million in the six months ended June 30, 2018, an improvement of $28.8 million. The improvement in gross profit and gross margin was primarily due to an increase in the amount of products sold, with resulting operating leverage, and improved production efficiencies. The greater proportion of product revenues from our fresh platform also contributed to the improvement in gross margin, due to a higher net selling price per pound of products in our fresh versus frozen platform. We include outbound shipping and handling costs within SG&amp;A expenses. As a result, our gross profit and gross margin may not be comparable to other entities that present all shipping and handling costs as a component of cost of goods sold.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553" w:right="199" w:bottom="1440" w:gutter="0" w:footer="0" w:header="0"/>
        </w:sectPr>
      </w:pPr>
    </w:p>
    <w:bookmarkStart w:id="33" w:name="page34"/>
    <w:bookmarkEnd w:id="33"/>
    <w:p>
      <w:pPr>
        <w:ind w:left="200"/>
        <w:spacing w:after="0"/>
        <w:rPr>
          <w:sz w:val="20"/>
          <w:szCs w:val="20"/>
          <w:color w:val="auto"/>
        </w:rPr>
      </w:pPr>
      <w:r>
        <w:rPr>
          <w:rFonts w:ascii="Arial" w:cs="Arial" w:eastAsia="Arial" w:hAnsi="Arial"/>
          <w:sz w:val="12"/>
          <w:szCs w:val="12"/>
          <w:i w:val="1"/>
          <w:iCs w:val="1"/>
          <w:color w:val="auto"/>
        </w:rPr>
        <w:t>Research and Development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Change</w:t>
            </w: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June 29,</w:t>
            </w:r>
          </w:p>
        </w:tc>
        <w:tc>
          <w:tcPr>
            <w:tcW w:w="18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June 30,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29,</w:t>
            </w:r>
          </w:p>
        </w:tc>
        <w:tc>
          <w:tcPr>
            <w:tcW w:w="18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30,</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9"/>
        </w:trPr>
        <w:tc>
          <w:tcPr>
            <w:tcW w:w="24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86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3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3"/>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24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4,212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2,497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1,715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68.7%   $</w:t>
            </w:r>
          </w:p>
        </w:tc>
        <w:tc>
          <w:tcPr>
            <w:tcW w:w="8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8,710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4,102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4,608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r>
    </w:tbl>
    <w:p>
      <w:pPr>
        <w:spacing w:after="0" w:line="10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Research and development expenses increased $1.7 million, or 68.7%, and $4.6 million, or 112.3%, in the three and six months ended June 29, 2019, respectively, as compared to the prior-year periods.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expenses increased primarily due to higher headcount, higher scale-up expenses and higher depreciation and amortization expense compared to the respective prior-year periods.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SG&amp;A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1"/>
                <w:szCs w:val="11"/>
                <w:b w:val="1"/>
                <w:bCs w:val="1"/>
                <w:color w:val="auto"/>
              </w:rPr>
              <w:t>Six Months Ended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auto"/>
              </w:rPr>
              <w:t>Change</w:t>
            </w:r>
          </w:p>
        </w:tc>
        <w:tc>
          <w:tcPr>
            <w:tcW w:w="72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June 29,</w:t>
            </w:r>
          </w:p>
        </w:tc>
        <w:tc>
          <w:tcPr>
            <w:tcW w:w="18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June 30,</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29,</w:t>
            </w:r>
          </w:p>
        </w:tc>
        <w:tc>
          <w:tcPr>
            <w:tcW w:w="18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June 30,</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9"/>
        </w:trPr>
        <w:tc>
          <w:tcPr>
            <w:tcW w:w="24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86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03"/>
              <w:spacing w:after="0" w:line="119"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44"/>
              <w:spacing w:after="0" w:line="119" w:lineRule="exact"/>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Amount</w:t>
            </w:r>
          </w:p>
        </w:tc>
        <w:tc>
          <w:tcPr>
            <w:tcW w:w="720" w:type="dxa"/>
            <w:vAlign w:val="bottom"/>
          </w:tcPr>
          <w:p>
            <w:pPr>
              <w:jc w:val="right"/>
              <w:ind w:right="423"/>
              <w:spacing w:after="0" w:line="119" w:lineRule="exact"/>
              <w:rPr>
                <w:sz w:val="20"/>
                <w:szCs w:val="20"/>
                <w:color w:val="auto"/>
              </w:rPr>
            </w:pPr>
            <w:r>
              <w:rPr>
                <w:rFonts w:ascii="Arial" w:cs="Arial" w:eastAsia="Arial" w:hAnsi="Arial"/>
                <w:sz w:val="11"/>
                <w:szCs w:val="11"/>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9"/>
        </w:trPr>
        <w:tc>
          <w:tcPr>
            <w:tcW w:w="242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2"/>
                <w:szCs w:val="12"/>
                <w:color w:val="auto"/>
              </w:rPr>
              <w:t>Selling, general and administrative</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4"/>
        </w:trPr>
        <w:tc>
          <w:tcPr>
            <w:tcW w:w="2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expenses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15,515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7,043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8,472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120.3%   $</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26,692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12,780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13,912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r>
    </w:tbl>
    <w:p>
      <w:pPr>
        <w:spacing w:after="0" w:line="108" w:lineRule="exact"/>
        <w:rPr>
          <w:sz w:val="20"/>
          <w:szCs w:val="20"/>
          <w:color w:val="auto"/>
        </w:rPr>
      </w:pPr>
    </w:p>
    <w:p>
      <w:pPr>
        <w:ind w:right="120" w:firstLine="216"/>
        <w:spacing w:after="0" w:line="290" w:lineRule="auto"/>
        <w:rPr>
          <w:sz w:val="20"/>
          <w:szCs w:val="20"/>
          <w:color w:val="auto"/>
        </w:rPr>
      </w:pPr>
      <w:r>
        <w:rPr>
          <w:rFonts w:ascii="Arial" w:cs="Arial" w:eastAsia="Arial" w:hAnsi="Arial"/>
          <w:sz w:val="11"/>
          <w:szCs w:val="11"/>
          <w:color w:val="auto"/>
        </w:rPr>
        <w:t>SG&amp;A expenses increased by $8.5 million, or 120.3%, in the three months ended June 29, 2019 as compared to the prior-year period. The increase was primarily due to $3.6 million in higher salaries and related expenses resulting from higher headcount, $0.6 million in higher consulting and professional fees, $ 0.8 million in higher outbound freight expenses, $0.8 million in higher broker commissions, $0.5 million in higher marketing service expenses related to restricted stock issued to brand ambassadors, $0.4 million in higher supply chain expenses, $0.4 million in higher travel expenses and $0.4 million in higher insurance cost.</w:t>
      </w:r>
    </w:p>
    <w:p>
      <w:pPr>
        <w:spacing w:after="0" w:line="82" w:lineRule="exact"/>
        <w:rPr>
          <w:sz w:val="20"/>
          <w:szCs w:val="20"/>
          <w:color w:val="auto"/>
        </w:rPr>
      </w:pPr>
    </w:p>
    <w:p>
      <w:pPr>
        <w:ind w:right="140" w:firstLine="216"/>
        <w:spacing w:after="0" w:line="290" w:lineRule="auto"/>
        <w:rPr>
          <w:sz w:val="20"/>
          <w:szCs w:val="20"/>
          <w:color w:val="auto"/>
        </w:rPr>
      </w:pPr>
      <w:r>
        <w:rPr>
          <w:rFonts w:ascii="Arial" w:cs="Arial" w:eastAsia="Arial" w:hAnsi="Arial"/>
          <w:sz w:val="11"/>
          <w:szCs w:val="11"/>
          <w:color w:val="auto"/>
        </w:rPr>
        <w:t>SG&amp;A expenses increased by $13.9 million, or 108.9%, in the six months ended June 29, 2019, as compared to the prior-year period. The increase was primarily due to $6.6 million in higher salaries and related expenses, resulting from higher headcount, $1.3 million in higher consulting and professional fees, $1.1 million in higher outbound freight expenses, $1.1 million in higher broker commissions, $0.8 million in higher marketing service expenses related to restricted stock issued to brand ambassadors, $0.8 million in higher supply chain expenses, $0.6 million in higher travel expenses and $0.5 million in higher insurance cost.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Restructuring Expenses</w:t>
      </w:r>
    </w:p>
    <w:p>
      <w:pPr>
        <w:spacing w:after="0" w:line="126" w:lineRule="exact"/>
        <w:rPr>
          <w:sz w:val="20"/>
          <w:szCs w:val="20"/>
          <w:color w:val="auto"/>
        </w:rPr>
      </w:pPr>
    </w:p>
    <w:p>
      <w:pPr>
        <w:ind w:right="60" w:firstLine="216"/>
        <w:spacing w:after="0" w:line="253" w:lineRule="auto"/>
        <w:rPr>
          <w:rFonts w:ascii="Arial" w:cs="Arial" w:eastAsia="Arial" w:hAnsi="Arial"/>
          <w:sz w:val="12"/>
          <w:szCs w:val="12"/>
          <w:color w:val="0000EE"/>
        </w:rPr>
      </w:pPr>
      <w:r>
        <w:rPr>
          <w:rFonts w:ascii="Arial" w:cs="Arial" w:eastAsia="Arial" w:hAnsi="Arial"/>
          <w:sz w:val="12"/>
          <w:szCs w:val="12"/>
          <w:color w:val="auto"/>
        </w:rPr>
        <w:t xml:space="preserve">As a result of the termination in May 2017 of an exclusive supply agreement with one of our co- manufacturers due to non-performance under the agreement, we recorded restructuring expenses of $0.8 million and $0.3 million in the three months ended June 29, 2019 and June 30, 2018, respectively, and $1.2 million and $0.6 million in the six months ended June 29, 2019 and June 30, 2018, respectively, primarily related to legal and other expenses associated with the dispute. As of June 29, 2019 and December 31, 2018, there were no accrued unpaid liabilities associated with this contract termination, although we continue to incur </w:t>
      </w:r>
      <w:hyperlink w:anchor="page44">
        <w:r>
          <w:rPr>
            <w:rFonts w:ascii="Arial" w:cs="Arial" w:eastAsia="Arial" w:hAnsi="Arial"/>
            <w:sz w:val="12"/>
            <w:szCs w:val="12"/>
            <w:color w:val="auto"/>
          </w:rPr>
          <w:t xml:space="preserve">legal fees in connection with our ongoing efforts to resolve this dispute. See </w:t>
        </w:r>
        <w:r>
          <w:rPr>
            <w:rFonts w:ascii="Arial" w:cs="Arial" w:eastAsia="Arial" w:hAnsi="Arial"/>
            <w:sz w:val="12"/>
            <w:szCs w:val="12"/>
            <w:u w:val="single" w:color="auto"/>
            <w:color w:val="0000EE"/>
          </w:rPr>
          <w:t>Note 3</w:t>
        </w:r>
        <w:r>
          <w:rPr>
            <w:rFonts w:ascii="Arial" w:cs="Arial" w:eastAsia="Arial" w:hAnsi="Arial"/>
            <w:sz w:val="12"/>
            <w:szCs w:val="12"/>
            <w:color w:val="auto"/>
          </w:rPr>
          <w:t xml:space="preserve">, </w:t>
        </w:r>
        <w:r>
          <w:rPr>
            <w:rFonts w:ascii="Arial" w:cs="Arial" w:eastAsia="Arial" w:hAnsi="Arial"/>
            <w:sz w:val="12"/>
            <w:szCs w:val="12"/>
            <w:i w:val="1"/>
            <w:iCs w:val="1"/>
            <w:color w:val="auto"/>
          </w:rPr>
          <w:t>Restructuring,</w:t>
        </w:r>
        <w:r>
          <w:rPr>
            <w:rFonts w:ascii="Arial" w:cs="Arial" w:eastAsia="Arial" w:hAnsi="Arial"/>
            <w:sz w:val="12"/>
            <w:szCs w:val="12"/>
            <w:color w:val="auto"/>
          </w:rPr>
          <w:t xml:space="preserve"> to the Notes to Unaudited Condensed Financial Statements included in Part I, Item 1 of this report and </w:t>
        </w:r>
        <w:r>
          <w:rPr>
            <w:rFonts w:ascii="Arial" w:cs="Arial" w:eastAsia="Arial" w:hAnsi="Arial"/>
            <w:sz w:val="12"/>
            <w:szCs w:val="12"/>
            <w:u w:val="single" w:color="auto"/>
            <w:color w:val="0000EE"/>
          </w:rPr>
          <w:t>Legal</w:t>
        </w:r>
      </w:hyperlink>
      <w:r>
        <w:rPr>
          <w:rFonts w:ascii="Arial" w:cs="Arial" w:eastAsia="Arial" w:hAnsi="Arial"/>
          <w:sz w:val="12"/>
          <w:szCs w:val="12"/>
          <w:color w:val="auto"/>
        </w:rPr>
        <w:t xml:space="preserve"> </w:t>
      </w:r>
      <w:hyperlink w:anchor="page44">
        <w:r>
          <w:rPr>
            <w:rFonts w:ascii="Arial" w:cs="Arial" w:eastAsia="Arial" w:hAnsi="Arial"/>
            <w:sz w:val="12"/>
            <w:szCs w:val="12"/>
            <w:u w:val="single" w:color="auto"/>
            <w:color w:val="0000EE"/>
          </w:rPr>
          <w:t>Proceedings</w:t>
        </w:r>
        <w:r>
          <w:rPr>
            <w:rFonts w:ascii="Arial" w:cs="Arial" w:eastAsia="Arial" w:hAnsi="Arial"/>
            <w:sz w:val="12"/>
            <w:szCs w:val="12"/>
            <w:color w:val="0000EE"/>
          </w:rPr>
          <w:t xml:space="preserve"> </w:t>
        </w:r>
        <w:r>
          <w:rPr>
            <w:rFonts w:ascii="Arial" w:cs="Arial" w:eastAsia="Arial" w:hAnsi="Arial"/>
            <w:sz w:val="12"/>
            <w:szCs w:val="12"/>
            <w:color w:val="000000"/>
          </w:rPr>
          <w:t>in Part II, Item 1 of this report.</w:t>
        </w:r>
      </w:hyperlink>
    </w:p>
    <w:p>
      <w:pPr>
        <w:spacing w:after="0" w:line="161"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Total Other Expense, Net</w:t>
      </w:r>
    </w:p>
    <w:p>
      <w:pPr>
        <w:spacing w:after="0" w:line="126" w:lineRule="exact"/>
        <w:rPr>
          <w:sz w:val="20"/>
          <w:szCs w:val="20"/>
          <w:color w:val="auto"/>
        </w:rPr>
      </w:pPr>
    </w:p>
    <w:p>
      <w:pPr>
        <w:jc w:val="both"/>
        <w:ind w:right="100" w:firstLine="216"/>
        <w:spacing w:after="0" w:line="256" w:lineRule="auto"/>
        <w:rPr>
          <w:sz w:val="20"/>
          <w:szCs w:val="20"/>
          <w:color w:val="auto"/>
        </w:rPr>
      </w:pPr>
      <w:r>
        <w:rPr>
          <w:rFonts w:ascii="Arial" w:cs="Arial" w:eastAsia="Arial" w:hAnsi="Arial"/>
          <w:sz w:val="12"/>
          <w:szCs w:val="12"/>
          <w:color w:val="auto"/>
        </w:rPr>
        <w:t>Total other expense, net primarily includes expense associated with the remeasurement of our preferred stock warrant liability and common stock warrant liability. On May 6, 2019, in connection with the IPO, the warrants exercisable for convertible preferred stock were automatically converted into warrants exercisable for common stock. We remeasured and reclassified the common stock warrant liability to additional-paid-in-capital in connection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613"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with the IPO and recorded $11.7 million and $12.5 million, respectively, in remeasurement of warrant liability in the three and six months ended June 29, 2019.</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Subsequent to the closing of the IPO, all outstanding warrants to purchase shares of common stock were cashless exercised and no warrants were outstanding as of June 29, 2019.</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Income (Loss) from Operations</w:t>
      </w:r>
    </w:p>
    <w:p>
      <w:pPr>
        <w:spacing w:after="0" w:line="126" w:lineRule="exact"/>
        <w:rPr>
          <w:sz w:val="20"/>
          <w:szCs w:val="20"/>
          <w:color w:val="auto"/>
        </w:rPr>
      </w:pPr>
    </w:p>
    <w:p>
      <w:pPr>
        <w:ind w:right="180" w:firstLine="216"/>
        <w:spacing w:after="0" w:line="256" w:lineRule="auto"/>
        <w:rPr>
          <w:sz w:val="20"/>
          <w:szCs w:val="20"/>
          <w:color w:val="auto"/>
        </w:rPr>
      </w:pPr>
      <w:r>
        <w:rPr>
          <w:rFonts w:ascii="Arial" w:cs="Arial" w:eastAsia="Arial" w:hAnsi="Arial"/>
          <w:sz w:val="12"/>
          <w:szCs w:val="12"/>
          <w:color w:val="auto"/>
        </w:rPr>
        <w:t>Income from operations in the second quarter of 2019 was $ 2.2 million compared to loss from operations of $7.3 million in the second quarter of the prior year. Loss from operations in the first half of 2019 was $3.1 million compared to $12.9 million in the first half of the prior year. This improvement was driven entirely by the year-over-year increase in gross profit, partially offset by higher operating expenses to support our expanded manufacturing and supply chain operations, higher administrative costs associated with being a public company, and continued investment in innovation and marketing capabilities.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Income Tax Expense</w:t>
      </w:r>
    </w:p>
    <w:p>
      <w:pPr>
        <w:spacing w:after="0" w:line="126"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For the three and six months ended June 29, 2019 and June 30, 2018, we recorded income tax expense of $21,000 and $0, respectively, in our condensed statements of operations. No tax benefit was provided for losses incurred because those losses are offset by a full valuation allowance.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Net Loss</w:t>
      </w:r>
    </w:p>
    <w:p>
      <w:pPr>
        <w:spacing w:after="0" w:line="126"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Net loss was $9.4 million in the second quarter of 2019 compared to a net loss of $7.4 million in the prior-year period. Net loss was $16.1 million in the first half of 2019 compared to a net loss of $ 13.1 million in the prior-year period. The expanded net loss was primarily the result of the remeasurement of our common stock warrant liability in connection with the IPO, higher operating expenses and higher interest expense, partially offset by the increase in gross profit.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use the following non-GAAP financial measures in assessing our operating performance and in our financial communications:</w:t>
      </w:r>
    </w:p>
    <w:p>
      <w:pPr>
        <w:spacing w:after="0" w:line="102" w:lineRule="exact"/>
        <w:rPr>
          <w:sz w:val="20"/>
          <w:szCs w:val="20"/>
          <w:color w:val="auto"/>
        </w:rPr>
      </w:pPr>
    </w:p>
    <w:p>
      <w:pPr>
        <w:ind w:right="100" w:firstLine="21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Adjusted EBITDA</w:t>
      </w:r>
      <w:r>
        <w:rPr>
          <w:rFonts w:ascii="Arial" w:cs="Arial" w:eastAsia="Arial" w:hAnsi="Arial"/>
          <w:sz w:val="12"/>
          <w:szCs w:val="12"/>
          <w:color w:val="auto"/>
        </w:rPr>
        <w:t>” is defined as net loss adjusted to exclude, when applicable, income tax expense, interest expense, depreciation and amortization expense, restructuring expenses, share-based compensation expense, inventory losses from termination of an exclusive supply agreement with a co-manufacturer, costs of termination of an exclusive supply agreement with the same co-manufacturer, and expenses primarily associated with the conversion of our convertible notes and remeasurement of our preferred stock warrant liability and common stock warrant liability.</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Adjusted EBITDA as a % of net revenues</w:t>
      </w:r>
      <w:r>
        <w:rPr>
          <w:rFonts w:ascii="Arial" w:cs="Arial" w:eastAsia="Arial" w:hAnsi="Arial"/>
          <w:sz w:val="12"/>
          <w:szCs w:val="12"/>
          <w:color w:val="auto"/>
        </w:rPr>
        <w:t xml:space="preserve">” </w:t>
      </w:r>
      <w:r>
        <w:rPr>
          <w:rFonts w:ascii="Arial" w:cs="Arial" w:eastAsia="Arial" w:hAnsi="Arial"/>
          <w:sz w:val="12"/>
          <w:szCs w:val="12"/>
          <w:i w:val="1"/>
          <w:iCs w:val="1"/>
          <w:color w:val="auto"/>
        </w:rPr>
        <w:t>is defined</w:t>
      </w:r>
      <w:r>
        <w:rPr>
          <w:rFonts w:ascii="Arial" w:cs="Arial" w:eastAsia="Arial" w:hAnsi="Arial"/>
          <w:sz w:val="12"/>
          <w:szCs w:val="12"/>
          <w:color w:val="auto"/>
        </w:rPr>
        <w:t xml:space="preserve"> as Adjusted EBITDA divided by net revenues.</w:t>
      </w:r>
    </w:p>
    <w:p>
      <w:pPr>
        <w:spacing w:after="0" w:line="126" w:lineRule="exact"/>
        <w:rPr>
          <w:sz w:val="20"/>
          <w:szCs w:val="20"/>
          <w:color w:val="auto"/>
        </w:rPr>
      </w:pPr>
    </w:p>
    <w:p>
      <w:pPr>
        <w:ind w:right="20" w:firstLine="216"/>
        <w:spacing w:after="0" w:line="280" w:lineRule="auto"/>
        <w:rPr>
          <w:sz w:val="20"/>
          <w:szCs w:val="20"/>
          <w:color w:val="auto"/>
        </w:rPr>
      </w:pPr>
      <w:r>
        <w:rPr>
          <w:rFonts w:ascii="Arial" w:cs="Arial" w:eastAsia="Arial" w:hAnsi="Arial"/>
          <w:sz w:val="11"/>
          <w:szCs w:val="11"/>
          <w:color w:val="auto"/>
        </w:rPr>
        <w:t>We use Adjusted EBITDA and Adjusted EBITDA as a % of net revenues because they are important measures upon which our management assesses our operating performance. We use Adjusted EBITDA and Adjusted EBITDA as a % of net revenues as key performance measures because we believe these measures facilitate operating performance comparison from period-to-period by excluding potential differences primarily caused by the impact of restructuring, asset depreciation and amortization, non-cash share-based compensation and non-operational charges including the impact to cost of goods sold and SG&amp;A expenses related to the termination of an exclusive co-manufacturing agreement, early extinguishment of convertible notes and remeasurement of warrant liability. Because Adjusted EBITDA and Adjusted EBITDA as a % of net revenues facilitate internal comparisons of our historical operating performance on a more consistent basis, we also use those measures for our business planning purposes. In addition, we believe Adjusted EBITDA and Adjusted EBITDA as a % of net revenues are widely used by investors, securities analysts, ratings agencies and other parties in evaluating companies in our industry as a measure of our operational performance.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553" w:right="199" w:bottom="1440" w:gutter="0" w:footer="0" w:header="0"/>
        </w:sectPr>
      </w:pPr>
    </w:p>
    <w:bookmarkStart w:id="35" w:name="page36"/>
    <w:bookmarkEnd w:id="35"/>
    <w:p>
      <w:pPr>
        <w:ind w:left="208"/>
        <w:spacing w:after="0"/>
        <w:rPr>
          <w:sz w:val="20"/>
          <w:szCs w:val="20"/>
          <w:color w:val="auto"/>
        </w:rPr>
      </w:pPr>
      <w:r>
        <w:rPr>
          <w:rFonts w:ascii="Arial" w:cs="Arial" w:eastAsia="Arial" w:hAnsi="Arial"/>
          <w:sz w:val="12"/>
          <w:szCs w:val="12"/>
          <w:color w:val="auto"/>
        </w:rPr>
        <w:t>There are a number of limitations related to the use of Adjusted EBITDA rather than net loss, which is the most directly comparable GAAP measure. Some of these limitations are:</w:t>
      </w:r>
    </w:p>
    <w:p>
      <w:pPr>
        <w:spacing w:after="0" w:line="114" w:lineRule="exact"/>
        <w:rPr>
          <w:sz w:val="20"/>
          <w:szCs w:val="20"/>
          <w:color w:val="auto"/>
        </w:rPr>
      </w:pPr>
    </w:p>
    <w:p>
      <w:pPr>
        <w:ind w:left="208" w:right="260" w:hanging="208"/>
        <w:spacing w:after="0" w:line="262" w:lineRule="auto"/>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excludes depreciation and amortization expense and, although these are non-cash expenses, the assets being depreciated may have to be replaced in the future increasing our cash requirements;</w:t>
      </w:r>
    </w:p>
    <w:p>
      <w:pPr>
        <w:spacing w:after="0" w:line="95"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does not reflect interest expense, or the cash required to service our debt, which reduces cash available to us;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does not reflect income tax payments that reduce cash available to us;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does not reflect restructuring expenses that reduce cash available to us;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does not reflect share-based compensation expenses and therefore does not include all of our compensation costs;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EBITDA does not reflect other income (expense) that may increase or decrease cash available to us; and</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companies, including companies in our industry, may calculate Adjusted EBITDA differently, which reduces its usefulness as a comparative measure.</w:t>
      </w:r>
    </w:p>
    <w:p>
      <w:pPr>
        <w:spacing w:after="0" w:line="114" w:lineRule="exact"/>
        <w:rPr>
          <w:sz w:val="20"/>
          <w:szCs w:val="20"/>
          <w:color w:val="auto"/>
        </w:rPr>
      </w:pPr>
    </w:p>
    <w:p>
      <w:pPr>
        <w:ind w:left="8" w:right="140" w:firstLine="216"/>
        <w:spacing w:after="0" w:line="262" w:lineRule="auto"/>
        <w:rPr>
          <w:sz w:val="20"/>
          <w:szCs w:val="20"/>
          <w:color w:val="auto"/>
        </w:rPr>
      </w:pPr>
      <w:r>
        <w:rPr>
          <w:rFonts w:ascii="Arial" w:cs="Arial" w:eastAsia="Arial" w:hAnsi="Arial"/>
          <w:sz w:val="12"/>
          <w:szCs w:val="12"/>
          <w:color w:val="auto"/>
        </w:rPr>
        <w:t>These non-GAAP financial measures should not be considered in isolation or as a substitute for financial information provided in accordance with GAAP. These non-GAAP financial measures may not be computed in the same manner as similarly titled measures used by other companies.</w:t>
      </w:r>
    </w:p>
    <w:p>
      <w:pPr>
        <w:spacing w:after="0" w:line="9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the reconciliation of Adjusted EBITDA to its most comparable GAAP measure, net loss, as reported (unaudited):</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1"/>
                <w:szCs w:val="11"/>
                <w:b w:val="1"/>
                <w:bCs w:val="1"/>
                <w:color w:val="auto"/>
              </w:rPr>
              <w:t>Three Months Ended</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100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29,</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29,</w:t>
            </w:r>
          </w:p>
        </w:tc>
        <w:tc>
          <w:tcPr>
            <w:tcW w:w="480" w:type="dxa"/>
            <w:vAlign w:val="bottom"/>
          </w:tcPr>
          <w:p>
            <w:pPr>
              <w:spacing w:after="0"/>
              <w:rPr>
                <w:sz w:val="11"/>
                <w:szCs w:val="11"/>
                <w:color w:val="auto"/>
              </w:rPr>
            </w:pPr>
          </w:p>
        </w:tc>
        <w:tc>
          <w:tcPr>
            <w:tcW w:w="1000" w:type="dxa"/>
            <w:vAlign w:val="bottom"/>
          </w:tcPr>
          <w:p>
            <w:pPr>
              <w:jc w:val="right"/>
              <w:ind w:right="461"/>
              <w:spacing w:after="0"/>
              <w:rPr>
                <w:sz w:val="20"/>
                <w:szCs w:val="20"/>
                <w:color w:val="auto"/>
              </w:rPr>
            </w:pPr>
            <w:r>
              <w:rPr>
                <w:rFonts w:ascii="Arial" w:cs="Arial" w:eastAsia="Arial" w:hAnsi="Arial"/>
                <w:sz w:val="11"/>
                <w:szCs w:val="11"/>
                <w:b w:val="1"/>
                <w:bCs w:val="1"/>
                <w:color w:val="auto"/>
              </w:rPr>
              <w:t>June 30,</w:t>
            </w:r>
          </w:p>
        </w:tc>
      </w:tr>
      <w:tr>
        <w:trPr>
          <w:trHeight w:val="119"/>
        </w:trPr>
        <w:tc>
          <w:tcPr>
            <w:tcW w:w="484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0"/>
                <w:szCs w:val="10"/>
                <w:color w:val="auto"/>
              </w:rPr>
            </w:pPr>
          </w:p>
        </w:tc>
        <w:tc>
          <w:tcPr>
            <w:tcW w:w="1160" w:type="dxa"/>
            <w:vAlign w:val="bottom"/>
          </w:tcPr>
          <w:p>
            <w:pPr>
              <w:jc w:val="right"/>
              <w:ind w:right="541"/>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960" w:type="dxa"/>
            <w:vAlign w:val="bottom"/>
          </w:tcPr>
          <w:p>
            <w:pPr>
              <w:jc w:val="right"/>
              <w:ind w:right="43"/>
              <w:spacing w:after="0" w:line="119" w:lineRule="exact"/>
              <w:rPr>
                <w:sz w:val="20"/>
                <w:szCs w:val="20"/>
                <w:color w:val="auto"/>
              </w:rPr>
            </w:pPr>
            <w:r>
              <w:rPr>
                <w:rFonts w:ascii="Arial" w:cs="Arial" w:eastAsia="Arial" w:hAnsi="Arial"/>
                <w:sz w:val="11"/>
                <w:szCs w:val="11"/>
                <w:b w:val="1"/>
                <w:bCs w:val="1"/>
                <w:color w:val="auto"/>
              </w:rPr>
              <w:t>2018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ind w:right="561"/>
              <w:spacing w:after="0" w:line="119" w:lineRule="exact"/>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jc w:val="right"/>
              <w:ind w:right="561"/>
              <w:spacing w:after="0" w:line="119" w:lineRule="exact"/>
              <w:rPr>
                <w:sz w:val="20"/>
                <w:szCs w:val="20"/>
                <w:color w:val="auto"/>
              </w:rPr>
            </w:pPr>
            <w:r>
              <w:rPr>
                <w:rFonts w:ascii="Arial" w:cs="Arial" w:eastAsia="Arial" w:hAnsi="Arial"/>
                <w:sz w:val="11"/>
                <w:szCs w:val="11"/>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loss, as reported</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(9,441)</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4"/>
              </w:rPr>
              <w:t>(7,396)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(16,090)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(13,092)</w:t>
            </w:r>
          </w:p>
        </w:tc>
      </w:tr>
      <w:tr>
        <w:trPr>
          <w:trHeight w:val="176"/>
        </w:trPr>
        <w:tc>
          <w:tcPr>
            <w:tcW w:w="4840" w:type="dxa"/>
            <w:vAlign w:val="bottom"/>
            <w:gridSpan w:val="3"/>
          </w:tcPr>
          <w:p>
            <w:pPr>
              <w:ind w:left="20"/>
              <w:spacing w:after="0"/>
              <w:rPr>
                <w:sz w:val="20"/>
                <w:szCs w:val="20"/>
                <w:color w:val="auto"/>
              </w:rPr>
            </w:pPr>
            <w:r>
              <w:rPr>
                <w:rFonts w:ascii="Arial" w:cs="Arial" w:eastAsia="Arial" w:hAnsi="Arial"/>
                <w:sz w:val="12"/>
                <w:szCs w:val="12"/>
                <w:color w:val="auto"/>
              </w:rPr>
              <w:t>Income tax expense</w:t>
            </w:r>
          </w:p>
        </w:tc>
        <w:tc>
          <w:tcPr>
            <w:tcW w:w="300" w:type="dxa"/>
            <w:vAlign w:val="bottom"/>
          </w:tcPr>
          <w:p>
            <w:pPr>
              <w:spacing w:after="0"/>
              <w:rPr>
                <w:sz w:val="15"/>
                <w:szCs w:val="15"/>
                <w:color w:val="auto"/>
              </w:rPr>
            </w:pPr>
          </w:p>
        </w:tc>
        <w:tc>
          <w:tcPr>
            <w:tcW w:w="1160" w:type="dxa"/>
            <w:vAlign w:val="bottom"/>
          </w:tcPr>
          <w:p>
            <w:pPr>
              <w:jc w:val="right"/>
              <w:ind w:right="101"/>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w:t>
            </w:r>
          </w:p>
        </w:tc>
      </w:tr>
      <w:tr>
        <w:trPr>
          <w:trHeight w:val="185"/>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741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1,474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75</w:t>
            </w:r>
          </w:p>
        </w:tc>
      </w:tr>
      <w:tr>
        <w:trPr>
          <w:trHeight w:val="176"/>
        </w:trPr>
        <w:tc>
          <w:tcPr>
            <w:tcW w:w="4840" w:type="dxa"/>
            <w:vAlign w:val="bottom"/>
            <w:gridSpan w:val="3"/>
          </w:tcPr>
          <w:p>
            <w:pPr>
              <w:ind w:left="20"/>
              <w:spacing w:after="0"/>
              <w:rPr>
                <w:sz w:val="20"/>
                <w:szCs w:val="20"/>
                <w:color w:val="auto"/>
              </w:rPr>
            </w:pPr>
            <w:r>
              <w:rPr>
                <w:rFonts w:ascii="Arial" w:cs="Arial" w:eastAsia="Arial" w:hAnsi="Arial"/>
                <w:sz w:val="12"/>
                <w:szCs w:val="12"/>
                <w:color w:val="auto"/>
              </w:rPr>
              <w:t>Depreciation and amortization expense</w:t>
            </w:r>
          </w:p>
        </w:tc>
        <w:tc>
          <w:tcPr>
            <w:tcW w:w="300" w:type="dxa"/>
            <w:vAlign w:val="bottom"/>
          </w:tcPr>
          <w:p>
            <w:pPr>
              <w:spacing w:after="0"/>
              <w:rPr>
                <w:sz w:val="15"/>
                <w:szCs w:val="15"/>
                <w:color w:val="auto"/>
              </w:rPr>
            </w:pPr>
          </w:p>
        </w:tc>
        <w:tc>
          <w:tcPr>
            <w:tcW w:w="1160" w:type="dxa"/>
            <w:vAlign w:val="bottom"/>
          </w:tcPr>
          <w:p>
            <w:pPr>
              <w:jc w:val="right"/>
              <w:ind w:right="101"/>
              <w:spacing w:after="0"/>
              <w:rPr>
                <w:sz w:val="20"/>
                <w:szCs w:val="20"/>
                <w:color w:val="auto"/>
              </w:rPr>
            </w:pPr>
            <w:r>
              <w:rPr>
                <w:rFonts w:ascii="Arial" w:cs="Arial" w:eastAsia="Arial" w:hAnsi="Arial"/>
                <w:sz w:val="12"/>
                <w:szCs w:val="12"/>
                <w:color w:val="auto"/>
              </w:rPr>
              <w:t>2,052</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120"/>
              <w:spacing w:after="0"/>
              <w:rPr>
                <w:sz w:val="20"/>
                <w:szCs w:val="20"/>
                <w:color w:val="auto"/>
              </w:rPr>
            </w:pPr>
            <w:r>
              <w:rPr>
                <w:rFonts w:ascii="Arial" w:cs="Arial" w:eastAsia="Arial" w:hAnsi="Arial"/>
                <w:sz w:val="12"/>
                <w:szCs w:val="12"/>
                <w:color w:val="auto"/>
              </w:rPr>
              <w:t>887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Arial" w:cs="Arial" w:eastAsia="Arial" w:hAnsi="Arial"/>
                <w:sz w:val="12"/>
                <w:szCs w:val="12"/>
                <w:color w:val="auto"/>
              </w:rPr>
              <w:t>3,957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1,620</w:t>
            </w:r>
          </w:p>
        </w:tc>
      </w:tr>
      <w:tr>
        <w:trPr>
          <w:trHeight w:val="185"/>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Restructuring expenses</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847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1,241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642</w:t>
            </w:r>
          </w:p>
        </w:tc>
      </w:tr>
      <w:tr>
        <w:trPr>
          <w:trHeight w:val="176"/>
        </w:trPr>
        <w:tc>
          <w:tcPr>
            <w:tcW w:w="4840" w:type="dxa"/>
            <w:vAlign w:val="bottom"/>
            <w:gridSpan w:val="3"/>
          </w:tcPr>
          <w:p>
            <w:pPr>
              <w:ind w:left="20"/>
              <w:spacing w:after="0"/>
              <w:rPr>
                <w:sz w:val="20"/>
                <w:szCs w:val="20"/>
                <w:color w:val="auto"/>
              </w:rPr>
            </w:pPr>
            <w:r>
              <w:rPr>
                <w:rFonts w:ascii="Arial" w:cs="Arial" w:eastAsia="Arial" w:hAnsi="Arial"/>
                <w:sz w:val="12"/>
                <w:szCs w:val="12"/>
                <w:color w:val="auto"/>
              </w:rPr>
              <w:t>Share-based compensation expense</w:t>
            </w:r>
          </w:p>
        </w:tc>
        <w:tc>
          <w:tcPr>
            <w:tcW w:w="300" w:type="dxa"/>
            <w:vAlign w:val="bottom"/>
          </w:tcPr>
          <w:p>
            <w:pPr>
              <w:spacing w:after="0"/>
              <w:rPr>
                <w:sz w:val="15"/>
                <w:szCs w:val="15"/>
                <w:color w:val="auto"/>
              </w:rPr>
            </w:pPr>
          </w:p>
        </w:tc>
        <w:tc>
          <w:tcPr>
            <w:tcW w:w="1160" w:type="dxa"/>
            <w:vAlign w:val="bottom"/>
          </w:tcPr>
          <w:p>
            <w:pPr>
              <w:jc w:val="right"/>
              <w:ind w:right="101"/>
              <w:spacing w:after="0"/>
              <w:rPr>
                <w:sz w:val="20"/>
                <w:szCs w:val="20"/>
                <w:color w:val="auto"/>
              </w:rPr>
            </w:pPr>
            <w:r>
              <w:rPr>
                <w:rFonts w:ascii="Arial" w:cs="Arial" w:eastAsia="Arial" w:hAnsi="Arial"/>
                <w:sz w:val="12"/>
                <w:szCs w:val="12"/>
                <w:color w:val="auto"/>
              </w:rPr>
              <w:t>1,823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120"/>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Arial" w:cs="Arial" w:eastAsia="Arial" w:hAnsi="Arial"/>
                <w:sz w:val="12"/>
                <w:szCs w:val="12"/>
                <w:color w:val="auto"/>
              </w:rPr>
              <w:t>2,678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710</w:t>
            </w:r>
          </w:p>
        </w:tc>
      </w:tr>
      <w:tr>
        <w:trPr>
          <w:trHeight w:val="185"/>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Remeasurement of warrant liability</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11,744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12,503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259</w:t>
            </w:r>
          </w:p>
        </w:tc>
      </w:tr>
      <w:tr>
        <w:trPr>
          <w:trHeight w:val="176"/>
        </w:trPr>
        <w:tc>
          <w:tcPr>
            <w:tcW w:w="48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Other income, net</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(898)</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(1,039)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(97)</w:t>
            </w:r>
          </w:p>
        </w:tc>
      </w:tr>
      <w:tr>
        <w:trPr>
          <w:trHeight w:val="172"/>
        </w:trPr>
        <w:tc>
          <w:tcPr>
            <w:tcW w:w="4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Adjusted EBITDA</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6,889</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4"/>
              </w:rPr>
              <w:t>(5,591)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4,745</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(9,883)</w:t>
            </w:r>
          </w:p>
        </w:tc>
      </w:tr>
      <w:tr>
        <w:trPr>
          <w:trHeight w:val="198"/>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0"/>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loss as a % of net revenues</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w:t>
            </w:r>
          </w:p>
        </w:tc>
      </w:tr>
      <w:tr>
        <w:trPr>
          <w:trHeight w:val="171"/>
        </w:trPr>
        <w:tc>
          <w:tcPr>
            <w:tcW w:w="4840" w:type="dxa"/>
            <w:vAlign w:val="bottom"/>
            <w:gridSpan w:val="3"/>
          </w:tcPr>
          <w:p>
            <w:pPr>
              <w:ind w:left="20"/>
              <w:spacing w:after="0"/>
              <w:rPr>
                <w:sz w:val="20"/>
                <w:szCs w:val="20"/>
                <w:color w:val="auto"/>
              </w:rPr>
            </w:pPr>
            <w:r>
              <w:rPr>
                <w:rFonts w:ascii="Arial" w:cs="Arial" w:eastAsia="Arial" w:hAnsi="Arial"/>
                <w:sz w:val="12"/>
                <w:szCs w:val="12"/>
                <w:color w:val="auto"/>
              </w:rPr>
              <w:t>Adjusted EBITDA as a % of net revenues</w:t>
            </w: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10.2 %</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4.4 %</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(32.8)%</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w:t>
      </w:r>
    </w:p>
    <w:p>
      <w:pPr>
        <w:spacing w:after="0" w:line="114" w:lineRule="exact"/>
        <w:rPr>
          <w:sz w:val="20"/>
          <w:szCs w:val="20"/>
          <w:color w:val="auto"/>
        </w:rPr>
      </w:pPr>
    </w:p>
    <w:p>
      <w:pPr>
        <w:ind w:left="468" w:hanging="450"/>
        <w:spacing w:after="0"/>
        <w:tabs>
          <w:tab w:leader="none" w:pos="468" w:val="left"/>
        </w:tabs>
        <w:numPr>
          <w:ilvl w:val="0"/>
          <w:numId w:val="9"/>
        </w:numPr>
        <w:rPr>
          <w:rFonts w:ascii="Arial" w:cs="Arial" w:eastAsia="Arial" w:hAnsi="Arial"/>
          <w:sz w:val="12"/>
          <w:szCs w:val="12"/>
          <w:color w:val="auto"/>
        </w:rPr>
      </w:pPr>
      <w:r>
        <w:rPr>
          <w:rFonts w:ascii="Arial" w:cs="Arial" w:eastAsia="Arial" w:hAnsi="Arial"/>
          <w:sz w:val="12"/>
          <w:szCs w:val="12"/>
          <w:color w:val="auto"/>
        </w:rPr>
        <w:t>Primarily comprised of legal and other expenses associated with the dispute with a co-manufacturer with whom an exclusive supply agreement was terminated in May 2017.</w:t>
      </w:r>
    </w:p>
    <w:p>
      <w:pPr>
        <w:spacing w:after="0" w:line="200" w:lineRule="exact"/>
        <w:rPr>
          <w:rFonts w:ascii="Arial" w:cs="Arial" w:eastAsia="Arial" w:hAnsi="Arial"/>
          <w:sz w:val="12"/>
          <w:szCs w:val="12"/>
          <w:color w:val="auto"/>
        </w:rPr>
      </w:pPr>
    </w:p>
    <w:p>
      <w:pPr>
        <w:spacing w:after="0" w:line="337" w:lineRule="exact"/>
        <w:rPr>
          <w:rFonts w:ascii="Arial" w:cs="Arial" w:eastAsia="Arial" w:hAnsi="Arial"/>
          <w:sz w:val="12"/>
          <w:szCs w:val="12"/>
          <w:color w:val="auto"/>
        </w:rPr>
      </w:pPr>
    </w:p>
    <w:p>
      <w:pPr>
        <w:ind w:left="5668"/>
        <w:spacing w:after="0"/>
        <w:rPr>
          <w:rFonts w:ascii="Arial" w:cs="Arial" w:eastAsia="Arial" w:hAnsi="Arial"/>
          <w:sz w:val="12"/>
          <w:szCs w:val="12"/>
          <w:color w:val="auto"/>
        </w:rPr>
      </w:pPr>
      <w:r>
        <w:rPr>
          <w:rFonts w:ascii="Arial" w:cs="Arial" w:eastAsia="Arial" w:hAnsi="Arial"/>
          <w:sz w:val="12"/>
          <w:szCs w:val="12"/>
          <w:color w:val="auto"/>
        </w:rPr>
        <w:t>32</w:t>
      </w:r>
    </w:p>
    <w:p>
      <w:pPr>
        <w:sectPr>
          <w:pgSz w:w="11900" w:h="16838" w:orient="portrait"/>
          <w:cols w:equalWidth="0" w:num="1">
            <w:col w:w="11068"/>
          </w:cols>
          <w:pgMar w:left="212" w:top="553" w:right="61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June 29, 2019,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including 1,443,750 shares pursuant to the underwriters’ over-allotment option, at an IPO price of $25.00 per share and received approximately $252.4 million in net proceeds. We have also entered into the credit facilities described below with Silicon Valley Bank (“SVB”).</w:t>
      </w:r>
    </w:p>
    <w:p>
      <w:pPr>
        <w:spacing w:after="0" w:line="101" w:lineRule="exact"/>
        <w:rPr>
          <w:sz w:val="20"/>
          <w:szCs w:val="20"/>
          <w:color w:val="auto"/>
        </w:rPr>
      </w:pPr>
    </w:p>
    <w:p>
      <w:pPr>
        <w:ind w:right="60" w:firstLine="216"/>
        <w:spacing w:after="0" w:line="252" w:lineRule="auto"/>
        <w:rPr>
          <w:sz w:val="20"/>
          <w:szCs w:val="20"/>
          <w:color w:val="auto"/>
        </w:rPr>
      </w:pPr>
      <w:r>
        <w:rPr>
          <w:rFonts w:ascii="Arial" w:cs="Arial" w:eastAsia="Arial" w:hAnsi="Arial"/>
          <w:sz w:val="12"/>
          <w:szCs w:val="12"/>
          <w:color w:val="auto"/>
        </w:rPr>
        <w:t>As of June 29, 2019, we had $277.0 million in cash and cash equivalents. We believe that our cash and cash equivalents, cash flow from operating activities and available borrowings under our credit facilities will be sufficient to fund our working capital and meet our anticipated capital requirements for at least the next 12 months. Our future capital requirements may vary materially from those currently planned and will depend on many factors, including the number and characteristics of any additional products or manufacturing processes we develop or acquire to serve new or existing markets;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 enforcing patent claims, including litigation costs and the outcome of such litigation; and the timing, receipt and amount of sales of, or royalties on, any future approved products, if any.</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Amended and Restated Loan and Security Agreement</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June 2018, we refinanced our then existing revolving credit facility and term loan facility under a loan and security agreement with SVB (the “Amended LSA”). The Amended LSA includes a $6.0 million revolving credit facility (the “2018 Revolving Credit Facility”) and a term loan facility (the “2018 Term Loan Facility”) comprised of (i) a $10.0 million term loan advance at closing, (ii) a conditional $ 5.0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4.0% above the prime rate, with interest payable monthly and principal amortizing commencing on January 1, 2020, and will mature in June 2022. Borrowings under the 2018 Revolving Credit Facility carry a variable annual interest rate of prime rate plus 0.75% to 1.25% with an additional 5% on the outstanding balances in the event of a default. The 2018 Revolving Credit Facility matures in June 2020.</w:t>
      </w:r>
    </w:p>
    <w:p>
      <w:pPr>
        <w:spacing w:after="0" w:line="103"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The 2018 Term Loan Facility and the 2018 Revolving Credit Facility (collectively, the “SVB Credit Facilities”) contain customary negative covenants that limit our ability to, among other things, incur additional indebtedness, grant liens, make investments, repurchase stock, pay dividends, transfer assets and merge or consolidate. The SVB Credit Facilities are secured by a blanket lien on all of our personal property assets. The SVB Credit Facilities also contain customary affirmative covenants, including delivery of audited financial statements. We were in compliance with the covenants in the SVB Credit Facilities as of June 29, 2019.</w:t>
      </w:r>
    </w:p>
    <w:p>
      <w:pPr>
        <w:spacing w:after="0" w:line="99"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As of June 29, 2019 and December 31, 2018, we had $6.0 million and $20.0 million in borrowings on the 2018 Revolving Credit Facility and 2018 Term Loan Facility, respectively, and had no availability to borrow under either of these loan facilities. In the three months ended June 29, 2019 and June 30, 2018, we incurred $ 0.5 million and $22,000, respectively, in interest expense related to the SVB credit facilities. In the six months ended June 29, 2019 and June 30, 2018, we incurred $1.1 million and $40,000, respectively, in interest expense related to the SVB credit facilities. The interest rates on the 2018 Revolving Credit Facility and the 2018 Term Loan Facility at June 29, 2019 were 6.25% and 9.50%,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60"/>
          </w:cols>
          <w:pgMar w:left="220" w:top="611" w:right="219" w:bottom="1440" w:gutter="0" w:footer="0" w:header="0"/>
        </w:sectPr>
      </w:pPr>
    </w:p>
    <w:bookmarkStart w:id="37" w:name="page38"/>
    <w:bookmarkEnd w:id="37"/>
    <w:p>
      <w:pPr>
        <w:ind w:left="200"/>
        <w:spacing w:after="0"/>
        <w:rPr>
          <w:sz w:val="20"/>
          <w:szCs w:val="20"/>
          <w:color w:val="auto"/>
        </w:rPr>
      </w:pPr>
      <w:r>
        <w:rPr>
          <w:rFonts w:ascii="Arial" w:cs="Arial" w:eastAsia="Arial" w:hAnsi="Arial"/>
          <w:sz w:val="12"/>
          <w:szCs w:val="12"/>
          <w:b w:val="1"/>
          <w:bCs w:val="1"/>
          <w:i w:val="1"/>
          <w:iCs w:val="1"/>
          <w:color w:val="auto"/>
        </w:rPr>
        <w:t>Equipment Loan Facility</w:t>
      </w:r>
    </w:p>
    <w:p>
      <w:pPr>
        <w:spacing w:after="0" w:line="128" w:lineRule="exact"/>
        <w:rPr>
          <w:sz w:val="20"/>
          <w:szCs w:val="20"/>
          <w:color w:val="auto"/>
        </w:rPr>
      </w:pPr>
    </w:p>
    <w:p>
      <w:pPr>
        <w:ind w:right="300" w:firstLine="216"/>
        <w:spacing w:after="0" w:line="262" w:lineRule="auto"/>
        <w:rPr>
          <w:sz w:val="20"/>
          <w:szCs w:val="20"/>
          <w:color w:val="auto"/>
        </w:rPr>
      </w:pPr>
      <w:r>
        <w:rPr>
          <w:rFonts w:ascii="Arial" w:cs="Arial" w:eastAsia="Arial" w:hAnsi="Arial"/>
          <w:sz w:val="12"/>
          <w:szCs w:val="12"/>
          <w:color w:val="auto"/>
        </w:rPr>
        <w:t>In September 2018, we entered into an Equipment Loan and Security Agreement with Structural Capital Investments II, LP (“Structural Capital”) and Ocean II PLO, LLC, as administrative and collateral agent, pursuant to which Structural Capital agreed to provide an equipment loan facility to us in the amount of $5.0 million for the purpose of purchasing equipment.</w:t>
      </w:r>
    </w:p>
    <w:p>
      <w:pPr>
        <w:spacing w:after="0" w:line="95"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We are required to pay interest on any unpaid principal amounts at a per annum rate equal to 6.25% plus the greater of 4.75% or the prime rate then in effect. Interest on each advance made to us is due and payable on the first business day of each month. We must begin repaying the aggregate principal amount of all advances we have received in equal monthly installments beginning on June 30, 2019, which may be extended for six or 18 months depending on whether we achieve certain milestones. As of June 30, 2019, we achieved all of the milestones and, therefore, monthly installment repayments of principal are expected to begin on December 31, 2020. The unpaid balance of all advances will become due on May 1, 2022. We must also pay a final payment fee of 13% of the facility commitment amount on the maturity date and such other date as the advances become due and such fee will increase by 1% if certain milestones are achieved.</w:t>
      </w:r>
    </w:p>
    <w:p>
      <w:pPr>
        <w:spacing w:after="0" w:line="101" w:lineRule="exact"/>
        <w:rPr>
          <w:sz w:val="20"/>
          <w:szCs w:val="20"/>
          <w:color w:val="auto"/>
        </w:rPr>
      </w:pPr>
    </w:p>
    <w:p>
      <w:pPr>
        <w:ind w:right="100" w:firstLine="216"/>
        <w:spacing w:after="0" w:line="254" w:lineRule="auto"/>
        <w:rPr>
          <w:sz w:val="20"/>
          <w:szCs w:val="20"/>
          <w:color w:val="auto"/>
        </w:rPr>
      </w:pPr>
      <w:r>
        <w:rPr>
          <w:rFonts w:ascii="Arial" w:cs="Arial" w:eastAsia="Arial" w:hAnsi="Arial"/>
          <w:sz w:val="12"/>
          <w:szCs w:val="12"/>
          <w:color w:val="auto"/>
        </w:rPr>
        <w:t>The equipment loan facility has a prepayment penalty of 2% during the first two years of the term and 1% thereafter. The facility contains customary negative covenants that limit our ability to, among other things, grant liens, repurchase stock, pay dividends, transfer assets and merge or consolidate. It is secured by all equipment purchased with cash borrowed under the facility and all of our accounts, money, books, records and any cash or noncash proceeds of the foregoing. The facility also contains customary affirmative covenants, including delivery of audited financial statements. We were in compliance with the covenants contained in the equipment loan facility as of June 29, 2019.</w:t>
      </w:r>
    </w:p>
    <w:p>
      <w:pPr>
        <w:spacing w:after="0" w:line="100" w:lineRule="exact"/>
        <w:rPr>
          <w:sz w:val="20"/>
          <w:szCs w:val="20"/>
          <w:color w:val="auto"/>
        </w:rPr>
      </w:pPr>
    </w:p>
    <w:p>
      <w:pPr>
        <w:jc w:val="both"/>
        <w:ind w:right="140" w:firstLine="216"/>
        <w:spacing w:after="0" w:line="256" w:lineRule="auto"/>
        <w:rPr>
          <w:sz w:val="20"/>
          <w:szCs w:val="20"/>
          <w:color w:val="auto"/>
        </w:rPr>
      </w:pPr>
      <w:r>
        <w:rPr>
          <w:rFonts w:ascii="Arial" w:cs="Arial" w:eastAsia="Arial" w:hAnsi="Arial"/>
          <w:sz w:val="12"/>
          <w:szCs w:val="12"/>
          <w:color w:val="auto"/>
        </w:rPr>
        <w:t>We had $5.0 million in borrowings outstanding as of June 29, 2019 and December 31, 2018 under the equipment loan facility. The interest rate on the equipment loan facility at June 29, 2019 and December 31, 2018 was 11.75% and 11.5%, respectively. For the three months ended June 29, 2019 and June 30, 2018, we recorded $0.2 million and $0, respectively, in interest expense related to the equipment loan facility. For the six months ended June 29, 2019 and June 30, 2018, we recorded $0.3 million and $0, respectively, in interest expense related to the equipment loan facility.</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major components of net cash flows used in and provided by operating, investing and financing activities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Six Months Ended</w:t>
            </w:r>
          </w:p>
        </w:tc>
        <w:tc>
          <w:tcPr>
            <w:tcW w:w="1200" w:type="dxa"/>
            <w:vAlign w:val="bottom"/>
            <w:tcBorders>
              <w:bottom w:val="single" w:sz="8" w:color="auto"/>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ind w:left="280"/>
              <w:spacing w:after="0"/>
              <w:rPr>
                <w:sz w:val="20"/>
                <w:szCs w:val="20"/>
                <w:color w:val="auto"/>
              </w:rPr>
            </w:pPr>
            <w:r>
              <w:rPr>
                <w:rFonts w:ascii="Arial" w:cs="Arial" w:eastAsia="Arial" w:hAnsi="Arial"/>
                <w:sz w:val="11"/>
                <w:szCs w:val="11"/>
                <w:b w:val="1"/>
                <w:bCs w:val="1"/>
                <w:color w:val="auto"/>
              </w:rPr>
              <w:t>June 29,</w:t>
            </w:r>
          </w:p>
        </w:tc>
        <w:tc>
          <w:tcPr>
            <w:tcW w:w="500" w:type="dxa"/>
            <w:vAlign w:val="bottom"/>
          </w:tcPr>
          <w:p>
            <w:pPr>
              <w:spacing w:after="0"/>
              <w:rPr>
                <w:sz w:val="11"/>
                <w:szCs w:val="11"/>
                <w:color w:val="auto"/>
              </w:rPr>
            </w:pPr>
          </w:p>
        </w:tc>
        <w:tc>
          <w:tcPr>
            <w:tcW w:w="1200" w:type="dxa"/>
            <w:vAlign w:val="bottom"/>
          </w:tcPr>
          <w:p>
            <w:pPr>
              <w:jc w:val="right"/>
              <w:ind w:right="602"/>
              <w:spacing w:after="0"/>
              <w:rPr>
                <w:sz w:val="20"/>
                <w:szCs w:val="20"/>
                <w:color w:val="auto"/>
              </w:rPr>
            </w:pPr>
            <w:r>
              <w:rPr>
                <w:rFonts w:ascii="Arial" w:cs="Arial" w:eastAsia="Arial" w:hAnsi="Arial"/>
                <w:sz w:val="11"/>
                <w:szCs w:val="11"/>
                <w:b w:val="1"/>
                <w:bCs w:val="1"/>
                <w:color w:val="auto"/>
              </w:rPr>
              <w:t>June 30,</w:t>
            </w:r>
          </w:p>
        </w:tc>
      </w:tr>
      <w:tr>
        <w:trPr>
          <w:trHeight w:val="119"/>
        </w:trPr>
        <w:tc>
          <w:tcPr>
            <w:tcW w:w="79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10"/>
                <w:szCs w:val="10"/>
                <w:color w:val="auto"/>
              </w:rPr>
            </w:pPr>
          </w:p>
        </w:tc>
        <w:tc>
          <w:tcPr>
            <w:tcW w:w="1380" w:type="dxa"/>
            <w:vAlign w:val="bottom"/>
          </w:tcPr>
          <w:p>
            <w:pPr>
              <w:jc w:val="right"/>
              <w:ind w:right="683"/>
              <w:spacing w:after="0" w:line="119"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jc w:val="right"/>
              <w:ind w:right="682"/>
              <w:spacing w:after="0" w:line="119" w:lineRule="exact"/>
              <w:rPr>
                <w:sz w:val="20"/>
                <w:szCs w:val="20"/>
                <w:color w:val="auto"/>
              </w:rPr>
            </w:pPr>
            <w:r>
              <w:rPr>
                <w:rFonts w:ascii="Arial" w:cs="Arial" w:eastAsia="Arial" w:hAnsi="Arial"/>
                <w:sz w:val="11"/>
                <w:szCs w:val="11"/>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5"/>
        </w:trPr>
        <w:tc>
          <w:tcPr>
            <w:tcW w:w="79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(used in) provided by:</w:t>
            </w:r>
          </w:p>
        </w:tc>
        <w:tc>
          <w:tcPr>
            <w:tcW w:w="3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900" w:type="dxa"/>
            <w:vAlign w:val="bottom"/>
            <w:gridSpan w:val="2"/>
          </w:tcPr>
          <w:p>
            <w:pPr>
              <w:ind w:left="80"/>
              <w:spacing w:after="0"/>
              <w:rPr>
                <w:sz w:val="20"/>
                <w:szCs w:val="20"/>
                <w:color w:val="auto"/>
              </w:rPr>
            </w:pPr>
            <w:r>
              <w:rPr>
                <w:rFonts w:ascii="Arial" w:cs="Arial" w:eastAsia="Arial" w:hAnsi="Arial"/>
                <w:sz w:val="12"/>
                <w:szCs w:val="12"/>
                <w:color w:val="auto"/>
              </w:rPr>
              <w:t>Operating activities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23"/>
              <w:spacing w:after="0"/>
              <w:rPr>
                <w:sz w:val="20"/>
                <w:szCs w:val="20"/>
                <w:color w:val="auto"/>
              </w:rPr>
            </w:pPr>
            <w:r>
              <w:rPr>
                <w:rFonts w:ascii="Arial" w:cs="Arial" w:eastAsia="Arial" w:hAnsi="Arial"/>
                <w:sz w:val="12"/>
                <w:szCs w:val="12"/>
                <w:color w:val="auto"/>
              </w:rPr>
              <w:t>(22,366)</w:t>
            </w:r>
          </w:p>
        </w:tc>
        <w:tc>
          <w:tcPr>
            <w:tcW w:w="12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2"/>
                <w:szCs w:val="12"/>
                <w:color w:val="auto"/>
              </w:rPr>
              <w:t>(12,667)</w:t>
            </w:r>
          </w:p>
        </w:tc>
      </w:tr>
      <w:tr>
        <w:trPr>
          <w:trHeight w:val="185"/>
        </w:trPr>
        <w:tc>
          <w:tcPr>
            <w:tcW w:w="20" w:type="dxa"/>
            <w:vAlign w:val="bottom"/>
            <w:shd w:val="clear" w:color="auto" w:fill="CCEEFF"/>
          </w:tcPr>
          <w:p>
            <w:pPr>
              <w:spacing w:after="0"/>
              <w:rPr>
                <w:sz w:val="16"/>
                <w:szCs w:val="16"/>
                <w:color w:val="auto"/>
              </w:rPr>
            </w:pPr>
          </w:p>
        </w:tc>
        <w:tc>
          <w:tcPr>
            <w:tcW w:w="7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Investing activities</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(10,878)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(10,033)</w:t>
            </w:r>
          </w:p>
        </w:tc>
      </w:tr>
      <w:tr>
        <w:trPr>
          <w:trHeight w:val="171"/>
        </w:trPr>
        <w:tc>
          <w:tcPr>
            <w:tcW w:w="20" w:type="dxa"/>
            <w:vAlign w:val="bottom"/>
          </w:tcPr>
          <w:p>
            <w:pPr>
              <w:spacing w:after="0"/>
              <w:rPr>
                <w:sz w:val="14"/>
                <w:szCs w:val="14"/>
                <w:color w:val="auto"/>
              </w:rPr>
            </w:pPr>
          </w:p>
        </w:tc>
        <w:tc>
          <w:tcPr>
            <w:tcW w:w="7900" w:type="dxa"/>
            <w:vAlign w:val="bottom"/>
            <w:gridSpan w:val="2"/>
          </w:tcPr>
          <w:p>
            <w:pPr>
              <w:ind w:left="80"/>
              <w:spacing w:after="0"/>
              <w:rPr>
                <w:sz w:val="20"/>
                <w:szCs w:val="20"/>
                <w:color w:val="auto"/>
              </w:rPr>
            </w:pPr>
            <w:r>
              <w:rPr>
                <w:rFonts w:ascii="Arial" w:cs="Arial" w:eastAsia="Arial" w:hAnsi="Arial"/>
                <w:sz w:val="12"/>
                <w:szCs w:val="12"/>
                <w:color w:val="auto"/>
              </w:rPr>
              <w:t>Financing activities</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63"/>
              <w:spacing w:after="0"/>
              <w:rPr>
                <w:sz w:val="20"/>
                <w:szCs w:val="20"/>
                <w:color w:val="auto"/>
              </w:rPr>
            </w:pPr>
            <w:r>
              <w:rPr>
                <w:rFonts w:ascii="Arial" w:cs="Arial" w:eastAsia="Arial" w:hAnsi="Arial"/>
                <w:sz w:val="12"/>
                <w:szCs w:val="12"/>
                <w:color w:val="auto"/>
              </w:rPr>
              <w:t>255,960</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7,154</w:t>
            </w:r>
          </w:p>
        </w:tc>
      </w:tr>
    </w:tbl>
    <w:p>
      <w:pPr>
        <w:spacing w:after="0" w:line="17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Cash Used in Operating Activities</w:t>
      </w:r>
    </w:p>
    <w:p>
      <w:pPr>
        <w:spacing w:after="0" w:line="128"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In the six months ended June 29, 2019, we incurred a net loss of $16.1 million. The primary reason for net cash used in operating activities of $22.4 million was the $25.5 million in net cash outflows from changes in our operating assets and liabilities, primarily due to increases in accounts receivable and inventory. Net loss in the six months ended June 29, 2019, included $19.2 million in non-cash expenses comprised of change in warrant liability, depreciation and amortization expense, and share-based compensation expense.</w:t>
      </w:r>
    </w:p>
    <w:p>
      <w:pPr>
        <w:spacing w:after="0" w:line="99" w:lineRule="exact"/>
        <w:rPr>
          <w:sz w:val="20"/>
          <w:szCs w:val="20"/>
          <w:color w:val="auto"/>
        </w:rPr>
      </w:pPr>
    </w:p>
    <w:p>
      <w:pPr>
        <w:ind w:right="280" w:firstLine="216"/>
        <w:spacing w:after="0" w:line="262" w:lineRule="auto"/>
        <w:rPr>
          <w:sz w:val="20"/>
          <w:szCs w:val="20"/>
          <w:color w:val="auto"/>
        </w:rPr>
      </w:pPr>
      <w:r>
        <w:rPr>
          <w:rFonts w:ascii="Arial" w:cs="Arial" w:eastAsia="Arial" w:hAnsi="Arial"/>
          <w:sz w:val="12"/>
          <w:szCs w:val="12"/>
          <w:color w:val="auto"/>
        </w:rPr>
        <w:t>In the six months ended June 30, 2018, we incurred a net loss of $13.1 million, which was the primary reason for net cash used in operating activities of $12.7 million. Net cash used in operating activities also included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611" w:right="199" w:bottom="1440" w:gutter="0" w:footer="0" w:header="0"/>
        </w:sectPr>
      </w:pPr>
    </w:p>
    <w:bookmarkStart w:id="38" w:name="page39"/>
    <w:bookmarkEnd w:id="38"/>
    <w:p>
      <w:pPr>
        <w:ind w:right="680"/>
        <w:spacing w:after="0" w:line="262" w:lineRule="auto"/>
        <w:rPr>
          <w:sz w:val="20"/>
          <w:szCs w:val="20"/>
          <w:color w:val="auto"/>
        </w:rPr>
      </w:pPr>
      <w:r>
        <w:rPr>
          <w:rFonts w:ascii="Arial" w:cs="Arial" w:eastAsia="Arial" w:hAnsi="Arial"/>
          <w:sz w:val="12"/>
          <w:szCs w:val="12"/>
          <w:color w:val="auto"/>
        </w:rPr>
        <w:t>$2.2 million in net cash outflows from changes in our operating assets and liabilities, partially offset by $2.6 million in non-cash expenses comprised of depreciation and amortization expense, share-based compensation expense, and change in warrant liability.</w:t>
      </w:r>
    </w:p>
    <w:p>
      <w:pPr>
        <w:spacing w:after="0" w:line="95"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Depreciation and amortization expense was $4.0 million and $1.6 million in the six months ended June 29, 2019 and June 30, 2018, respectively. We anticipate our depreciation and amortization expense will be approximately $2.1 million per quarter in 2019 based on our existing fixed assets and anticipated capital expenditures as we expand our production capabilities to meet increased demand for our products.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Cash Used in Investing Activities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cash used in investing activities primarily relates to capital expenditures to support our growth and investment in property, plant and equipment.</w:t>
      </w:r>
    </w:p>
    <w:p>
      <w:pPr>
        <w:spacing w:after="0" w:line="114" w:lineRule="exact"/>
        <w:rPr>
          <w:sz w:val="20"/>
          <w:szCs w:val="20"/>
          <w:color w:val="auto"/>
        </w:rPr>
      </w:pPr>
    </w:p>
    <w:p>
      <w:pPr>
        <w:ind w:right="200" w:firstLine="216"/>
        <w:spacing w:after="0" w:line="256" w:lineRule="auto"/>
        <w:rPr>
          <w:sz w:val="20"/>
          <w:szCs w:val="20"/>
          <w:color w:val="auto"/>
        </w:rPr>
      </w:pPr>
      <w:r>
        <w:rPr>
          <w:rFonts w:ascii="Arial" w:cs="Arial" w:eastAsia="Arial" w:hAnsi="Arial"/>
          <w:sz w:val="12"/>
          <w:szCs w:val="12"/>
          <w:color w:val="auto"/>
        </w:rPr>
        <w:t>In the six months ended June 29, 2019, net cash used in investing activities was $10.9 million and consisted of $7.5 million in cash outflows for purchases of property, plant and equipment, primarily for manufacturing facility improvements and manufacturing equipment, $3.2 million in cash outflows related to property, plant and equipment purchased for sale to co-manufacturers which we expect will be sold by the end of 2019, and security deposits.</w:t>
      </w:r>
    </w:p>
    <w:p>
      <w:pPr>
        <w:spacing w:after="0" w:line="99" w:lineRule="exact"/>
        <w:rPr>
          <w:sz w:val="20"/>
          <w:szCs w:val="20"/>
          <w:color w:val="auto"/>
        </w:rPr>
      </w:pPr>
    </w:p>
    <w:p>
      <w:pPr>
        <w:ind w:right="260" w:firstLine="216"/>
        <w:spacing w:after="0" w:line="262" w:lineRule="auto"/>
        <w:rPr>
          <w:sz w:val="20"/>
          <w:szCs w:val="20"/>
          <w:color w:val="auto"/>
        </w:rPr>
      </w:pPr>
      <w:r>
        <w:rPr>
          <w:rFonts w:ascii="Arial" w:cs="Arial" w:eastAsia="Arial" w:hAnsi="Arial"/>
          <w:sz w:val="12"/>
          <w:szCs w:val="12"/>
          <w:color w:val="auto"/>
        </w:rPr>
        <w:t>In the six months ended June 30, 2018, net cash used in investing activities was $10.0 million and consisted of cash outflows for purchases of property, plant and equipment, primarily for manufacturing facility improvements and manufacturing equipment.</w:t>
      </w:r>
    </w:p>
    <w:p>
      <w:pPr>
        <w:spacing w:after="0" w:line="95"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For the remainder of 2019, we anticipate spending approximately $7.0 million in capital expenditures. In 2020, we anticipate spending approximately $40.0 million in capital expenditures as we scale our production capacity, including expenditures for additional machinery and equipment, as well as investment in facilities and expenditures to replace normal wear and tear of machinery and equipment.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Cash Provided by Financing Activities</w:t>
      </w:r>
    </w:p>
    <w:p>
      <w:pPr>
        <w:spacing w:after="0" w:line="128" w:lineRule="exact"/>
        <w:rPr>
          <w:sz w:val="20"/>
          <w:szCs w:val="20"/>
          <w:color w:val="auto"/>
        </w:rPr>
      </w:pPr>
    </w:p>
    <w:p>
      <w:pPr>
        <w:ind w:right="200" w:firstLine="216"/>
        <w:spacing w:after="0" w:line="262" w:lineRule="auto"/>
        <w:rPr>
          <w:sz w:val="20"/>
          <w:szCs w:val="20"/>
          <w:color w:val="auto"/>
        </w:rPr>
      </w:pPr>
      <w:r>
        <w:rPr>
          <w:rFonts w:ascii="Arial" w:cs="Arial" w:eastAsia="Arial" w:hAnsi="Arial"/>
          <w:sz w:val="12"/>
          <w:szCs w:val="12"/>
          <w:color w:val="auto"/>
        </w:rPr>
        <w:t>In the six months ended June 29, 2019, net cash provided by financing activities was $256.0 million primarily as a result of $255.4 million in net proceeds from our IPO, net of issuance costs, and $0.5 million in proceeds from stock option exercises, partially offset by $21,000 in payments of capital lease obligations.</w:t>
      </w:r>
    </w:p>
    <w:p>
      <w:pPr>
        <w:spacing w:after="0" w:line="95" w:lineRule="exact"/>
        <w:rPr>
          <w:sz w:val="20"/>
          <w:szCs w:val="20"/>
          <w:color w:val="auto"/>
        </w:rPr>
      </w:pPr>
    </w:p>
    <w:p>
      <w:pPr>
        <w:ind w:right="260" w:firstLine="216"/>
        <w:spacing w:after="0" w:line="262" w:lineRule="auto"/>
        <w:rPr>
          <w:sz w:val="20"/>
          <w:szCs w:val="20"/>
          <w:color w:val="auto"/>
        </w:rPr>
      </w:pPr>
      <w:r>
        <w:rPr>
          <w:rFonts w:ascii="Arial" w:cs="Arial" w:eastAsia="Arial" w:hAnsi="Arial"/>
          <w:sz w:val="12"/>
          <w:szCs w:val="12"/>
          <w:color w:val="auto"/>
        </w:rPr>
        <w:t>In the six months ended June 30, 2018, net cash provided by financing activities was $7.2 million primarily as a result of $10.0 million in proceeds from bank term loan, $1.4 million in net proceeds from the issuance of our Series G preferred stock and $0.9 million in proceeds from stock option exercises, partially offset by $5.0 million in aggregate repayments on our revolving credit line, term loan, and Missouri Note.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29, 2019, we had borrowed the entire availability of $20.0 million under the 2018 Term Loan Facility and $6.0 million under the 2018 Revolving Credit Facility.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553" w:right="21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There have been no significant changes during the six months ended June 29, 2019 to the contractual obligations disclosed in Management’s Discussion and Analysis of Financial Condition and Results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Operations set forth in the Prospectus other than the following: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Leases</w:t>
      </w:r>
    </w:p>
    <w:p>
      <w:pPr>
        <w:spacing w:after="0" w:line="128"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Effective March 1, 2019, we entered into a lease for our principal executive offices in El Segundo, California, for an initial term of five years. The aggregate lease amount for the five-year term is $2.7 million. The future minimum lease payments required under noncancelable lease obligations related to this lease are $2.6 million due through 2023 (approximately $0.5 million annually) and $0.1 million thereafter.</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Purchase Commitments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June 29, 2019, the Company had committed to purchase pea protein inventory totaling $28.4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do not have any off-balance sheet arrangements or any holdings in variable interest entities.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28" w:lineRule="exact"/>
        <w:rPr>
          <w:sz w:val="20"/>
          <w:szCs w:val="20"/>
          <w:color w:val="auto"/>
        </w:rPr>
      </w:pPr>
    </w:p>
    <w:p>
      <w:pPr>
        <w:ind w:right="220" w:firstLine="216"/>
        <w:spacing w:after="0" w:line="254" w:lineRule="auto"/>
        <w:rPr>
          <w:sz w:val="20"/>
          <w:szCs w:val="20"/>
          <w:color w:val="auto"/>
        </w:rPr>
      </w:pPr>
      <w:r>
        <w:rPr>
          <w:rFonts w:ascii="Arial" w:cs="Arial" w:eastAsia="Arial" w:hAnsi="Arial"/>
          <w:sz w:val="12"/>
          <w:szCs w:val="12"/>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88" w:lineRule="exact"/>
        <w:rPr>
          <w:sz w:val="20"/>
          <w:szCs w:val="20"/>
          <w:color w:val="auto"/>
        </w:rPr>
      </w:pPr>
    </w:p>
    <w:p>
      <w:pPr>
        <w:ind w:right="160" w:firstLine="216"/>
        <w:spacing w:after="0" w:line="266" w:lineRule="auto"/>
        <w:rPr>
          <w:rFonts w:ascii="Arial" w:cs="Arial" w:eastAsia="Arial" w:hAnsi="Arial"/>
          <w:sz w:val="12"/>
          <w:szCs w:val="12"/>
          <w:i w:val="1"/>
          <w:iCs w:val="1"/>
          <w:color w:val="auto"/>
        </w:rPr>
      </w:pPr>
      <w:r>
        <w:rPr>
          <w:rFonts w:ascii="Arial" w:cs="Arial" w:eastAsia="Arial" w:hAnsi="Arial"/>
          <w:sz w:val="12"/>
          <w:szCs w:val="12"/>
          <w:color w:val="auto"/>
        </w:rPr>
        <w:t xml:space="preserve">There have been no material changes in our critical accounting policies during the six months ended June 29, 2019, as compared to those disclosed in the </w:t>
      </w:r>
      <w:r>
        <w:rPr>
          <w:rFonts w:ascii="Arial" w:cs="Arial" w:eastAsia="Arial" w:hAnsi="Arial"/>
          <w:sz w:val="12"/>
          <w:szCs w:val="12"/>
          <w:i w:val="1"/>
          <w:iCs w:val="1"/>
          <w:color w:val="auto"/>
        </w:rPr>
        <w:t>“Management’s Discussion and Analysis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Condition and Results of Operations—Critical Accounting Policies” </w:t>
      </w:r>
      <w:r>
        <w:rPr>
          <w:rFonts w:ascii="Arial" w:cs="Arial" w:eastAsia="Arial" w:hAnsi="Arial"/>
          <w:sz w:val="12"/>
          <w:szCs w:val="12"/>
          <w:color w:val="auto"/>
        </w:rPr>
        <w:t>in the Prospectus and</w:t>
      </w:r>
      <w:r>
        <w:rPr>
          <w:rFonts w:ascii="Arial" w:cs="Arial" w:eastAsia="Arial" w:hAnsi="Arial"/>
          <w:sz w:val="12"/>
          <w:szCs w:val="12"/>
          <w:i w:val="1"/>
          <w:iCs w:val="1"/>
          <w:color w:val="auto"/>
        </w:rPr>
        <w:t xml:space="preserve"> </w:t>
      </w:r>
      <w:hyperlink w:anchor="page11">
        <w:r>
          <w:rPr>
            <w:rFonts w:ascii="Arial" w:cs="Arial" w:eastAsia="Arial" w:hAnsi="Arial"/>
            <w:sz w:val="12"/>
            <w:szCs w:val="12"/>
            <w:u w:val="single" w:color="auto"/>
            <w:color w:val="0000EE"/>
          </w:rPr>
          <w:t>Note 2</w:t>
        </w:r>
      </w:hyperlink>
      <w:r>
        <w:rPr>
          <w:rFonts w:ascii="Arial" w:cs="Arial" w:eastAsia="Arial" w:hAnsi="Arial"/>
          <w:sz w:val="12"/>
          <w:szCs w:val="12"/>
          <w:color w:val="auto"/>
        </w:rPr>
        <w:t>,</w:t>
      </w:r>
      <w:r>
        <w:rPr>
          <w:rFonts w:ascii="Arial" w:cs="Arial" w:eastAsia="Arial" w:hAnsi="Arial"/>
          <w:sz w:val="12"/>
          <w:szCs w:val="12"/>
          <w:i w:val="1"/>
          <w:iCs w:val="1"/>
          <w:color w:val="auto"/>
        </w:rPr>
        <w:t xml:space="preserve"> Summary of Significant Accounting Policies, </w:t>
      </w:r>
      <w:r>
        <w:rPr>
          <w:rFonts w:ascii="Arial" w:cs="Arial" w:eastAsia="Arial" w:hAnsi="Arial"/>
          <w:sz w:val="12"/>
          <w:szCs w:val="12"/>
          <w:color w:val="auto"/>
        </w:rPr>
        <w:t>to the Notes to Unaudited Condensed Financial Statements included in</w:t>
      </w:r>
      <w:r>
        <w:rPr>
          <w:rFonts w:ascii="Arial" w:cs="Arial" w:eastAsia="Arial" w:hAnsi="Arial"/>
          <w:sz w:val="12"/>
          <w:szCs w:val="12"/>
          <w:i w:val="1"/>
          <w:iCs w:val="1"/>
          <w:color w:val="auto"/>
        </w:rPr>
        <w:t xml:space="preserve"> </w:t>
      </w:r>
      <w:r>
        <w:rPr>
          <w:rFonts w:ascii="Arial" w:cs="Arial" w:eastAsia="Arial" w:hAnsi="Arial"/>
          <w:sz w:val="12"/>
          <w:szCs w:val="12"/>
          <w:color w:val="auto"/>
        </w:rPr>
        <w:t>Part I, Item 1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Status</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611"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16" w:lineRule="exact"/>
        <w:rPr>
          <w:sz w:val="20"/>
          <w:szCs w:val="20"/>
          <w:color w:val="auto"/>
        </w:rPr>
      </w:pPr>
    </w:p>
    <w:p>
      <w:pPr>
        <w:ind w:firstLine="216"/>
        <w:spacing w:after="0" w:line="283" w:lineRule="auto"/>
        <w:rPr>
          <w:rFonts w:ascii="Arial" w:cs="Arial" w:eastAsia="Arial" w:hAnsi="Arial"/>
          <w:sz w:val="12"/>
          <w:szCs w:val="12"/>
          <w:color w:val="auto"/>
        </w:rPr>
      </w:pPr>
      <w:r>
        <w:rPr>
          <w:rFonts w:ascii="Arial" w:cs="Arial" w:eastAsia="Arial" w:hAnsi="Arial"/>
          <w:sz w:val="12"/>
          <w:szCs w:val="12"/>
          <w:color w:val="auto"/>
        </w:rPr>
        <w:t xml:space="preserve">Please refer to </w:t>
      </w:r>
      <w:hyperlink w:anchor="page11">
        <w:r>
          <w:rPr>
            <w:rFonts w:ascii="Arial" w:cs="Arial" w:eastAsia="Arial" w:hAnsi="Arial"/>
            <w:sz w:val="12"/>
            <w:szCs w:val="12"/>
            <w:u w:val="single" w:color="auto"/>
            <w:color w:val="0000EE"/>
          </w:rPr>
          <w:t>Note 2</w:t>
        </w:r>
      </w:hyperlink>
      <w:r>
        <w:rPr>
          <w:rFonts w:ascii="Arial" w:cs="Arial" w:eastAsia="Arial" w:hAnsi="Arial"/>
          <w:sz w:val="12"/>
          <w:szCs w:val="12"/>
          <w:color w:val="auto"/>
        </w:rPr>
        <w:t xml:space="preserve">,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to the Notes to Unaudited Condensed Financial Statements included in Part I, Item 1 of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940"/>
          </w:cols>
          <w:pgMar w:left="220" w:top="611" w:right="73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are exposed to certain market risks in the ordinary course of our business. These risks primarily consist of interest rates, raw material prices and inflation as follows: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Interest Rate Risk</w:t>
      </w:r>
    </w:p>
    <w:p>
      <w:pPr>
        <w:spacing w:after="0" w:line="126" w:lineRule="exact"/>
        <w:rPr>
          <w:sz w:val="20"/>
          <w:szCs w:val="20"/>
          <w:color w:val="auto"/>
        </w:rPr>
      </w:pPr>
    </w:p>
    <w:p>
      <w:pPr>
        <w:ind w:right="480" w:firstLine="216"/>
        <w:spacing w:after="0" w:line="262" w:lineRule="auto"/>
        <w:rPr>
          <w:sz w:val="20"/>
          <w:szCs w:val="20"/>
          <w:color w:val="auto"/>
        </w:rPr>
      </w:pPr>
      <w:r>
        <w:rPr>
          <w:rFonts w:ascii="Arial" w:cs="Arial" w:eastAsia="Arial" w:hAnsi="Arial"/>
          <w:sz w:val="12"/>
          <w:szCs w:val="12"/>
          <w:color w:val="auto"/>
        </w:rPr>
        <w:t>Our cash consists of amounts held by third-party financial institutions. In May 2019, upon closing of our IPO, we adopted an investment policy which has as its primary objective investment activities which preserve principal without significantly increasing risk.</w:t>
      </w:r>
    </w:p>
    <w:p>
      <w:pPr>
        <w:spacing w:after="0" w:line="95"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We are subject to interest rate risk in connection with our SVB Credit Facilities and our equipment loan facility. See “—Liquidity and Capital Resources—Credit Facilities” and “—Liquidity and Capital Resources— Equipment Loan Facility” above. Based on the average interest rate on our SVB Credit Facilities and equipment loan facility during the six months ended June 29, 2019 and to the extent that borrowings were outstanding, we do not believe that a 1.0% change in the interest rate would have a material effect on our results of operations or financial condition.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Ingredient Risk</w:t>
      </w:r>
    </w:p>
    <w:p>
      <w:pPr>
        <w:spacing w:after="0" w:line="126" w:lineRule="exact"/>
        <w:rPr>
          <w:sz w:val="20"/>
          <w:szCs w:val="20"/>
          <w:color w:val="auto"/>
        </w:rPr>
      </w:pPr>
    </w:p>
    <w:p>
      <w:pPr>
        <w:ind w:right="80" w:firstLine="216"/>
        <w:spacing w:after="0" w:line="252" w:lineRule="auto"/>
        <w:rPr>
          <w:sz w:val="20"/>
          <w:szCs w:val="20"/>
          <w:color w:val="auto"/>
        </w:rPr>
      </w:pPr>
      <w:r>
        <w:rPr>
          <w:rFonts w:ascii="Arial" w:cs="Arial" w:eastAsia="Arial" w:hAnsi="Arial"/>
          <w:sz w:val="12"/>
          <w:szCs w:val="12"/>
          <w:color w:val="auto"/>
        </w:rPr>
        <w:t>Our profitability is dependent on, among other things, our ability to anticipate and react to raw material and food costs. Currently, the main ingredient in our products is pea protein, which we source from Canada and France. The prices of pea protein and other ingredients we use are subject to many factors beyond our control, such as the number and size of farms that grow Canadian and European yellow peas, the vagaries of these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 As of June 29, 2019, a hypothetical 10% increase or 10% decrease in the weighted-average cost of pea protein, our primary ingredient, would have resulted in an increase of approximately $1.0 million or a decrease of approximately $1.0 million, respectively, to cost of goods sold. We are working to diversify our sources of supply and intend to enter into long-term contracts to better ensure stability of prices of our raw materials.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Foreign Exchange Risk</w:t>
      </w:r>
    </w:p>
    <w:p>
      <w:pPr>
        <w:spacing w:after="0" w:line="126"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Our revenues and costs are denominated in U.S. dollars and are not subject to foreign exchange risk. However, to the extent our sourcing strategy changes or we commence generating net revenues outside of the United States that are denominated in currencies other than the U.S. dollar, our results of operations could be impacted by changes in exchange rates.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Inflation Risk</w:t>
      </w:r>
    </w:p>
    <w:p>
      <w:pPr>
        <w:spacing w:after="0" w:line="126"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611" w:right="2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28" w:lineRule="exact"/>
        <w:rPr>
          <w:sz w:val="20"/>
          <w:szCs w:val="20"/>
          <w:color w:val="auto"/>
        </w:rPr>
      </w:pPr>
    </w:p>
    <w:p>
      <w:pPr>
        <w:ind w:right="140" w:firstLine="216"/>
        <w:spacing w:after="0" w:line="252" w:lineRule="auto"/>
        <w:rPr>
          <w:sz w:val="20"/>
          <w:szCs w:val="20"/>
          <w:color w:val="auto"/>
        </w:rPr>
      </w:pPr>
      <w:r>
        <w:rPr>
          <w:rFonts w:ascii="Arial" w:cs="Arial" w:eastAsia="Arial" w:hAnsi="Arial"/>
          <w:sz w:val="12"/>
          <w:szCs w:val="12"/>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28" w:lineRule="exact"/>
        <w:rPr>
          <w:sz w:val="20"/>
          <w:szCs w:val="20"/>
          <w:color w:val="auto"/>
        </w:rPr>
      </w:pPr>
    </w:p>
    <w:p>
      <w:pPr>
        <w:ind w:right="300" w:firstLine="216"/>
        <w:spacing w:after="0" w:line="262" w:lineRule="auto"/>
        <w:rPr>
          <w:sz w:val="20"/>
          <w:szCs w:val="20"/>
          <w:color w:val="auto"/>
        </w:rPr>
      </w:pPr>
      <w:r>
        <w:rPr>
          <w:rFonts w:ascii="Arial" w:cs="Arial" w:eastAsia="Arial" w:hAnsi="Arial"/>
          <w:sz w:val="12"/>
          <w:szCs w:val="12"/>
          <w:color w:val="auto"/>
        </w:rPr>
        <w:t>There were no changes in our internal control over financial reporting during the quarter ended June 29, 2019 that have materially affected, or are reasonably likely to materially affect, our internal control over financial reporting.</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Limitations on Effectiveness of Controls and Procedures</w:t>
      </w:r>
    </w:p>
    <w:p>
      <w:pPr>
        <w:spacing w:after="0" w:line="128"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611" w:right="19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8"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We are subject to various legal proceedings and claims that arise in the ordinary course of our business. Although the outcome of these and other claims cannot be predicted with certainty, management does not believe the ultimate resolution of the current matters will have a material adverse effect on our business, financial condition, results of operations or cash flows.</w:t>
      </w:r>
    </w:p>
    <w:p>
      <w:pPr>
        <w:spacing w:after="0" w:line="95"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deny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102"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Don Lee Farms is seeking from Beyond Meat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w:t>
      </w:r>
    </w:p>
    <w:p>
      <w:pPr>
        <w:spacing w:after="0" w:line="99" w:lineRule="exact"/>
        <w:rPr>
          <w:sz w:val="20"/>
          <w:szCs w:val="20"/>
          <w:color w:val="auto"/>
        </w:rPr>
      </w:pPr>
    </w:p>
    <w:p>
      <w:pPr>
        <w:ind w:right="60" w:firstLine="216"/>
        <w:spacing w:after="0" w:line="252" w:lineRule="auto"/>
        <w:rPr>
          <w:sz w:val="20"/>
          <w:szCs w:val="20"/>
          <w:color w:val="auto"/>
        </w:rPr>
      </w:pPr>
      <w:r>
        <w:rPr>
          <w:rFonts w:ascii="Arial" w:cs="Arial" w:eastAsia="Arial" w:hAnsi="Arial"/>
          <w:sz w:val="12"/>
          <w:szCs w:val="12"/>
          <w:color w:val="auto"/>
        </w:rPr>
        <w:t>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 We are currently in the process of litigating this matter and intend to vigorously defend ourselves against the claims.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611"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ITEM 1A. RISK FACTORS</w:t>
      </w:r>
    </w:p>
    <w:p>
      <w:pPr>
        <w:spacing w:after="0" w:line="116" w:lineRule="exact"/>
        <w:rPr>
          <w:sz w:val="20"/>
          <w:szCs w:val="20"/>
          <w:color w:val="auto"/>
        </w:rPr>
      </w:pPr>
    </w:p>
    <w:p>
      <w:pPr>
        <w:ind w:firstLine="216"/>
        <w:spacing w:after="0" w:line="266" w:lineRule="auto"/>
        <w:rPr>
          <w:sz w:val="20"/>
          <w:szCs w:val="20"/>
          <w:color w:val="auto"/>
        </w:rPr>
      </w:pPr>
      <w:r>
        <w:rPr>
          <w:rFonts w:ascii="Arial" w:cs="Arial" w:eastAsia="Arial" w:hAnsi="Arial"/>
          <w:sz w:val="12"/>
          <w:szCs w:val="12"/>
          <w:i w:val="1"/>
          <w:iCs w:val="1"/>
          <w:color w:val="auto"/>
        </w:rPr>
        <w:t>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results of operations, financial condition and/or growth prospects or cause our actual results to differ materially from those contained in forward-looking statements we have made in this report and those we may make from time to time.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Our Brand, Our Products and Our Industry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losses, and we may be unable to achieve or sustain profitability.</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have experienced net losses in almost every period since our inception. In the six months ended June 29, 2019, we incurred a net loss of $16.1 million. In the years ended December 31, 2016, 2017 and 2018, we incurred net losses of $25.1 million, $30.4 million and $29.9 million, respectively. We anticipate that our operating expenses and capital expenditures will increase substantially in the foreseeable future as we continue to invest to increase our customer base, supplier network and co-manufacturing partners, expand our marketing channels, invest in our distribution and manufacturing facilities, hire additional employees and enhance our technology and production capabilities. Our expansion efforts may prove more expensive than we anticipate, and we may not succeed in increasing our revenues and margins sufficiently to offset the anticipated higher expenses. We incur significant expenses in developing our innovative products, building out our manufacturing facilities, obtaining and storing ingredients and other products and marketing the products we offer. In addition, many of our expenses, including the costs associated with our existing and any future manufacturing facilities, are fixed. Accordingly, we may not be able to achieve or sustain profitability, and we may incur significant losses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effectively expand our manufacturing and production capacity, our business and operating results and our brand reputation could be harmed.</w:t>
      </w:r>
    </w:p>
    <w:p>
      <w:pPr>
        <w:spacing w:after="0" w:line="128" w:lineRule="exact"/>
        <w:rPr>
          <w:sz w:val="20"/>
          <w:szCs w:val="20"/>
          <w:color w:val="auto"/>
        </w:rPr>
      </w:pPr>
    </w:p>
    <w:p>
      <w:pPr>
        <w:ind w:right="120" w:firstLine="216"/>
        <w:spacing w:after="0" w:line="253" w:lineRule="auto"/>
        <w:rPr>
          <w:sz w:val="20"/>
          <w:szCs w:val="20"/>
          <w:color w:val="auto"/>
        </w:rPr>
      </w:pPr>
      <w:r>
        <w:rPr>
          <w:rFonts w:ascii="Arial" w:cs="Arial" w:eastAsia="Arial" w:hAnsi="Arial"/>
          <w:sz w:val="12"/>
          <w:szCs w:val="12"/>
          <w:color w:val="auto"/>
        </w:rPr>
        <w:t>If we do not have sufficient capacity to meet our customers’ demands and to satisfy increased demand, we will need to expand our operations, supply and manufacturing capabilities. However, there is risk in our ability to effectively scale production processes and effectively manage our supply chain requirements. We must accurately forecast demand for our products in order to ensure we have adequate available manufacturing capacity. Our forecasts are based on multiple assumptions which may cause our estimates to be inaccurate and affect our ability to obtain adequate manufacturing capacity (whether our own manufacturing capacity or co-manufacturing capacity) in order to meet the demand for our products, which could prevent us from meeting increased customer demand and harm our brand and our business and in some cases may result in fines we must pay customers or distributors if we are unable to fulfill orders placed by them in a timely manner or at all.</w:t>
      </w:r>
    </w:p>
    <w:p>
      <w:pPr>
        <w:spacing w:after="0" w:line="101" w:lineRule="exact"/>
        <w:rPr>
          <w:sz w:val="20"/>
          <w:szCs w:val="20"/>
          <w:color w:val="auto"/>
        </w:rPr>
      </w:pPr>
    </w:p>
    <w:p>
      <w:pPr>
        <w:ind w:right="260" w:firstLine="216"/>
        <w:spacing w:after="0" w:line="256" w:lineRule="auto"/>
        <w:rPr>
          <w:sz w:val="20"/>
          <w:szCs w:val="20"/>
          <w:color w:val="auto"/>
        </w:rPr>
      </w:pPr>
      <w:r>
        <w:rPr>
          <w:rFonts w:ascii="Arial" w:cs="Arial" w:eastAsia="Arial" w:hAnsi="Arial"/>
          <w:sz w:val="12"/>
          <w:szCs w:val="12"/>
          <w:color w:val="auto"/>
        </w:rPr>
        <w:t>However, if we overestimate our demand and overbuild our capacity, we may have significantly underutilized assets and may experience reduced margins. If we do not accurately align our manufacturing capabilities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81" w:lineRule="exact"/>
        <w:rPr>
          <w:sz w:val="20"/>
          <w:szCs w:val="20"/>
          <w:color w:val="auto"/>
        </w:rPr>
      </w:pPr>
    </w:p>
    <w:p>
      <w:pPr>
        <w:ind w:right="500" w:firstLine="216"/>
        <w:spacing w:after="0" w:line="262" w:lineRule="auto"/>
        <w:rPr>
          <w:sz w:val="20"/>
          <w:szCs w:val="20"/>
          <w:color w:val="auto"/>
        </w:rPr>
      </w:pPr>
      <w:r>
        <w:rPr>
          <w:rFonts w:ascii="Arial" w:cs="Arial" w:eastAsia="Arial" w:hAnsi="Arial"/>
          <w:sz w:val="12"/>
          <w:szCs w:val="12"/>
          <w:color w:val="auto"/>
        </w:rPr>
        <w:t>We rely on a limited number of vendors to supply us with raw materials. Our financial performance depends in large part on our ability to arrange for the purchase of raw materials in sufficient quantities at competitive prices. We are not assured of continued supply or pricing of raw materials. Any of our suppliers could discontinue or seek to alter their relationship with us.</w:t>
      </w:r>
    </w:p>
    <w:p>
      <w:pPr>
        <w:spacing w:after="0" w:line="95"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We currently have two suppliers for the pea protein used in our fresh products. We have in the past experienced interruptions in the supply of pea protein from one supplier that resulted in delays in delivery to us. We could experience similar delays in the future from either or both of these suppliers. Any disruption in the suppl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60"/>
          </w:cols>
          <w:pgMar w:left="220" w:top="611" w:right="21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auto"/>
        </w:rPr>
        <w:t>y of pea protein from these suppliers would have a material adverse effect on our business if we cannot replace these suppliers in a timely manner or at all.</w:t>
      </w:r>
    </w:p>
    <w:p>
      <w:pPr>
        <w:spacing w:after="0" w:line="114"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net product sales and have a material adverse effect on our business and financial condition.</w:t>
      </w:r>
    </w:p>
    <w:p>
      <w:pPr>
        <w:spacing w:after="0" w:line="99"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Events that adversely affect our suppliers of pea protein and other raw materials could impair our ability to obtain raw material inventory in the quantities that we desire. Such events include problems with our suppliers’ businesses, finances, labor relations, ability to import raw materials, costs, production, insurance and reputation, as well as natural disasters, fires or other catastrophic occurrences. We continuously seek alternative sources of protein to use in our products, but we may not be successful in diversifying the raw materials we use in our products.</w:t>
      </w:r>
    </w:p>
    <w:p>
      <w:pPr>
        <w:spacing w:after="0" w:line="99"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business, results of operations and financial condition may be adversely affected by reduced or limited availability of pea protein that meets our standards.</w:t>
      </w:r>
    </w:p>
    <w:p>
      <w:pPr>
        <w:spacing w:after="0" w:line="128" w:lineRule="exact"/>
        <w:rPr>
          <w:sz w:val="20"/>
          <w:szCs w:val="20"/>
          <w:color w:val="auto"/>
        </w:rPr>
      </w:pPr>
    </w:p>
    <w:p>
      <w:pPr>
        <w:ind w:right="60" w:firstLine="216"/>
        <w:spacing w:after="0" w:line="252" w:lineRule="auto"/>
        <w:rPr>
          <w:sz w:val="20"/>
          <w:szCs w:val="20"/>
          <w:color w:val="auto"/>
        </w:rPr>
      </w:pPr>
      <w:r>
        <w:rPr>
          <w:rFonts w:ascii="Arial" w:cs="Arial" w:eastAsia="Arial" w:hAnsi="Arial"/>
          <w:sz w:val="12"/>
          <w:szCs w:val="12"/>
          <w:color w:val="auto"/>
        </w:rPr>
        <w:t>Our ability to ensure a continuing supply of ingredients at competitive prices depends on many factors beyond our control, such as the number and size of farms that grow certain crops such as Canadian and European yellow peas, the vagaries of these farming businesses (including poor harvests impacting the quality of the peas grown), changes in national and world economic conditions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France and Canada.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160"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b w:val="1"/>
          <w:bCs w:val="1"/>
          <w:i w:val="1"/>
          <w:iCs w:val="1"/>
          <w:color w:val="auto"/>
        </w:rPr>
        <w:t>We use a limited number of distributors for the substantial majority of our sales, and if we experience the loss of one or more distributors and cannot replace them in a timely manner, our results of operations may be adversely affected.</w:t>
      </w:r>
    </w:p>
    <w:p>
      <w:pPr>
        <w:spacing w:after="0" w:line="81" w:lineRule="exact"/>
        <w:rPr>
          <w:sz w:val="20"/>
          <w:szCs w:val="20"/>
          <w:color w:val="auto"/>
        </w:rPr>
      </w:pPr>
    </w:p>
    <w:p>
      <w:pPr>
        <w:ind w:right="300" w:firstLine="216"/>
        <w:spacing w:after="0" w:line="253" w:lineRule="auto"/>
        <w:rPr>
          <w:sz w:val="20"/>
          <w:szCs w:val="20"/>
          <w:color w:val="auto"/>
        </w:rPr>
      </w:pPr>
      <w:r>
        <w:rPr>
          <w:rFonts w:ascii="Arial" w:cs="Arial" w:eastAsia="Arial" w:hAnsi="Arial"/>
          <w:sz w:val="12"/>
          <w:szCs w:val="12"/>
          <w:color w:val="auto"/>
        </w:rPr>
        <w:t>Many retailers purchase our products through food distributors which purchase, store, sell, and deliver our products to retailers. In the six months ended June 29, 2019, our largest distributors in terms of their respective percentage of our gross revenues included the following: DOT Foods, Inc. (“DOT”), 22% and United Natural Foods, Inc. (“UNFI”), 21%. In 2018, our largest distributors in terms of their respective percentage of our gross revenues included the following: UNFI, 32%; DOT, 21%; and Sysco Merchandising and Supply Chain Services, Inc., 13%. We expect that most of our sales will be made through a core number of distributors for the foreseeable future. Since these distributors act as intermediaries between us and the retail grocers or restaurants and foodservice providers, we do not have short-term or long-term commitments or minimum purchase volumes in our contracts with them that ensure future sales of our products. If we lose one or more of our significant distributors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553" w:right="2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and cannot replace the distributor in a timely manner or at all, our business, results of operation and financial condition may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Consolidation of customers or the loss of a significant customer could negatively impact our sales and profitability.</w:t>
      </w:r>
    </w:p>
    <w:p>
      <w:pPr>
        <w:spacing w:after="0" w:line="128" w:lineRule="exact"/>
        <w:rPr>
          <w:sz w:val="20"/>
          <w:szCs w:val="20"/>
          <w:color w:val="auto"/>
        </w:rPr>
      </w:pPr>
    </w:p>
    <w:p>
      <w:pPr>
        <w:jc w:val="both"/>
        <w:ind w:right="180" w:firstLine="216"/>
        <w:spacing w:after="0" w:line="256" w:lineRule="auto"/>
        <w:rPr>
          <w:sz w:val="20"/>
          <w:szCs w:val="20"/>
          <w:color w:val="auto"/>
        </w:rPr>
      </w:pPr>
      <w:r>
        <w:rPr>
          <w:rFonts w:ascii="Arial" w:cs="Arial" w:eastAsia="Arial" w:hAnsi="Arial"/>
          <w:sz w:val="12"/>
          <w:szCs w:val="12"/>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loss of any large customer, the reduction of purchasing levels or the cancellation of any business from a large customer for an extended length of time could negatively impact our sales and profitability.</w:t>
      </w:r>
    </w:p>
    <w:p>
      <w:pPr>
        <w:spacing w:after="0" w:line="114"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w:t>
      </w:r>
    </w:p>
    <w:p>
      <w:pPr>
        <w:spacing w:after="0" w:line="158"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We do not currently have any written contracts with our co-manufacturers in the United States. Loss of one or more of our co-manufacturers or our failure to timely identify and establish relationships with new co-manufacturers could harm our business and impede our growth.</w:t>
      </w:r>
    </w:p>
    <w:p>
      <w:pPr>
        <w:spacing w:after="0" w:line="81" w:lineRule="exact"/>
        <w:rPr>
          <w:sz w:val="20"/>
          <w:szCs w:val="20"/>
          <w:color w:val="auto"/>
        </w:rPr>
      </w:pPr>
    </w:p>
    <w:p>
      <w:pPr>
        <w:jc w:val="both"/>
        <w:ind w:right="80" w:firstLine="216"/>
        <w:spacing w:after="0" w:line="254" w:lineRule="auto"/>
        <w:rPr>
          <w:sz w:val="20"/>
          <w:szCs w:val="20"/>
          <w:color w:val="auto"/>
        </w:rPr>
      </w:pPr>
      <w:r>
        <w:rPr>
          <w:rFonts w:ascii="Arial" w:cs="Arial" w:eastAsia="Arial" w:hAnsi="Arial"/>
          <w:sz w:val="12"/>
          <w:szCs w:val="12"/>
          <w:color w:val="auto"/>
        </w:rPr>
        <w:t>A significant amount of our revenue is derived from products manufactured at manufacturing facilities owned and operated by our co-manufacturers. We do not currently have written manufacturing contracts with our co-manufacturers in the United States. Because of the absence of such contracts, any of such co-manufacturers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00"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99"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 Therefore, the loss of one or more co-manufacturers, any disruption or delay at a co-manufacturer or any failure to identify and engage co-manufacturers for new products and product extensions could delay, postpone or reduce production of our products, which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compete successfully in our highly competitive market.</w:t>
      </w:r>
    </w:p>
    <w:p>
      <w:pPr>
        <w:spacing w:after="0" w:line="128" w:lineRule="exact"/>
        <w:rPr>
          <w:sz w:val="20"/>
          <w:szCs w:val="20"/>
          <w:color w:val="auto"/>
        </w:rPr>
      </w:pPr>
    </w:p>
    <w:p>
      <w:pPr>
        <w:ind w:right="120" w:firstLine="216"/>
        <w:spacing w:after="0" w:line="262" w:lineRule="auto"/>
        <w:rPr>
          <w:sz w:val="20"/>
          <w:szCs w:val="20"/>
          <w:color w:val="auto"/>
        </w:rPr>
      </w:pPr>
      <w:r>
        <w:rPr>
          <w:rFonts w:ascii="Arial" w:cs="Arial" w:eastAsia="Arial" w:hAnsi="Arial"/>
          <w:sz w:val="12"/>
          <w:szCs w:val="12"/>
          <w:color w:val="auto"/>
        </w:rPr>
        <w:t>We operate in a highly competitive market. Numerous brands and products compete for limited retailer shelf space, foodservice and restaurant customers and consumers. In our market, competition is based on, among other things, product quality and taste, brand recognition and loyalty, product variety, interesting or unique product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553" w:right="21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names, product packaging and package design, shelf space, reputation, price, advertising, promotion and nutritional claims.</w:t>
      </w:r>
    </w:p>
    <w:p>
      <w:pPr>
        <w:spacing w:after="0" w:line="114"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We compete with conventional animal-protein companies such as Cargill, Hormel, JBS, Tyson and WH Group (including its Smithfield division),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99"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2"/>
          <w:szCs w:val="12"/>
          <w:color w:val="auto"/>
        </w:rPr>
        <w:t>We also compete with other food brands that develop and sell plant-based protein products, including, but not limited to, Boca Foods, Field Roast Grain Meat Co., Gardein, Impossible Foods, Lightlife, Morningstar Farms and Tofurky, and with companies which may be more innovative, have more resources and be able to bring new products to market faster and to more quickly exploit and serve niche markets such as lab-grown or “clean meat.” We compete with these competitors for foodservice and restaurant customers, retailer shelf space and consumers.</w:t>
      </w:r>
    </w:p>
    <w:p>
      <w:pPr>
        <w:spacing w:after="0" w:line="99"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81" w:lineRule="exact"/>
        <w:rPr>
          <w:sz w:val="20"/>
          <w:szCs w:val="20"/>
          <w:color w:val="auto"/>
        </w:rPr>
      </w:pPr>
    </w:p>
    <w:p>
      <w:pPr>
        <w:ind w:right="20" w:firstLine="216"/>
        <w:spacing w:after="0" w:line="284" w:lineRule="auto"/>
        <w:rPr>
          <w:sz w:val="20"/>
          <w:szCs w:val="20"/>
          <w:color w:val="auto"/>
        </w:rPr>
      </w:pPr>
      <w:r>
        <w:rPr>
          <w:rFonts w:ascii="Arial" w:cs="Arial" w:eastAsia="Arial" w:hAnsi="Arial"/>
          <w:sz w:val="11"/>
          <w:szCs w:val="11"/>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the Beyond Burger, the build-out and equipping of our Manhattan Beach Project Innovation Center, and manufacturing facility improvements and purchases of manufacturing equipment. 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86"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As of June 29, 2019, we had cash and cash equivalents of $277.0 million.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14" w:lineRule="exact"/>
        <w:rPr>
          <w:sz w:val="20"/>
          <w:szCs w:val="20"/>
          <w:color w:val="auto"/>
        </w:rPr>
      </w:pPr>
    </w:p>
    <w:p>
      <w:pPr>
        <w:ind w:left="5660" w:right="3500" w:hanging="5452"/>
        <w:spacing w:after="0" w:line="732"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number and characteristics of any additional products or manufacturing processes we develop or acquire to serve new or existing markets; 44</w:t>
      </w:r>
    </w:p>
    <w:p>
      <w:pPr>
        <w:sectPr>
          <w:pgSz w:w="11900" w:h="16838" w:orient="portrait"/>
          <w:cols w:equalWidth="0" w:num="1">
            <w:col w:w="11480"/>
          </w:cols>
          <w:pgMar w:left="220" w:top="553" w:right="199" w:bottom="1440" w:gutter="0" w:footer="0" w:header="0"/>
        </w:sectPr>
      </w:pPr>
    </w:p>
    <w:bookmarkStart w:id="48" w:name="page49"/>
    <w:bookmarkEnd w:id="48"/>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future products or improvements to existing products or manufacturing processes;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lawsuits related to our products or commenced against us, including the costs associated with our current litigation with a former co-manufacturer;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expenses needed to attract and retain skilled personnel;</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costs associated with being a public company;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including litigation costs and the outcome of such litigation;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timing, receipt and amount of sales of, or royalties on, any future approved products, if any.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w:t>
      </w:r>
    </w:p>
    <w:p>
      <w:pPr>
        <w:spacing w:after="0" w:line="114"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delay, limit, reduce or terminate our manufacturing, research and development activities;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delay, limit, reduce or terminate our establishment of sales and marketing capabilities or other activities that may be necessary to generate revenue and achieve profitability.</w:t>
      </w:r>
    </w:p>
    <w:p>
      <w:pPr>
        <w:spacing w:after="0" w:line="17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81"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operating results. Although we believe we have a rigorous quality control process, there can be no assurance that our products will always comply with the standards set for our products. For example, although we strive to keep our products free of pathogenic organisms, they may not be easily detected and cross-contamination can occur. In addition,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03"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99"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99"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0"/>
          </w:cols>
          <w:pgMar w:left="220" w:top="553" w:right="219" w:bottom="1440" w:gutter="0" w:footer="0" w:header="0"/>
        </w:sectPr>
      </w:pPr>
    </w:p>
    <w:bookmarkStart w:id="49" w:name="page50"/>
    <w:bookmarkEnd w:id="49"/>
    <w:p>
      <w:pPr>
        <w:ind w:right="160"/>
        <w:spacing w:after="0" w:line="286" w:lineRule="auto"/>
        <w:rPr>
          <w:sz w:val="20"/>
          <w:szCs w:val="20"/>
          <w:color w:val="auto"/>
        </w:rPr>
      </w:pPr>
      <w:r>
        <w:rPr>
          <w:rFonts w:ascii="Arial" w:cs="Arial" w:eastAsia="Arial" w:hAnsi="Arial"/>
          <w:sz w:val="12"/>
          <w:szCs w:val="12"/>
          <w:b w:val="1"/>
          <w:bCs w:val="1"/>
          <w:i w:val="1"/>
          <w:iCs w:val="1"/>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81"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could result in the discontinuance of sales of these products or our relationships with such suppliers,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03"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and comparable state laws.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101"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Recently issued FDA regulations will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of the Beyond Burger contribute a significant portion of our revenue. A reduction in sales of the Beyond Burger would have an adverse effect on our financial condition.</w:t>
      </w:r>
    </w:p>
    <w:p>
      <w:pPr>
        <w:spacing w:after="0" w:line="128"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The Beyond Burger accounted for approximately 48% and 70% of our gross revenues in 2017 and 2018, respectively, and approximately 56% of our gross revenues in the six months ended June 29, 2019. The Beyond Burger is our flagship product and has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159"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81" w:lineRule="exact"/>
        <w:rPr>
          <w:sz w:val="20"/>
          <w:szCs w:val="20"/>
          <w:color w:val="auto"/>
        </w:rPr>
      </w:pPr>
    </w:p>
    <w:p>
      <w:pPr>
        <w:ind w:right="500" w:firstLine="216"/>
        <w:spacing w:after="0" w:line="262" w:lineRule="auto"/>
        <w:rPr>
          <w:sz w:val="20"/>
          <w:szCs w:val="20"/>
          <w:color w:val="auto"/>
        </w:rPr>
      </w:pPr>
      <w:r>
        <w:rPr>
          <w:rFonts w:ascii="Arial" w:cs="Arial" w:eastAsia="Arial" w:hAnsi="Arial"/>
          <w:sz w:val="12"/>
          <w:szCs w:val="12"/>
          <w:color w:val="auto"/>
        </w:rPr>
        <w:t>A significant portion of our operations are located in our two Columbia, Missouri facilities. A natural disaster, fire, power interruption, work stoppage or other calamity at one or both of these facilities would significantly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611" w:right="219" w:bottom="1440" w:gutter="0" w:footer="0" w:header="0"/>
        </w:sectPr>
      </w:pPr>
    </w:p>
    <w:bookmarkStart w:id="50" w:name="page51"/>
    <w:bookmarkEnd w:id="50"/>
    <w:p>
      <w:pPr>
        <w:ind w:right="260"/>
        <w:spacing w:after="0" w:line="262" w:lineRule="auto"/>
        <w:rPr>
          <w:sz w:val="20"/>
          <w:szCs w:val="20"/>
          <w:color w:val="auto"/>
        </w:rPr>
      </w:pPr>
      <w:r>
        <w:rPr>
          <w:rFonts w:ascii="Arial" w:cs="Arial" w:eastAsia="Arial" w:hAnsi="Arial"/>
          <w:sz w:val="12"/>
          <w:szCs w:val="12"/>
          <w:color w:val="auto"/>
        </w:rPr>
        <w:t>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95" w:lineRule="exact"/>
        <w:rPr>
          <w:sz w:val="20"/>
          <w:szCs w:val="20"/>
          <w:color w:val="auto"/>
        </w:rPr>
      </w:pPr>
    </w:p>
    <w:p>
      <w:pPr>
        <w:ind w:right="120" w:firstLine="216"/>
        <w:spacing w:after="0" w:line="254" w:lineRule="auto"/>
        <w:rPr>
          <w:sz w:val="20"/>
          <w:szCs w:val="20"/>
          <w:color w:val="auto"/>
        </w:rPr>
      </w:pPr>
      <w:r>
        <w:rPr>
          <w:rFonts w:ascii="Arial" w:cs="Arial" w:eastAsia="Arial" w:hAnsi="Arial"/>
          <w:sz w:val="12"/>
          <w:szCs w:val="12"/>
          <w:color w:val="auto"/>
        </w:rPr>
        <w:t>Our plans for addressing our rapid growth include expanding operations at our Columbia, Missouri facilities and/or seeking an alternative or additional facility. In this tight labor market, we may be unable to hire and retain skilled employees, which will severely hamper our expansion plans, product development and manufacturing efforts. As of April 2019, the Columbia area had an unemployment rate of 2.0%. As a result of this tight labor market, we currently rely on temporary workers in addition to full-time employees, and in the future, we may be unable to attract and retain employees with the skills we require, which could impact our ability to expand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successfully ramp up operations at our new Columbia, Missouri facility or this facility may not operate in accordance with our expectations.</w:t>
      </w:r>
    </w:p>
    <w:p>
      <w:pPr>
        <w:spacing w:after="0" w:line="12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In June 2018, we commenced manufacturing operations in our new Columbia, Missouri facility and expect to add more production capacity through 2021. Any substantial delay in bringing this facility up to full production on our current schedule may hinder our ability to produce all of the product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In addition, we have hired and will need to hire and retain more skilled employees to operate the expanded facility in this tight labor market. Even if our new Columbia, Missouri facility is brought up to full production according to our current schedule, it may not provide us with all of the operational and financial benefits we expect to receive.</w:t>
      </w:r>
    </w:p>
    <w:p>
      <w:pPr>
        <w:spacing w:after="0" w:line="101"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Our Columbia, Missouri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or delays in raw material deliveries.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our Columbia, Missouri facilities; however, such insurance coverage may not be sufficient to cover all of our potential losses and may not continue to be available to us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introduce new products or successfully improve existing products may adversely affect our ability to continue to grow.</w:t>
      </w:r>
    </w:p>
    <w:p>
      <w:pPr>
        <w:spacing w:after="0" w:line="128"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and the success of our management and sales and marketing teams in introducing and marketing new products. Our innovation staff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and market new products that appeal to consumers may lead to a decrease in our growth, sales and profitability.</w:t>
      </w:r>
    </w:p>
    <w:p>
      <w:pPr>
        <w:spacing w:after="0" w:line="103" w:lineRule="exact"/>
        <w:rPr>
          <w:sz w:val="20"/>
          <w:szCs w:val="20"/>
          <w:color w:val="auto"/>
        </w:rPr>
      </w:pPr>
    </w:p>
    <w:p>
      <w:pPr>
        <w:ind w:right="500" w:firstLine="216"/>
        <w:spacing w:after="0" w:line="262" w:lineRule="auto"/>
        <w:rPr>
          <w:sz w:val="20"/>
          <w:szCs w:val="20"/>
          <w:color w:val="auto"/>
        </w:rPr>
      </w:pPr>
      <w:r>
        <w:rPr>
          <w:rFonts w:ascii="Arial" w:cs="Arial" w:eastAsia="Arial" w:hAnsi="Arial"/>
          <w:sz w:val="12"/>
          <w:szCs w:val="12"/>
          <w:color w:val="auto"/>
        </w:rPr>
        <w:t>Additionally, the development and introduction of new products requires substantial research, development and marketing expenditures, which we may be unable to recoup if the new products do not gain widespread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553" w:right="21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auto"/>
        </w:rPr>
        <w:t>market acceptance. If we are unsuccessful in meeting our objectives with respect to new or improved products, our business could be harmed.</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81"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Our success, and our ability to increase revenue and operate profitably, depends in part on our ability to cost-effectively acquire new customers, to retain existing customers, and to keep existing customers engaged so that they continue to purchase products from us. If we are unable to cost-effectively acquire new customers, retain our existing customers or keep existing customers engaged, our business, financial condition and operating results would be materially adversely affected. Further, if customers do not perceive our product offerings to be of sufficient value and quality, or if we fail to offer new and relevant product offerings, we may not be able to attract or retain customers or engage existing customers so that they continue to purchase products from us. We may lose loyal customers to our competitors if we are unable to meet customers’ orders in a timely manner.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manage our future growth effectively, our business could be materially adversely affected.</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have grown rapidly since inception and anticipate further growth. For example, our net revenues increased from $16.2 million at December 31, 2016 to $32.6 million at December 31, 2017 and to $87.9 million at December 31, 2018. Net revenues in the six months ended June 29, 2019 were $107.5 million. Our full-time employee count at June 29, 2019 (including contract employees) has more than doubled since December 31, 2016.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 opportunities, satisfy customer requirements or maintain high-quality product offerings, any of which could harm our business, brand, results of operations and financial condition.</w:t>
      </w:r>
    </w:p>
    <w:p>
      <w:pPr>
        <w:spacing w:after="0" w:line="161"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b w:val="1"/>
          <w:bCs w:val="1"/>
          <w:i w:val="1"/>
          <w:iCs w:val="1"/>
          <w:color w:val="auto"/>
        </w:rPr>
        <w:t>We face intense competition in our market from our competitors, including manufacturers of animal-based meat products and other brands that produce plant-based protein products, and potential competitors and may lack sufficient financial or other resources to compete successfully.</w:t>
      </w:r>
    </w:p>
    <w:p>
      <w:pPr>
        <w:spacing w:after="0" w:line="81"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Our future success depends, in large part, on our ability to implement our growth strategy of expanding supply and distribution, improving placement of our products, attracting new consumers to our brand and introducing new products and product extensions. Our ability to implement this growth strategy depends, among other things, on our ability to:</w:t>
      </w:r>
    </w:p>
    <w:p>
      <w:pPr>
        <w:spacing w:after="0" w:line="95" w:lineRule="exact"/>
        <w:rPr>
          <w:sz w:val="20"/>
          <w:szCs w:val="20"/>
          <w:color w:val="auto"/>
        </w:rPr>
      </w:pPr>
    </w:p>
    <w:p>
      <w:pPr>
        <w:ind w:left="420" w:right="20" w:hanging="212"/>
        <w:spacing w:after="0" w:line="262"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manage relationships with various suppliers, co-manufacturers, distributors, customers and other third parties, and expend time and effort to integrate new suppliers, co-manufacturers and customers into our fulfillment operations;</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continue to compete in the retail channel and the restaurant and foodservice channel;</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secure placement in the meat case for our products;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 our brand recognition;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expand and maintain brand loyalty;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develop new product lines and extensions.</w:t>
      </w:r>
    </w:p>
    <w:p>
      <w:pPr>
        <w:spacing w:after="0" w:line="114" w:lineRule="exact"/>
        <w:rPr>
          <w:sz w:val="20"/>
          <w:szCs w:val="20"/>
          <w:color w:val="auto"/>
        </w:rPr>
      </w:pPr>
    </w:p>
    <w:p>
      <w:pPr>
        <w:ind w:right="360" w:firstLine="216"/>
        <w:spacing w:after="0" w:line="262" w:lineRule="auto"/>
        <w:rPr>
          <w:sz w:val="20"/>
          <w:szCs w:val="20"/>
          <w:color w:val="auto"/>
        </w:rPr>
      </w:pPr>
      <w:r>
        <w:rPr>
          <w:rFonts w:ascii="Arial" w:cs="Arial" w:eastAsia="Arial" w:hAnsi="Arial"/>
          <w:sz w:val="12"/>
          <w:szCs w:val="12"/>
          <w:color w:val="auto"/>
        </w:rPr>
        <w:t>We may not be able to implement our growth strategy successfully. Our sales and operating results will be adversely affected if we fail to implement our growth strategy or if we invest resources in a growth strategy that ultimately proves unsuccessful.</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00"/>
          </w:cols>
          <w:pgMar w:left="220" w:top="553" w:right="27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i w:val="1"/>
          <w:iCs w:val="1"/>
          <w:color w:val="auto"/>
        </w:rPr>
        <w:t>We may face difficulties as we expand our operations into countries in which we have no prior operating experience.</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We intend to continue to expand our global footprint in order to enter into new markets. This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new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Ingredient and packaging costs are volatile and may rise significantly, which may negatively impact the profitability of our business.</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purchase large quantities of raw materials, including ingredients derived from Canadian and European yellow peas, mung beans, sunflower seeds, rice,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develop and maintain our brand, our business could suffer.</w:t>
      </w:r>
    </w:p>
    <w:p>
      <w:pPr>
        <w:spacing w:after="0" w:line="128"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Consumer preferences for our products are difficult to predict and may change, and, if we are unable to respond quickly to new trends, our business may be adversely affected.</w:t>
      </w:r>
    </w:p>
    <w:p>
      <w:pPr>
        <w:spacing w:after="0" w:line="128"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40"/>
          </w:cols>
          <w:pgMar w:left="220" w:top="611" w:right="23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i w:val="1"/>
          <w:iCs w:val="1"/>
          <w:color w:val="auto"/>
        </w:rPr>
        <w:t>Our revenue growth rate may slow over time and may not be indicative of future performance.</w:t>
      </w:r>
    </w:p>
    <w:p>
      <w:pPr>
        <w:spacing w:after="0" w:line="128"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Although we have grown rapidly over the last several years, our revenue growth rates may slow over time due to a number of reasons, including increasing competition, market saturation, slowing demand for our offerings, increasing regulatory costs and challenges, and failure to capitalize on growth opportunities.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revenues and earnings may fluctuate as a result of our promotional activities.</w:t>
      </w:r>
    </w:p>
    <w:p>
      <w:pPr>
        <w:spacing w:after="0" w:line="128" w:lineRule="exact"/>
        <w:rPr>
          <w:sz w:val="20"/>
          <w:szCs w:val="20"/>
          <w:color w:val="auto"/>
        </w:rPr>
      </w:pPr>
    </w:p>
    <w:p>
      <w:pPr>
        <w:jc w:val="both"/>
        <w:ind w:right="120" w:firstLine="216"/>
        <w:spacing w:after="0" w:line="256" w:lineRule="auto"/>
        <w:rPr>
          <w:sz w:val="20"/>
          <w:szCs w:val="20"/>
          <w:color w:val="auto"/>
        </w:rPr>
      </w:pPr>
      <w:r>
        <w:rPr>
          <w:rFonts w:ascii="Arial" w:cs="Arial" w:eastAsia="Arial" w:hAnsi="Arial"/>
          <w:sz w:val="12"/>
          <w:szCs w:val="12"/>
          <w:color w:val="auto"/>
        </w:rPr>
        <w:t>We routinely offer sales discounts and promotions through various programs to customers and consumers which may occasionally result in reduced margins. These programs include rebates, temporary on shelf price reductions, off-invoice discounts, retailer advertisements, product coupons and other trade activities. We anticipate that, at times, these promotional activities may adversely impact our net revenues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8" w:lineRule="exact"/>
        <w:rPr>
          <w:sz w:val="20"/>
          <w:szCs w:val="20"/>
          <w:color w:val="auto"/>
        </w:rPr>
      </w:pPr>
    </w:p>
    <w:p>
      <w:pPr>
        <w:jc w:val="both"/>
        <w:ind w:right="180" w:firstLine="216"/>
        <w:spacing w:after="0" w:line="256" w:lineRule="auto"/>
        <w:rPr>
          <w:sz w:val="20"/>
          <w:szCs w:val="20"/>
          <w:color w:val="auto"/>
        </w:rPr>
      </w:pPr>
      <w:r>
        <w:rPr>
          <w:rFonts w:ascii="Arial" w:cs="Arial" w:eastAsia="Arial" w:hAnsi="Arial"/>
          <w:sz w:val="12"/>
          <w:szCs w:val="12"/>
          <w:color w:val="auto"/>
        </w:rPr>
        <w:t>Our business is subject to seasonal fluctuations that may have a disproportionate effect on our results of operations. Historically, we have realized a higher portion of our net revenues, net income and operating cash flows in our second and third quarters due to weather and related increase in outdoor activities such as barbecues. Any factors that harm our second and third quarter operating results, including disruptions in our supply chain, adverse weather or unfavorable economic conditions, may have a disproportionate effect on our results of operations for the entire year.</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Historical results are not indicative of future results.</w:t>
      </w:r>
    </w:p>
    <w:p>
      <w:pPr>
        <w:spacing w:after="0" w:line="128" w:lineRule="exact"/>
        <w:rPr>
          <w:sz w:val="20"/>
          <w:szCs w:val="20"/>
          <w:color w:val="auto"/>
        </w:rPr>
      </w:pPr>
    </w:p>
    <w:p>
      <w:pPr>
        <w:jc w:val="both"/>
        <w:ind w:right="120" w:firstLine="216"/>
        <w:spacing w:after="0" w:line="262" w:lineRule="auto"/>
        <w:rPr>
          <w:sz w:val="20"/>
          <w:szCs w:val="20"/>
          <w:color w:val="auto"/>
        </w:rPr>
      </w:pPr>
      <w:r>
        <w:rPr>
          <w:rFonts w:ascii="Arial" w:cs="Arial" w:eastAsia="Arial" w:hAnsi="Arial"/>
          <w:sz w:val="12"/>
          <w:szCs w:val="12"/>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 or legal proceedings could expose us to significant liabilities and have a negative impact on our reputation or business.</w:t>
      </w:r>
    </w:p>
    <w:p>
      <w:pPr>
        <w:spacing w:after="0" w:line="128" w:lineRule="exact"/>
        <w:rPr>
          <w:sz w:val="20"/>
          <w:szCs w:val="20"/>
          <w:color w:val="auto"/>
        </w:rPr>
      </w:pPr>
    </w:p>
    <w:p>
      <w:pPr>
        <w:jc w:val="both"/>
        <w:ind w:right="140" w:firstLine="216"/>
        <w:spacing w:after="0" w:line="256" w:lineRule="auto"/>
        <w:rPr>
          <w:sz w:val="20"/>
          <w:szCs w:val="20"/>
          <w:color w:val="auto"/>
        </w:rPr>
      </w:pPr>
      <w:r>
        <w:rPr>
          <w:rFonts w:ascii="Arial" w:cs="Arial" w:eastAsia="Arial" w:hAnsi="Arial"/>
          <w:sz w:val="12"/>
          <w:szCs w:val="12"/>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99"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For example, on May 25, 2017, following our termination of our supply agreement with Don Lee Farms, a co-manufacturer, Don Lee Farms filed a lawsuit against us in California state court claiming that we wrongfully terminated the parties’ contract and that we misappropriated their trade secrets principally by sharing with subsequent co-manufacturers the processes for manufacturing our products—processes which they claim to have developed. On July 27, 2017 we filed a cross-complaint, alleging that Don Lee Farms (1) breached the supply agreement, including by failing to provide saleable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611" w:right="199" w:bottom="1440" w:gutter="0" w:footer="0" w:header="0"/>
        </w:sectPr>
      </w:pPr>
    </w:p>
    <w:bookmarkStart w:id="54" w:name="page55"/>
    <w:bookmarkEnd w:id="54"/>
    <w:p>
      <w:pPr>
        <w:ind w:right="100"/>
        <w:spacing w:after="0" w:line="262" w:lineRule="auto"/>
        <w:rPr>
          <w:sz w:val="20"/>
          <w:szCs w:val="20"/>
          <w:color w:val="auto"/>
        </w:rPr>
      </w:pPr>
      <w:r>
        <w:rPr>
          <w:rFonts w:ascii="Arial" w:cs="Arial" w:eastAsia="Arial" w:hAnsi="Arial"/>
          <w:sz w:val="12"/>
          <w:szCs w:val="12"/>
          <w:color w:val="auto"/>
        </w:rPr>
        <w:t>against us. On May 30, 2019, the judge denied our motion to dismiss the fraud and negligent misrepresentation claims, allowing the claims to proceed. On June 19, 2019, we filed an answer denying Don Lee Farms' claims. Trial is currently set for May 18, 2020.</w:t>
      </w:r>
    </w:p>
    <w:p>
      <w:pPr>
        <w:spacing w:after="0" w:line="95" w:lineRule="exact"/>
        <w:rPr>
          <w:sz w:val="20"/>
          <w:szCs w:val="20"/>
          <w:color w:val="auto"/>
        </w:rPr>
      </w:pPr>
    </w:p>
    <w:p>
      <w:pPr>
        <w:ind w:right="100" w:firstLine="216"/>
        <w:spacing w:after="0" w:line="253" w:lineRule="auto"/>
        <w:rPr>
          <w:sz w:val="20"/>
          <w:szCs w:val="20"/>
          <w:color w:val="auto"/>
        </w:rPr>
      </w:pPr>
      <w:r>
        <w:rPr>
          <w:rFonts w:ascii="Arial" w:cs="Arial" w:eastAsia="Arial" w:hAnsi="Arial"/>
          <w:sz w:val="12"/>
          <w:szCs w:val="12"/>
          <w:color w:val="auto"/>
        </w:rPr>
        <w:t>Don Lee Farms is seeking from us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 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w:t>
      </w:r>
    </w:p>
    <w:p>
      <w:pPr>
        <w:spacing w:after="0" w:line="101"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We intend to vigorously defend ourselves against the claims and prosecute our own. However,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01" w:lineRule="exact"/>
        <w:rPr>
          <w:sz w:val="20"/>
          <w:szCs w:val="20"/>
          <w:color w:val="auto"/>
        </w:rPr>
      </w:pPr>
    </w:p>
    <w:p>
      <w:pPr>
        <w:ind w:right="320" w:firstLine="216"/>
        <w:spacing w:after="0" w:line="254" w:lineRule="auto"/>
        <w:rPr>
          <w:sz w:val="20"/>
          <w:szCs w:val="20"/>
          <w:color w:val="auto"/>
        </w:rPr>
      </w:pPr>
      <w:r>
        <w:rPr>
          <w:rFonts w:ascii="Arial" w:cs="Arial" w:eastAsia="Arial" w:hAnsi="Arial"/>
          <w:sz w:val="12"/>
          <w:szCs w:val="12"/>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0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claims, government investigations or other regulatory enforcement actions could subject us to civil and criminal penalties.</w:t>
      </w:r>
    </w:p>
    <w:p>
      <w:pPr>
        <w:spacing w:after="0" w:line="128"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553" w:right="21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i w:val="1"/>
          <w:iCs w:val="1"/>
          <w:color w:val="auto"/>
        </w:rPr>
        <w:t>Failure by our transportation providers to deliver our products on time, or at all, could result in lost sales.</w:t>
      </w:r>
    </w:p>
    <w:p>
      <w:pPr>
        <w:spacing w:after="0" w:line="128"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and employee strikes and inclement weather, which may impact the ability of providers to provide delivery services that adequately meet our shipping needs.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retain our senior management may adversely affect our operations.</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Our success is substantially dependent on the continued service of certain members of our senior management, including Ethan Brown,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train and retain employees, we may not be able to grow or successfully operate our business.</w:t>
      </w:r>
    </w:p>
    <w:p>
      <w:pPr>
        <w:spacing w:after="0" w:line="128" w:lineRule="exact"/>
        <w:rPr>
          <w:sz w:val="20"/>
          <w:szCs w:val="20"/>
          <w:color w:val="auto"/>
        </w:rPr>
      </w:pPr>
    </w:p>
    <w:p>
      <w:pPr>
        <w:jc w:val="both"/>
        <w:ind w:right="40" w:firstLine="216"/>
        <w:spacing w:after="0" w:line="256" w:lineRule="auto"/>
        <w:rPr>
          <w:sz w:val="20"/>
          <w:szCs w:val="20"/>
          <w:color w:val="auto"/>
        </w:rPr>
      </w:pPr>
      <w:r>
        <w:rPr>
          <w:rFonts w:ascii="Arial" w:cs="Arial" w:eastAsia="Arial" w:hAnsi="Arial"/>
          <w:sz w:val="12"/>
          <w:szCs w:val="12"/>
          <w:color w:val="auto"/>
        </w:rPr>
        <w:t>Our success depends in part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employees are employed by professional employer organizations.</w:t>
      </w:r>
    </w:p>
    <w:p>
      <w:pPr>
        <w:spacing w:after="0" w:line="128" w:lineRule="exact"/>
        <w:rPr>
          <w:sz w:val="20"/>
          <w:szCs w:val="20"/>
          <w:color w:val="auto"/>
        </w:rPr>
      </w:pPr>
    </w:p>
    <w:p>
      <w:pPr>
        <w:ind w:right="40" w:firstLine="216"/>
        <w:spacing w:after="0" w:line="251" w:lineRule="auto"/>
        <w:rPr>
          <w:sz w:val="20"/>
          <w:szCs w:val="20"/>
          <w:color w:val="auto"/>
        </w:rPr>
      </w:pPr>
      <w:r>
        <w:rPr>
          <w:rFonts w:ascii="Arial" w:cs="Arial" w:eastAsia="Arial" w:hAnsi="Arial"/>
          <w:sz w:val="12"/>
          <w:szCs w:val="12"/>
          <w:color w:val="auto"/>
        </w:rPr>
        <w:t>We contract with a professional employer organization, or US PEO, that administers our human resources, payroll and employee benefits functions for our employees in the United States. We also contract with non-US PEOs to perform the same functions as the US PEO for employees outside the United States. Although we recruit and select our workers, each of our workers is also an employee of record of the relevant PEO. As a result, our workers are compensated through the relevant PEO, are governed by the work policies created by the relevant PEO and receive their annual wage statements and other payroll or labor related reports from the relevant PEO (e.g., W-2s from the US PEO for employees in the United States, T-4s for employees in Canada). This relationship permits management to focus on operations and profitability rather than payroll administration, but this relationship also exposes us to some risks. Among other risks, if the US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US PEO, if applicable, may not be sufficient to insulate us from those liabilities.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spacing w:after="0" w:line="106" w:lineRule="exact"/>
        <w:rPr>
          <w:sz w:val="20"/>
          <w:szCs w:val="20"/>
          <w:color w:val="auto"/>
        </w:rPr>
      </w:pPr>
    </w:p>
    <w:p>
      <w:pPr>
        <w:ind w:right="540" w:firstLine="216"/>
        <w:spacing w:after="0" w:line="262" w:lineRule="auto"/>
        <w:rPr>
          <w:sz w:val="20"/>
          <w:szCs w:val="20"/>
          <w:color w:val="auto"/>
        </w:rPr>
      </w:pPr>
      <w:r>
        <w:rPr>
          <w:rFonts w:ascii="Arial" w:cs="Arial" w:eastAsia="Arial" w:hAnsi="Arial"/>
          <w:sz w:val="12"/>
          <w:szCs w:val="12"/>
          <w:color w:val="auto"/>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8"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Any such damage or interruption could have a material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cybersecurity incident or other technology disruptions could negatively impact our business and our relationships with customers.</w:t>
      </w:r>
    </w:p>
    <w:p>
      <w:pPr>
        <w:spacing w:after="0" w:line="128"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a strategy to grow through acquisitions and to pursue new initiatives that improve our operations and cost structure, we will also be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Disruptions in the worldwide economy may adversely affect our business, results of operations and financial condition.</w:t>
      </w:r>
    </w:p>
    <w:p>
      <w:pPr>
        <w:spacing w:after="0" w:line="128"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Adverse and uncertain economic conditions may impact distributor, retailer, foodservice and consumer demand for our products. In addition, our ability to manage normal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Prolonged unfavorable economic conditions may have an adverse effect on our sales and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major earthquake, tsunami, tornado or other natural disaster could seriously disrupt our entire business.</w:t>
      </w:r>
    </w:p>
    <w:p>
      <w:pPr>
        <w:spacing w:after="0" w:line="128"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Our corporate offices and research and development functions are located in El Segundo, California, and our industrial manufacturing facilities are located in Columbia, Missouri. The impact of a major earthquake or tsunami,</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611" w:right="199" w:bottom="1440" w:gutter="0" w:footer="0" w:header="0"/>
        </w:sectPr>
      </w:pPr>
    </w:p>
    <w:bookmarkStart w:id="56" w:name="page57"/>
    <w:bookmarkEnd w:id="56"/>
    <w:p>
      <w:pPr>
        <w:ind w:right="200"/>
        <w:spacing w:after="0" w:line="256" w:lineRule="auto"/>
        <w:rPr>
          <w:sz w:val="20"/>
          <w:szCs w:val="20"/>
          <w:color w:val="auto"/>
        </w:rPr>
      </w:pPr>
      <w:r>
        <w:rPr>
          <w:rFonts w:ascii="Arial" w:cs="Arial" w:eastAsia="Arial" w:hAnsi="Arial"/>
          <w:sz w:val="12"/>
          <w:szCs w:val="12"/>
          <w:color w:val="auto"/>
        </w:rPr>
        <w:t>or both, or other natural disasters in the Los Angeles area, or a tornado or other natural disaster in the Columbia area, on our facilities and overall operations is difficult to predict, but such a natural disaster could seriously disrupt our entire business. Our insurance may not adequately cover our losses and expenses in the event of such a natural disaster. As a result, natural disasters, such as a major earthquake, tsunami or tornado in the Los Angeles or Columbia areas or in areas where our co-manufacturers are located, could lead to substantial losses.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Climate change may negatively affect our business and operations.</w:t>
      </w:r>
    </w:p>
    <w:p>
      <w:pPr>
        <w:spacing w:after="0" w:line="128"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Canadian and European yellow peas, mung beans, sunflowers, rice,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Risks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operations are subject to FDA governmental regulation and state regulation, and there is no assurance that we will be in compliance with all regulations.</w:t>
      </w:r>
    </w:p>
    <w:p>
      <w:pPr>
        <w:spacing w:after="0" w:line="12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Our operations are subject to extensive regulation by the FDA, and other federal, state and local authorities. Specifically,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preventative controls regulations, current good manufacturing practices, or cGMPs, and supplier verification requirements. Our processing facilities, including those of our co-manufacturers, are subject to periodic inspection by federal, state and local authorities. We do not control the manufacturing processes of, and rely upon, our co-manufacturers for compliance with cGMPs for the manufacturing of our products that is conducted by our co-manufacturers. If we or our co-manufacturers cannot successfully manufacture products that conform to our specifications and the strict regulatory requirements of the FDA or others, we or they may be subject to adverse inspectional findings or enforcement actions, which could materially impact our ability to market our products, could result in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foreign regulatory authority determines that we or these co-manufacturers have not complied with the applicable regulatory requirements, our business may be materially impacted.</w:t>
      </w:r>
    </w:p>
    <w:p>
      <w:pPr>
        <w:spacing w:after="0" w:line="101" w:lineRule="exact"/>
        <w:rPr>
          <w:sz w:val="20"/>
          <w:szCs w:val="20"/>
          <w:color w:val="auto"/>
        </w:rPr>
      </w:pPr>
    </w:p>
    <w:p>
      <w:pPr>
        <w:ind w:right="200" w:firstLine="216"/>
        <w:spacing w:after="0" w:line="253" w:lineRule="auto"/>
        <w:rPr>
          <w:sz w:val="20"/>
          <w:szCs w:val="20"/>
          <w:color w:val="auto"/>
        </w:rPr>
      </w:pPr>
      <w:r>
        <w:rPr>
          <w:rFonts w:ascii="Arial" w:cs="Arial" w:eastAsia="Arial" w:hAnsi="Arial"/>
          <w:sz w:val="12"/>
          <w:szCs w:val="12"/>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or will be subject to international regulations that could adversely affect our business and results of operations.</w:t>
      </w:r>
    </w:p>
    <w:p>
      <w:pPr>
        <w:spacing w:after="0" w:line="128"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2"/>
          <w:szCs w:val="12"/>
          <w:color w:val="auto"/>
        </w:rPr>
        <w:t>We are or will be subject to extensive regulations internationally where we manufacture, distribute and/or sell our products. Our products are subject to numerous food safety and other laws and regulations relating to the sourcing, manufacturing, storing, labeling, marketing, advertising and distribution of these products. For example, in early 2018, we received an inquiry from Canadian officials about the labeling and composition of products that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553" w:right="199" w:bottom="1440" w:gutter="0" w:footer="0" w:header="0"/>
        </w:sectPr>
      </w:pPr>
    </w:p>
    <w:bookmarkStart w:id="57" w:name="page58"/>
    <w:bookmarkEnd w:id="57"/>
    <w:p>
      <w:pPr>
        <w:spacing w:after="0" w:line="252" w:lineRule="auto"/>
        <w:rPr>
          <w:sz w:val="20"/>
          <w:szCs w:val="20"/>
          <w:color w:val="auto"/>
        </w:rPr>
      </w:pPr>
      <w:r>
        <w:rPr>
          <w:rFonts w:ascii="Arial" w:cs="Arial" w:eastAsia="Arial" w:hAnsi="Arial"/>
          <w:sz w:val="12"/>
          <w:szCs w:val="12"/>
          <w:color w:val="auto"/>
        </w:rPr>
        <w:t>we export to Canada. We responded promptly to that inquiry, identifying minor formulation changes that we made under Canadian regulations and have not heard more from regulators in Canada. We have continued to export to Canada without further inquiry from Canadian officials. However,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In addition, with our expanding international operations, we could be adversely affected by violations of the U.S. Foreign Corrupt Practices Act, or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 of such violations, could disrupt our business and result in a material adverse effect on our results of operations, cash flows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128" w:lineRule="exact"/>
        <w:rPr>
          <w:sz w:val="20"/>
          <w:szCs w:val="20"/>
          <w:color w:val="auto"/>
        </w:rPr>
      </w:pPr>
    </w:p>
    <w:p>
      <w:pPr>
        <w:jc w:val="both"/>
        <w:ind w:right="60" w:firstLine="216"/>
        <w:spacing w:after="0" w:line="307" w:lineRule="auto"/>
        <w:rPr>
          <w:sz w:val="20"/>
          <w:szCs w:val="20"/>
          <w:color w:val="auto"/>
        </w:rPr>
      </w:pPr>
      <w:r>
        <w:rPr>
          <w:rFonts w:ascii="Arial" w:cs="Arial" w:eastAsia="Arial" w:hAnsi="Arial"/>
          <w:sz w:val="11"/>
          <w:szCs w:val="11"/>
          <w:color w:val="auto"/>
        </w:rPr>
        <w:t>The manufacture and marketing of food products is highly regulated. We, our suppliers and co-manufacturers are subject to a variety of laws and regulations. These laws and regulations apply to many aspects of our business, including the manufacture, packaging, labeling, distribution, advertising, sale, quality and safety of our products, as well as the health and safety of our employees and the protection of the environment.</w:t>
      </w:r>
    </w:p>
    <w:p>
      <w:pPr>
        <w:spacing w:after="0" w:line="73" w:lineRule="exact"/>
        <w:rPr>
          <w:sz w:val="20"/>
          <w:szCs w:val="20"/>
          <w:color w:val="auto"/>
        </w:rPr>
      </w:pPr>
    </w:p>
    <w:p>
      <w:pPr>
        <w:ind w:right="80" w:firstLine="216"/>
        <w:spacing w:after="0" w:line="252" w:lineRule="auto"/>
        <w:rPr>
          <w:sz w:val="20"/>
          <w:szCs w:val="20"/>
          <w:color w:val="auto"/>
        </w:rPr>
      </w:pPr>
      <w:r>
        <w:rPr>
          <w:rFonts w:ascii="Arial" w:cs="Arial" w:eastAsia="Arial" w:hAnsi="Arial"/>
          <w:sz w:val="12"/>
          <w:szCs w:val="12"/>
          <w:color w:val="auto"/>
        </w:rPr>
        <w:t>In the United States, we are subject to regulation by various government agencies, including the FDA, Federal Trade Commission, or FTC, Occupational Safety and Health Administration and the Environmental Protection Agency, as well as various state and local agencies. We are also regulated outside the United States by various international regulatory bodies. In addition, we are subject to certain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103" w:lineRule="exact"/>
        <w:rPr>
          <w:sz w:val="20"/>
          <w:szCs w:val="20"/>
          <w:color w:val="auto"/>
        </w:rPr>
      </w:pPr>
    </w:p>
    <w:p>
      <w:pPr>
        <w:ind w:right="100" w:firstLine="216"/>
        <w:spacing w:after="0" w:line="253" w:lineRule="auto"/>
        <w:rPr>
          <w:sz w:val="20"/>
          <w:szCs w:val="20"/>
          <w:color w:val="auto"/>
        </w:rPr>
      </w:pPr>
      <w:r>
        <w:rPr>
          <w:rFonts w:ascii="Arial" w:cs="Arial" w:eastAsia="Arial" w:hAnsi="Arial"/>
          <w:sz w:val="12"/>
          <w:szCs w:val="12"/>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results of operations and financial condition. In particular, recent federal, state and foreign attention to the naming of plant-based meat products could result in standards or requirements that mandate changes to our current labeling.</w:t>
      </w:r>
    </w:p>
    <w:p>
      <w:pPr>
        <w:spacing w:after="0" w:line="159" w:lineRule="exact"/>
        <w:rPr>
          <w:sz w:val="20"/>
          <w:szCs w:val="20"/>
          <w:color w:val="auto"/>
        </w:rPr>
      </w:pPr>
    </w:p>
    <w:p>
      <w:pPr>
        <w:jc w:val="both"/>
        <w:ind w:right="500"/>
        <w:spacing w:after="0" w:line="334" w:lineRule="auto"/>
        <w:rPr>
          <w:sz w:val="20"/>
          <w:szCs w:val="20"/>
          <w:color w:val="auto"/>
        </w:rPr>
      </w:pPr>
      <w:r>
        <w:rPr>
          <w:rFonts w:ascii="Arial" w:cs="Arial" w:eastAsia="Arial" w:hAnsi="Arial"/>
          <w:sz w:val="11"/>
          <w:szCs w:val="11"/>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in connection with plant-based protein products could adversely affect our business, prospects, results of operations or financial condition.</w:t>
      </w:r>
    </w:p>
    <w:p>
      <w:pPr>
        <w:spacing w:after="0" w:line="58"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The FDA and the USDA, state regulators or similar foreign regulatory authorities, such as Health Canada or the Canadian Food Inspection Agency, or the CFIA, could take action to impact our ability to use the term “meat” or similar words (such as “beef”) to describe our products. For example, in 2018, the state of Missouri passed a</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553" w:right="219" w:bottom="1440" w:gutter="0" w:footer="0" w:header="0"/>
        </w:sectPr>
      </w:pPr>
    </w:p>
    <w:bookmarkStart w:id="58" w:name="page59"/>
    <w:bookmarkEnd w:id="58"/>
    <w:p>
      <w:pPr>
        <w:spacing w:after="0" w:line="254" w:lineRule="auto"/>
        <w:rPr>
          <w:sz w:val="20"/>
          <w:szCs w:val="20"/>
          <w:color w:val="auto"/>
        </w:rPr>
      </w:pPr>
      <w:r>
        <w:rPr>
          <w:rFonts w:ascii="Arial" w:cs="Arial" w:eastAsia="Arial" w:hAnsi="Arial"/>
          <w:sz w:val="12"/>
          <w:szCs w:val="12"/>
          <w:color w:val="auto"/>
        </w:rPr>
        <w:t>law prohibiting any person engaged in advertising, offering for sale, or sale of food products from misrepresenting a product as meat that is not derived from harvested production livestock or poultry. While the state of Missouri Department of Agriculture clarified its interpretation that products which include prominent disclosure that the product is “made from plants,” or comparable disclosure such as through the use of the phrase “plant-based,” are not misrepresented under the Missouri law, additional states have recently passed similar laws, and other regulators could always take a different position. Canadian Food and Drug Regulations also provide requirements for “simulated meat” products, including requirements around composition and naming.</w:t>
      </w:r>
    </w:p>
    <w:p>
      <w:pPr>
        <w:spacing w:after="0" w:line="100"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addition, a food may be deemed misbranded if its labeling is false or misleading in any particular way, and the FDA, CFIA, or other regulators could interpret the use of the term “meat” or any similar phrase(s) to describe our plant-based protein products as false or misleading or likely to create an erroneous impression regarding their composition. Recently, the FDA announced that it will reexamine its enforcement of the standard of identity for milk, the official definition of which involves “lacteal secretion,” which may result in the restriction of the use of the term “milk” to only those products that are animal-based (we note there is no comparable FDA standard of identity for “meat” or other terms that we use to label our products). The USDA has also received a petition from industry requesting that the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However,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and our business, prospects, results of operations or financial condition could be adversely affected.</w:t>
      </w:r>
    </w:p>
    <w:p>
      <w:pPr>
        <w:spacing w:after="0" w:line="159"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81"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 specifications.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and while we require them to process our products in separate designated quarters in their facilities, cross-contamination may occur and result in genetically modified organisms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60"/>
          </w:cols>
          <w:pgMar w:left="220" w:top="553" w:right="21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our proprietary technology adequately, which may impact our commercial success.</w:t>
      </w:r>
    </w:p>
    <w:p>
      <w:pPr>
        <w:spacing w:after="0" w:line="128" w:lineRule="exact"/>
        <w:rPr>
          <w:sz w:val="20"/>
          <w:szCs w:val="20"/>
          <w:color w:val="auto"/>
        </w:rPr>
      </w:pPr>
    </w:p>
    <w:p>
      <w:pPr>
        <w:ind w:right="120" w:firstLine="216"/>
        <w:spacing w:after="0" w:line="254" w:lineRule="auto"/>
        <w:rPr>
          <w:sz w:val="20"/>
          <w:szCs w:val="20"/>
          <w:color w:val="auto"/>
        </w:rPr>
      </w:pPr>
      <w:r>
        <w:rPr>
          <w:rFonts w:ascii="Arial" w:cs="Arial" w:eastAsia="Arial" w:hAnsi="Arial"/>
          <w:sz w:val="12"/>
          <w:szCs w:val="12"/>
          <w:color w:val="auto"/>
        </w:rPr>
        <w:t>Our commercial success depends in part on our ability to protect our intellectual property and proprietary technologies. We rely on a combination of patent protection, where appropriate and available, copyrights, trade secrets and trademarks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July 15, 2019, we had one issued U.S. patent and 18 pending patent applications, including five in the United States and 13 international patent applications.</w:t>
      </w:r>
    </w:p>
    <w:p>
      <w:pPr>
        <w:spacing w:after="0" w:line="100"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01" w:lineRule="exact"/>
        <w:rPr>
          <w:sz w:val="20"/>
          <w:szCs w:val="20"/>
          <w:color w:val="auto"/>
        </w:rPr>
      </w:pPr>
    </w:p>
    <w:p>
      <w:pPr>
        <w:jc w:val="both"/>
        <w:ind w:right="80" w:firstLine="216"/>
        <w:spacing w:after="0" w:line="254" w:lineRule="auto"/>
        <w:rPr>
          <w:sz w:val="20"/>
          <w:szCs w:val="20"/>
          <w:color w:val="auto"/>
        </w:rPr>
      </w:pPr>
      <w:r>
        <w:rPr>
          <w:rFonts w:ascii="Arial" w:cs="Arial" w:eastAsia="Arial" w:hAnsi="Arial"/>
          <w:sz w:val="12"/>
          <w:szCs w:val="12"/>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00"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Moreover, in the United States, the Leahy-Smith America Invents Act, or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adequately, which may harm the value of our brand.</w:t>
      </w:r>
    </w:p>
    <w:p>
      <w:pPr>
        <w:spacing w:after="0" w:line="128" w:lineRule="exact"/>
        <w:rPr>
          <w:sz w:val="20"/>
          <w:szCs w:val="20"/>
          <w:color w:val="auto"/>
        </w:rPr>
      </w:pPr>
    </w:p>
    <w:p>
      <w:pPr>
        <w:ind w:right="80" w:firstLine="216"/>
        <w:spacing w:after="0" w:line="253" w:lineRule="auto"/>
        <w:rPr>
          <w:sz w:val="20"/>
          <w:szCs w:val="20"/>
          <w:color w:val="auto"/>
        </w:rPr>
      </w:pPr>
      <w:r>
        <w:rPr>
          <w:rFonts w:ascii="Arial" w:cs="Arial" w:eastAsia="Arial" w:hAnsi="Arial"/>
          <w:sz w:val="12"/>
          <w:szCs w:val="12"/>
          <w:color w:val="auto"/>
        </w:rPr>
        <w:t>We believe that our intellectual property has substantial value and has contributed significantly to the success of our business. Our trademarks, including the Beyond Burger, Beyond Beef, Beyond Chicken, Beyond Meat, Beyond Sausage, Beyond Breakfast Sausage,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611" w:right="199" w:bottom="1440" w:gutter="0" w:footer="0" w:header="0"/>
        </w:sectPr>
      </w:pPr>
    </w:p>
    <w:bookmarkStart w:id="60" w:name="page61"/>
    <w:bookmarkEnd w:id="60"/>
    <w:p>
      <w:pPr>
        <w:jc w:val="both"/>
        <w:ind w:firstLine="216"/>
        <w:spacing w:after="0" w:line="253" w:lineRule="auto"/>
        <w:rPr>
          <w:sz w:val="20"/>
          <w:szCs w:val="20"/>
          <w:color w:val="auto"/>
        </w:rPr>
      </w:pPr>
      <w:r>
        <w:rPr>
          <w:rFonts w:ascii="Arial" w:cs="Arial" w:eastAsia="Arial" w:hAnsi="Arial"/>
          <w:sz w:val="12"/>
          <w:szCs w:val="12"/>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01"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Being a Public Company</w:t>
      </w:r>
    </w:p>
    <w:p>
      <w:pPr>
        <w:spacing w:after="0" w:line="186" w:lineRule="exact"/>
        <w:rPr>
          <w:sz w:val="20"/>
          <w:szCs w:val="20"/>
          <w:color w:val="auto"/>
        </w:rPr>
      </w:pPr>
    </w:p>
    <w:p>
      <w:pPr>
        <w:ind w:right="400"/>
        <w:spacing w:after="0" w:line="286" w:lineRule="auto"/>
        <w:rPr>
          <w:sz w:val="20"/>
          <w:szCs w:val="20"/>
          <w:color w:val="auto"/>
        </w:rPr>
      </w:pPr>
      <w:r>
        <w:rPr>
          <w:rFonts w:ascii="Arial" w:cs="Arial" w:eastAsia="Arial" w:hAnsi="Arial"/>
          <w:sz w:val="12"/>
          <w:szCs w:val="12"/>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81"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 rapid growth of our operations and the IPO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01" w:lineRule="exact"/>
        <w:rPr>
          <w:sz w:val="20"/>
          <w:szCs w:val="20"/>
          <w:color w:val="auto"/>
        </w:rPr>
      </w:pPr>
    </w:p>
    <w:p>
      <w:pPr>
        <w:ind w:firstLine="216"/>
        <w:spacing w:after="0" w:line="144" w:lineRule="exact"/>
        <w:rPr>
          <w:sz w:val="20"/>
          <w:szCs w:val="20"/>
          <w:color w:val="auto"/>
        </w:rPr>
      </w:pPr>
      <w:r>
        <w:rPr>
          <w:rFonts w:ascii="Arial" w:cs="Arial" w:eastAsia="Arial" w:hAnsi="Arial"/>
          <w:sz w:val="12"/>
          <w:szCs w:val="12"/>
          <w:color w:val="auto"/>
        </w:rPr>
        <w:t>If we cease to be an “emerging growth company” as defined in the JOBS Act, commencing with our second annual report on Form 10-K that we will file after becoming a public reporting company, we must perform system and process evaluation and testing of our internal control over financial reporting to allow management to report on the effectiveness of our internal control over financial reporting in our Form 10</w:t>
      </w:r>
      <w:r>
        <w:rPr>
          <w:rFonts w:ascii="MS PGothic" w:cs="MS PGothic" w:eastAsia="MS PGothic" w:hAnsi="MS PGothic"/>
          <w:sz w:val="12"/>
          <w:szCs w:val="12"/>
          <w:color w:val="auto"/>
        </w:rPr>
        <w:t>‑</w:t>
      </w:r>
      <w:r>
        <w:rPr>
          <w:rFonts w:ascii="Arial" w:cs="Arial" w:eastAsia="Arial" w:hAnsi="Arial"/>
          <w:sz w:val="12"/>
          <w:szCs w:val="12"/>
          <w:color w:val="auto"/>
        </w:rPr>
        <w:t>K filing for that year, as required by Section 404 of the Sarbanes Oxley Act. The rules governing the standards that must be met for management to assess our internal control over financial reporting are complex and require significant documentation, testing and possible remediation.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w:t>
      </w:r>
    </w:p>
    <w:p>
      <w:pPr>
        <w:spacing w:after="0" w:line="110"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553" w:right="219" w:bottom="1440" w:gutter="0" w:footer="0" w:header="0"/>
        </w:sectPr>
      </w:pPr>
    </w:p>
    <w:bookmarkStart w:id="61" w:name="page62"/>
    <w:bookmarkEnd w:id="61"/>
    <w:p>
      <w:pPr>
        <w:ind w:right="200"/>
        <w:spacing w:after="0" w:line="290" w:lineRule="auto"/>
        <w:rPr>
          <w:sz w:val="20"/>
          <w:szCs w:val="20"/>
          <w:color w:val="auto"/>
        </w:rPr>
      </w:pPr>
      <w:r>
        <w:rPr>
          <w:rFonts w:ascii="Arial" w:cs="Arial" w:eastAsia="Arial" w:hAnsi="Arial"/>
          <w:sz w:val="11"/>
          <w:szCs w:val="11"/>
          <w:color w:val="auto"/>
        </w:rPr>
        <w:t>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disclosure controls and procedures may not prevent or detect all errors or acts of fraud.</w:t>
      </w:r>
    </w:p>
    <w:p>
      <w:pPr>
        <w:spacing w:after="0" w:line="128"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99"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57" w:lineRule="exact"/>
        <w:rPr>
          <w:sz w:val="20"/>
          <w:szCs w:val="20"/>
          <w:color w:val="auto"/>
        </w:rPr>
      </w:pPr>
    </w:p>
    <w:p>
      <w:pPr>
        <w:ind w:right="520"/>
        <w:spacing w:after="0" w:line="286" w:lineRule="auto"/>
        <w:rPr>
          <w:sz w:val="20"/>
          <w:szCs w:val="20"/>
          <w:color w:val="auto"/>
        </w:rPr>
      </w:pPr>
      <w:r>
        <w:rPr>
          <w:rFonts w:ascii="Arial" w:cs="Arial" w:eastAsia="Arial" w:hAnsi="Arial"/>
          <w:sz w:val="12"/>
          <w:szCs w:val="12"/>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1" w:lineRule="exact"/>
        <w:rPr>
          <w:sz w:val="20"/>
          <w:szCs w:val="20"/>
          <w:color w:val="auto"/>
        </w:rPr>
      </w:pPr>
    </w:p>
    <w:p>
      <w:pPr>
        <w:jc w:val="both"/>
        <w:ind w:right="80" w:firstLine="216"/>
        <w:spacing w:after="0" w:line="254" w:lineRule="auto"/>
        <w:rPr>
          <w:sz w:val="20"/>
          <w:szCs w:val="20"/>
          <w:color w:val="auto"/>
        </w:rPr>
      </w:pPr>
      <w:r>
        <w:rPr>
          <w:rFonts w:ascii="Arial" w:cs="Arial" w:eastAsia="Arial" w:hAnsi="Arial"/>
          <w:sz w:val="12"/>
          <w:szCs w:val="12"/>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00"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For as long as we continue to be an emerging growth company, we also intend to take advantage of certain other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59"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81" w:lineRule="exact"/>
        <w:rPr>
          <w:sz w:val="20"/>
          <w:szCs w:val="20"/>
          <w:color w:val="auto"/>
        </w:rPr>
      </w:pPr>
    </w:p>
    <w:p>
      <w:pPr>
        <w:ind w:right="120" w:firstLine="216"/>
        <w:spacing w:after="0" w:line="253" w:lineRule="auto"/>
        <w:rPr>
          <w:sz w:val="20"/>
          <w:szCs w:val="20"/>
          <w:color w:val="auto"/>
        </w:rPr>
      </w:pPr>
      <w:r>
        <w:rPr>
          <w:rFonts w:ascii="Arial" w:cs="Arial" w:eastAsia="Arial" w:hAnsi="Arial"/>
          <w:sz w:val="12"/>
          <w:szCs w:val="12"/>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under the Dodd-Frank Wall Street Reform and Consumer Protection Act, or the Dodd-Frank Act, the SEC adopted rules and regulations related to corporate governance and executive compensation, such as “say on pay” and proxy access. Emerging growth companies are permitted to implement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60"/>
          </w:cols>
          <w:pgMar w:left="220" w:top="553" w:right="219" w:bottom="1440" w:gutter="0" w:footer="0" w:header="0"/>
        </w:sectPr>
      </w:pPr>
    </w:p>
    <w:bookmarkStart w:id="62" w:name="page63"/>
    <w:bookmarkEnd w:id="62"/>
    <w:p>
      <w:pPr>
        <w:ind w:right="60"/>
        <w:spacing w:after="0" w:line="251" w:lineRule="auto"/>
        <w:rPr>
          <w:sz w:val="20"/>
          <w:szCs w:val="20"/>
          <w:color w:val="auto"/>
        </w:rPr>
      </w:pPr>
      <w:r>
        <w:rPr>
          <w:rFonts w:ascii="Arial" w:cs="Arial" w:eastAsia="Arial" w:hAnsi="Arial"/>
          <w:sz w:val="12"/>
          <w:szCs w:val="12"/>
          <w:color w:val="auto"/>
        </w:rPr>
        <w:t>many of these requirements over a longer period and up to five years following the completion of its initial public offering. We intend to take advantage of this legislation for as long as we are permitted to do so. Once we become required to implement these requirements, we will incur additional compliance-related expenses. Additionally,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share price has been and may continue to be highly volatile, and you could lose all or part of your investment.</w:t>
      </w:r>
    </w:p>
    <w:p>
      <w:pPr>
        <w:spacing w:after="0" w:line="128"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The market price of our common stock following our IPO has been and is likely to continue to be highly volatile and could be subject to wide fluctuations in response to many factors discussed in this “Risk Factors” section, including:</w:t>
      </w:r>
    </w:p>
    <w:p>
      <w:pPr>
        <w:spacing w:after="0" w:line="95"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actual or anticipated fluctuations in our financial condition and operating results, including fluctuations in our quarterly and annual results;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announcements of innovations by us or our competitors;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overall conditions in our industry and the markets in which we operate;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conditions or trends in the packaged food sales industry or in the economy as a whole;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addition or loss of significant customers or other developments with respect to significant customers;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adverse developments concerning our manufacturers or suppliers;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laws or regulations applicable to our products;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effectively manage our growth;</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actual or anticipated changes in our growth rate relative to our competitors;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acquisitions, strategic partnerships, joint ventures or capital commitments;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competition from existing products or new products that may emerge;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issuance of new or updated research or reports about us or our industry, or positive or negative recommendations or withdrawal of research coverage by securities analysts;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60"/>
          </w:cols>
          <w:pgMar w:left="220" w:top="553" w:right="219" w:bottom="1440" w:gutter="0" w:footer="0" w:header="0"/>
        </w:sectPr>
      </w:pPr>
    </w:p>
    <w:bookmarkStart w:id="63" w:name="page64"/>
    <w:bookmarkEnd w:id="63"/>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failure to meet the estimates and projections of the investment community or that we may otherwise provide to the public;</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fluctuations in the valuation of companies perceived by investors to be comparable to us;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disputes or other developments related to proprietary rights, including patents, and our ability to obtain intellectual property protection for our products;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litigation or regulatory matters;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announcement or expectation of additional financing efforts;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cash position;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share price and volume fluctuations attributable to inconsistent trading volume levels of our common stock;</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expiration of contractual lock-up agreements with our executive officers, directors and stockholders;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accounting practices;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ineffectiveness of our internal controls;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economic, market and political conditions;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 events or factors, many of which are beyond our control.</w:t>
      </w:r>
    </w:p>
    <w:p>
      <w:pPr>
        <w:spacing w:after="0" w:line="114"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and adversely affect our results of operations.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An active trading market may not be sustained.</w:t>
      </w:r>
    </w:p>
    <w:p>
      <w:pPr>
        <w:spacing w:after="0" w:line="128"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You may not be able to sell your shares quickly or at a recently reported market price if trading in our common stock does not remain active.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Future sales of our common stock in the public market could cause our share price to fall.</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40"/>
          </w:cols>
          <w:pgMar w:left="220" w:top="553" w:right="239" w:bottom="1440" w:gutter="0" w:footer="0" w:header="0"/>
        </w:sectPr>
      </w:pPr>
    </w:p>
    <w:bookmarkStart w:id="64" w:name="page65"/>
    <w:bookmarkEnd w:id="64"/>
    <w:p>
      <w:pPr>
        <w:spacing w:after="0"/>
        <w:rPr>
          <w:sz w:val="20"/>
          <w:szCs w:val="20"/>
          <w:color w:val="auto"/>
        </w:rPr>
      </w:pPr>
      <w:r>
        <w:rPr>
          <w:rFonts w:ascii="Arial" w:cs="Arial" w:eastAsia="Arial" w:hAnsi="Arial"/>
          <w:sz w:val="12"/>
          <w:szCs w:val="12"/>
          <w:color w:val="auto"/>
        </w:rPr>
        <w:t>could decline.</w:t>
      </w:r>
    </w:p>
    <w:p>
      <w:pPr>
        <w:spacing w:after="0" w:line="100" w:lineRule="exact"/>
        <w:rPr>
          <w:sz w:val="20"/>
          <w:szCs w:val="20"/>
          <w:color w:val="auto"/>
        </w:rPr>
      </w:pPr>
    </w:p>
    <w:p>
      <w:pPr>
        <w:ind w:right="40" w:firstLine="216"/>
        <w:spacing w:after="0" w:line="286" w:lineRule="auto"/>
        <w:rPr>
          <w:sz w:val="20"/>
          <w:szCs w:val="20"/>
          <w:color w:val="auto"/>
        </w:rPr>
      </w:pPr>
      <w:r>
        <w:rPr>
          <w:rFonts w:ascii="Arial" w:cs="Arial" w:eastAsia="Arial" w:hAnsi="Arial"/>
          <w:sz w:val="12"/>
          <w:szCs w:val="12"/>
          <w:b w:val="1"/>
          <w:bCs w:val="1"/>
          <w:i w:val="1"/>
          <w:iCs w:val="1"/>
          <w:color w:val="auto"/>
        </w:rPr>
        <w:t>If securities or industry analysts issue an adverse or misleading opinion regarding our business or do not publish research or publish unfavorable research about our business, our stock price and trading volume could decline.</w:t>
      </w:r>
    </w:p>
    <w:p>
      <w:pPr>
        <w:spacing w:after="0" w:line="81"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The trading market for our common stock will be influenced by the research and reports that industry or securities analysts publish about us or our business. If one or more of these analysts does not initiate coverage over us,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86" w:lineRule="exact"/>
        <w:rPr>
          <w:sz w:val="20"/>
          <w:szCs w:val="20"/>
          <w:color w:val="auto"/>
        </w:rPr>
      </w:pPr>
    </w:p>
    <w:p>
      <w:pPr>
        <w:ind w:right="260" w:firstLine="216"/>
        <w:spacing w:after="0" w:line="286" w:lineRule="auto"/>
        <w:rPr>
          <w:sz w:val="20"/>
          <w:szCs w:val="20"/>
          <w:color w:val="auto"/>
        </w:rPr>
      </w:pPr>
      <w:r>
        <w:rPr>
          <w:rFonts w:ascii="Arial" w:cs="Arial" w:eastAsia="Arial" w:hAnsi="Arial"/>
          <w:sz w:val="12"/>
          <w:szCs w:val="12"/>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81"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Our charter documents and Delaware law could prevent a takeover that stockholders consider favorable and could also reduce the market price of our stock.</w:t>
      </w:r>
    </w:p>
    <w:p>
      <w:pPr>
        <w:spacing w:after="0" w:line="128"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95"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providing for a classified board of directors with staggered, three-year terms;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authorizing our board of directors to issue preferred stock with voting or other rights or preferences that could discourage a takeover attempt or delay changes in control;</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prohibiting cumulative voting in the election of directors;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providing that vacancies on our board of directors may be filled only by a majority of directors then in office, even though less than a quorum;</w:t>
      </w:r>
    </w:p>
    <w:p>
      <w:pPr>
        <w:spacing w:after="0" w:line="114"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95"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prohibiting stockholder action by written consent;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limiting the persons who may call special meetings of stockholders;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requiring advance notification of stockholder nominations and proposals.</w:t>
      </w:r>
    </w:p>
    <w:p>
      <w:pPr>
        <w:spacing w:after="0" w:line="114"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60"/>
          </w:cols>
          <w:pgMar w:left="220" w:top="553" w:right="21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particular those owning 15% or more of our outstanding voting stock, from merging or combining with us for a certain period of time without the consent of our board of directors.</w:t>
      </w:r>
    </w:p>
    <w:p>
      <w:pPr>
        <w:spacing w:after="0" w:line="114"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Insiders have substantial control over us and will be able to influence corporate matters.</w:t>
      </w:r>
    </w:p>
    <w:p>
      <w:pPr>
        <w:spacing w:after="0" w:line="128"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Our directors and executive officers and their affiliates and our stockholders holding more than 10% of our shares beneficially own, in the aggregate, approximately 29% of our outstanding capital stock as of July 10, 2019. As a result, these stockholders may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86" w:lineRule="exact"/>
        <w:rPr>
          <w:sz w:val="20"/>
          <w:szCs w:val="20"/>
          <w:color w:val="auto"/>
        </w:rPr>
      </w:pPr>
    </w:p>
    <w:p>
      <w:pPr>
        <w:ind w:right="300" w:firstLine="216"/>
        <w:spacing w:after="0" w:line="268" w:lineRule="auto"/>
        <w:rPr>
          <w:sz w:val="20"/>
          <w:szCs w:val="20"/>
          <w:color w:val="auto"/>
        </w:rPr>
      </w:pPr>
      <w:r>
        <w:rPr>
          <w:rFonts w:ascii="Arial" w:cs="Arial" w:eastAsia="Arial" w:hAnsi="Arial"/>
          <w:sz w:val="12"/>
          <w:szCs w:val="12"/>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amended and restated certificate of incorporation provides that the Court of Chancery of the State of Delaware is the exclusive forum for:</w:t>
      </w:r>
    </w:p>
    <w:p>
      <w:pPr>
        <w:spacing w:after="0" w:line="114"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derivative action or proceeding brought on our behalf;</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action asserting a claim of breach of a fiduciary duty owed by, or other wrongdoing by, any of our directors, officers, employees or agents or our stockholders;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DGCL, our amended and restated certificate of incorporation, or our amended and restated bylaws;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action asserting a claim against us that is governed by the internal-affairs doctrine;</w:t>
      </w:r>
    </w:p>
    <w:p>
      <w:pPr>
        <w:spacing w:after="0" w:line="114"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99"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determined in December 2018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553" w:right="199" w:bottom="1440" w:gutter="0" w:footer="0" w:header="0"/>
        </w:sectPr>
      </w:pPr>
    </w:p>
    <w:bookmarkStart w:id="66" w:name="page67"/>
    <w:bookmarkEnd w:id="66"/>
    <w:p>
      <w:pPr>
        <w:ind w:left="200"/>
        <w:spacing w:after="0"/>
        <w:rPr>
          <w:sz w:val="20"/>
          <w:szCs w:val="20"/>
          <w:color w:val="auto"/>
        </w:rPr>
      </w:pPr>
      <w:r>
        <w:rPr>
          <w:rFonts w:ascii="Arial" w:cs="Arial" w:eastAsia="Arial" w:hAnsi="Arial"/>
          <w:sz w:val="12"/>
          <w:szCs w:val="12"/>
          <w:b w:val="1"/>
          <w:bCs w:val="1"/>
          <w:i w:val="1"/>
          <w:iCs w:val="1"/>
          <w:color w:val="auto"/>
        </w:rPr>
        <w:t>Our ability to utilize our federal net operating loss and tax credit carryforwards may be limited under Sections 382 and 383 of the Internal Revenue Code of 1986, as amended, or the Code.</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The limitations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net operating losses and other tax attributes to offset taxable income. In addition,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Unregistered Sales of Equity Securities</w:t>
      </w:r>
    </w:p>
    <w:p>
      <w:pPr>
        <w:spacing w:after="0" w:line="128" w:lineRule="exact"/>
        <w:rPr>
          <w:sz w:val="20"/>
          <w:szCs w:val="20"/>
          <w:color w:val="auto"/>
        </w:rPr>
      </w:pPr>
    </w:p>
    <w:p>
      <w:pPr>
        <w:ind w:right="280" w:firstLine="216"/>
        <w:spacing w:after="0" w:line="262" w:lineRule="auto"/>
        <w:rPr>
          <w:sz w:val="20"/>
          <w:szCs w:val="20"/>
          <w:color w:val="auto"/>
        </w:rPr>
      </w:pPr>
      <w:r>
        <w:rPr>
          <w:rFonts w:ascii="Arial" w:cs="Arial" w:eastAsia="Arial" w:hAnsi="Arial"/>
          <w:sz w:val="12"/>
          <w:szCs w:val="12"/>
          <w:color w:val="auto"/>
        </w:rPr>
        <w:t>During the quarter ended June 29, 2019 and prior to the filing of our Form S-8, we issued and sold an aggregate of 109,978 shares of our common stock to current and former employees and consultants at a weighted average exercise price of $1.34 per share pursuant to exercises of options granted under our 2011 Equity Incentive Plan for aggregate cash consideration of $147,854.</w:t>
      </w:r>
    </w:p>
    <w:p>
      <w:pPr>
        <w:spacing w:after="0" w:line="95"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The stock options and the common stock issuable upon the exercise of such options were issued under the 2011 Equity Incentive Plan in reliance on the exemption provided by Rule 701 promulgated under the Securities Act. Each of the recipients of securities in these transactions had adequate access, through employment, business or other relationships, to information about us.</w:t>
      </w:r>
    </w:p>
    <w:p>
      <w:pPr>
        <w:spacing w:after="0" w:line="95"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In addition, during the quarter ended June 29, 2019 and prior to the filing of our Form S-8, we sold an aggregate of 14,950 shares of restricted common stock issued under our 2011 Equity Incentive Plan to various brand ambassadors at a purchase price of $0.01 per share for an aggregate consideration of approximately $150. The issuance of restricted stock to these persons was made in reliance upon the exemption from registration provided by Section 4(a)(2) of the Securities Act of 1933.</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Use of Proceeds from our Initial Public Offering of Common Stock</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previously reported, we received approximately $252.4 million of net proceeds from our initial public offering which closed on May 6, 2019. Net proceeds from our IPO have been invested in short-term, interest-bearing, investment grade securities. There has been no material change in the expected use of the net proceeds from our IPO as described in our registration statement on Form S-1 (File. No. 333-228453) filed with the SEC which became effective on May 1,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60"/>
          </w:cols>
          <w:pgMar w:left="220" w:top="539"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9"/>
        </w:trPr>
        <w:tc>
          <w:tcPr>
            <w:tcW w:w="128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6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gridSpan w:val="9"/>
          </w:tcPr>
          <w:p>
            <w:pPr>
              <w:ind w:left="860"/>
              <w:spacing w:after="0"/>
              <w:rPr>
                <w:sz w:val="20"/>
                <w:szCs w:val="20"/>
                <w:color w:val="auto"/>
              </w:rPr>
            </w:pPr>
            <w:r>
              <w:rPr>
                <w:rFonts w:ascii="Arial" w:cs="Arial" w:eastAsia="Arial" w:hAnsi="Arial"/>
                <w:sz w:val="12"/>
                <w:szCs w:val="12"/>
                <w:b w:val="1"/>
                <w:bCs w:val="1"/>
                <w:color w:val="auto"/>
              </w:rPr>
              <w:t>EXHIBIT INDEX</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1"/>
          </w:tcPr>
          <w:p>
            <w:pPr>
              <w:ind w:left="18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Incorporated by Reference</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Filed Herewith</w:t>
            </w:r>
          </w:p>
        </w:tc>
      </w:tr>
      <w:tr>
        <w:trPr>
          <w:trHeight w:val="169"/>
        </w:trPr>
        <w:tc>
          <w:tcPr>
            <w:tcW w:w="1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Form</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Date</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Number</w:t>
            </w:r>
          </w:p>
        </w:tc>
        <w:tc>
          <w:tcPr>
            <w:tcW w:w="1260" w:type="dxa"/>
            <w:vAlign w:val="bottom"/>
            <w:tcBorders>
              <w:bottom w:val="single" w:sz="8" w:color="CCEEFF"/>
            </w:tcBorders>
            <w:gridSpan w:val="2"/>
          </w:tcPr>
          <w:p>
            <w:pPr>
              <w:spacing w:after="0"/>
              <w:rPr>
                <w:sz w:val="14"/>
                <w:szCs w:val="14"/>
                <w:color w:val="auto"/>
              </w:rPr>
            </w:pPr>
          </w:p>
        </w:tc>
      </w:tr>
      <w:tr>
        <w:trPr>
          <w:trHeight w:val="145"/>
        </w:trPr>
        <w:tc>
          <w:tcPr>
            <w:tcW w:w="114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rPr>
              <w:t>3.1</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1960" w:type="dxa"/>
            <w:vAlign w:val="bottom"/>
            <w:tcBorders>
              <w:bottom w:val="single" w:sz="8" w:color="0000FF"/>
            </w:tcBorders>
            <w:gridSpan w:val="3"/>
            <w:shd w:val="clear" w:color="auto" w:fill="CCEEFF"/>
          </w:tcPr>
          <w:p>
            <w:pPr>
              <w:spacing w:after="0" w:line="129" w:lineRule="exact"/>
              <w:rPr>
                <w:rFonts w:ascii="Arial" w:cs="Arial" w:eastAsia="Arial" w:hAnsi="Arial"/>
                <w:sz w:val="12"/>
                <w:szCs w:val="12"/>
                <w:color w:val="0000FF"/>
                <w:w w:val="99"/>
              </w:rPr>
            </w:pPr>
            <w:hyperlink r:id="rId32">
              <w:r>
                <w:rPr>
                  <w:rFonts w:ascii="Arial" w:cs="Arial" w:eastAsia="Arial" w:hAnsi="Arial"/>
                  <w:sz w:val="12"/>
                  <w:szCs w:val="12"/>
                  <w:color w:val="0000FF"/>
                  <w:w w:val="99"/>
                </w:rPr>
                <w:t>Restated Certificate of Incorporation.</w:t>
              </w:r>
            </w:hyperlink>
          </w:p>
        </w:tc>
        <w:tc>
          <w:tcPr>
            <w:tcW w:w="3540" w:type="dxa"/>
            <w:vAlign w:val="bottom"/>
            <w:tcBorders>
              <w:bottom w:val="single" w:sz="8" w:color="CCEEFF"/>
            </w:tcBorders>
            <w:gridSpan w:val="12"/>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10-Q</w:t>
            </w:r>
          </w:p>
        </w:tc>
        <w:tc>
          <w:tcPr>
            <w:tcW w:w="136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7"/>
              </w:rPr>
              <w:t>6/12/2019</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44"/>
        </w:trPr>
        <w:tc>
          <w:tcPr>
            <w:tcW w:w="1140" w:type="dxa"/>
            <w:vAlign w:val="bottom"/>
          </w:tcPr>
          <w:p>
            <w:pPr>
              <w:jc w:val="center"/>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2"/>
                <w:szCs w:val="12"/>
                <w:color w:val="auto"/>
              </w:rPr>
            </w:pPr>
          </w:p>
        </w:tc>
        <w:tc>
          <w:tcPr>
            <w:tcW w:w="5500" w:type="dxa"/>
            <w:vAlign w:val="bottom"/>
            <w:gridSpan w:val="15"/>
          </w:tcPr>
          <w:p>
            <w:pPr>
              <w:spacing w:after="0"/>
              <w:rPr>
                <w:rFonts w:ascii="Arial" w:cs="Arial" w:eastAsia="Arial" w:hAnsi="Arial"/>
                <w:sz w:val="12"/>
                <w:szCs w:val="12"/>
                <w:color w:val="0000FF"/>
              </w:rPr>
            </w:pPr>
            <w:hyperlink r:id="rId33">
              <w:r>
                <w:rPr>
                  <w:rFonts w:ascii="Arial" w:cs="Arial" w:eastAsia="Arial" w:hAnsi="Arial"/>
                  <w:sz w:val="12"/>
                  <w:szCs w:val="12"/>
                  <w:color w:val="0000FF"/>
                </w:rPr>
                <w:t>Amended and Restated Bylaws.</w:t>
              </w:r>
            </w:hyperlink>
          </w:p>
        </w:tc>
        <w:tc>
          <w:tcPr>
            <w:tcW w:w="940" w:type="dxa"/>
            <w:vAlign w:val="bottom"/>
            <w:gridSpan w:val="2"/>
          </w:tcPr>
          <w:p>
            <w:pPr>
              <w:ind w:left="20"/>
              <w:spacing w:after="0"/>
              <w:rPr>
                <w:sz w:val="20"/>
                <w:szCs w:val="20"/>
                <w:color w:val="auto"/>
              </w:rPr>
            </w:pPr>
            <w:r>
              <w:rPr>
                <w:rFonts w:ascii="Arial" w:cs="Arial" w:eastAsia="Arial" w:hAnsi="Arial"/>
                <w:sz w:val="12"/>
                <w:szCs w:val="12"/>
                <w:color w:val="auto"/>
              </w:rPr>
              <w:t>10-Q</w:t>
            </w:r>
          </w:p>
        </w:tc>
        <w:tc>
          <w:tcPr>
            <w:tcW w:w="1360" w:type="dxa"/>
            <w:vAlign w:val="bottom"/>
          </w:tcPr>
          <w:p>
            <w:pPr>
              <w:jc w:val="center"/>
              <w:spacing w:after="0"/>
              <w:rPr>
                <w:sz w:val="20"/>
                <w:szCs w:val="20"/>
                <w:color w:val="auto"/>
              </w:rPr>
            </w:pPr>
            <w:r>
              <w:rPr>
                <w:rFonts w:ascii="Arial" w:cs="Arial" w:eastAsia="Arial" w:hAnsi="Arial"/>
                <w:sz w:val="12"/>
                <w:szCs w:val="12"/>
                <w:color w:val="auto"/>
                <w:w w:val="97"/>
              </w:rPr>
              <w:t>6/12/2019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8"/>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8"/>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4.1</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880" w:type="dxa"/>
            <w:vAlign w:val="bottom"/>
            <w:tcBorders>
              <w:bottom w:val="single" w:sz="8" w:color="0000FF"/>
            </w:tcBorders>
            <w:gridSpan w:val="2"/>
            <w:shd w:val="clear" w:color="auto" w:fill="CCEEFF"/>
          </w:tcPr>
          <w:p>
            <w:pPr>
              <w:spacing w:after="0"/>
              <w:rPr>
                <w:rFonts w:ascii="Arial" w:cs="Arial" w:eastAsia="Arial" w:hAnsi="Arial"/>
                <w:sz w:val="12"/>
                <w:szCs w:val="12"/>
                <w:color w:val="0000FF"/>
                <w:w w:val="99"/>
              </w:rPr>
            </w:pPr>
            <w:hyperlink r:id="rId34">
              <w:r>
                <w:rPr>
                  <w:rFonts w:ascii="Arial" w:cs="Arial" w:eastAsia="Arial" w:hAnsi="Arial"/>
                  <w:sz w:val="12"/>
                  <w:szCs w:val="12"/>
                  <w:color w:val="0000FF"/>
                  <w:w w:val="99"/>
                </w:rPr>
                <w:t>Form of Common Stock Certificate.</w:t>
              </w:r>
            </w:hyperlink>
          </w:p>
        </w:tc>
        <w:tc>
          <w:tcPr>
            <w:tcW w:w="3620" w:type="dxa"/>
            <w:vAlign w:val="bottom"/>
            <w:tcBorders>
              <w:bottom w:val="single" w:sz="8" w:color="CCEEFF"/>
            </w:tcBorders>
            <w:gridSpan w:val="13"/>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S-1/A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3/27/2019</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rPr>
              <w:t>4.2</w:t>
            </w:r>
          </w:p>
        </w:tc>
        <w:tc>
          <w:tcPr>
            <w:tcW w:w="140" w:type="dxa"/>
            <w:vAlign w:val="bottom"/>
          </w:tcPr>
          <w:p>
            <w:pPr>
              <w:spacing w:after="0"/>
              <w:rPr>
                <w:sz w:val="11"/>
                <w:szCs w:val="11"/>
                <w:color w:val="auto"/>
              </w:rPr>
            </w:pPr>
          </w:p>
        </w:tc>
        <w:tc>
          <w:tcPr>
            <w:tcW w:w="5500" w:type="dxa"/>
            <w:vAlign w:val="bottom"/>
            <w:gridSpan w:val="15"/>
          </w:tcPr>
          <w:p>
            <w:pPr>
              <w:spacing w:after="0" w:line="135" w:lineRule="exact"/>
              <w:rPr>
                <w:rFonts w:ascii="Arial" w:cs="Arial" w:eastAsia="Arial" w:hAnsi="Arial"/>
                <w:sz w:val="12"/>
                <w:szCs w:val="12"/>
                <w:color w:val="0000FF"/>
              </w:rPr>
            </w:pPr>
            <w:hyperlink r:id="rId35">
              <w:r>
                <w:rPr>
                  <w:rFonts w:ascii="Arial" w:cs="Arial" w:eastAsia="Arial" w:hAnsi="Arial"/>
                  <w:sz w:val="12"/>
                  <w:szCs w:val="12"/>
                  <w:color w:val="0000FF"/>
                </w:rPr>
                <w:t>Amended and Restated Investors’ Rights Agreement, dated as of October 5, 2018, by and among</w:t>
              </w:r>
            </w:hyperlink>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15"/>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180" w:type="dxa"/>
            <w:vAlign w:val="bottom"/>
            <w:tcBorders>
              <w:top w:val="single" w:sz="8" w:color="0000FF"/>
            </w:tcBorders>
            <w:gridSpan w:val="11"/>
          </w:tcPr>
          <w:p>
            <w:pPr>
              <w:spacing w:after="0" w:line="115" w:lineRule="exact"/>
              <w:rPr>
                <w:rFonts w:ascii="Arial" w:cs="Arial" w:eastAsia="Arial" w:hAnsi="Arial"/>
                <w:sz w:val="12"/>
                <w:szCs w:val="12"/>
                <w:color w:val="0000FF"/>
              </w:rPr>
            </w:pPr>
            <w:hyperlink r:id="rId35">
              <w:r>
                <w:rPr>
                  <w:rFonts w:ascii="Arial" w:cs="Arial" w:eastAsia="Arial" w:hAnsi="Arial"/>
                  <w:sz w:val="12"/>
                  <w:szCs w:val="12"/>
                  <w:color w:val="0000FF"/>
                </w:rPr>
                <w:t>the Registrant and the other parties thereto.</w:t>
              </w:r>
            </w:hyperlink>
          </w:p>
        </w:tc>
        <w:tc>
          <w:tcPr>
            <w:tcW w:w="320" w:type="dxa"/>
            <w:vAlign w:val="bottom"/>
            <w:gridSpan w:val="4"/>
          </w:tcPr>
          <w:p>
            <w:pPr>
              <w:spacing w:after="0"/>
              <w:rPr>
                <w:sz w:val="10"/>
                <w:szCs w:val="10"/>
                <w:color w:val="auto"/>
              </w:rPr>
            </w:pPr>
          </w:p>
        </w:tc>
        <w:tc>
          <w:tcPr>
            <w:tcW w:w="940" w:type="dxa"/>
            <w:vAlign w:val="bottom"/>
            <w:gridSpan w:val="2"/>
          </w:tcPr>
          <w:p>
            <w:pPr>
              <w:ind w:left="20"/>
              <w:spacing w:after="0" w:line="115" w:lineRule="exact"/>
              <w:rPr>
                <w:sz w:val="20"/>
                <w:szCs w:val="20"/>
                <w:color w:val="auto"/>
              </w:rPr>
            </w:pPr>
            <w:r>
              <w:rPr>
                <w:rFonts w:ascii="Arial" w:cs="Arial" w:eastAsia="Arial" w:hAnsi="Arial"/>
                <w:sz w:val="12"/>
                <w:szCs w:val="12"/>
                <w:color w:val="auto"/>
              </w:rPr>
              <w:t>S-1</w:t>
            </w:r>
          </w:p>
        </w:tc>
        <w:tc>
          <w:tcPr>
            <w:tcW w:w="1360" w:type="dxa"/>
            <w:vAlign w:val="bottom"/>
          </w:tcPr>
          <w:p>
            <w:pPr>
              <w:jc w:val="center"/>
              <w:spacing w:after="0" w:line="115" w:lineRule="exact"/>
              <w:rPr>
                <w:sz w:val="20"/>
                <w:szCs w:val="20"/>
                <w:color w:val="auto"/>
              </w:rPr>
            </w:pPr>
            <w:r>
              <w:rPr>
                <w:rFonts w:ascii="Arial" w:cs="Arial" w:eastAsia="Arial" w:hAnsi="Arial"/>
                <w:sz w:val="12"/>
                <w:szCs w:val="12"/>
                <w:color w:val="auto"/>
                <w:w w:val="99"/>
              </w:rPr>
              <w:t>11/16/2018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40"/>
              <w:spacing w:after="0" w:line="115" w:lineRule="exact"/>
              <w:rPr>
                <w:sz w:val="20"/>
                <w:szCs w:val="20"/>
                <w:color w:val="auto"/>
              </w:rPr>
            </w:pPr>
            <w:r>
              <w:rPr>
                <w:rFonts w:ascii="Arial" w:cs="Arial" w:eastAsia="Arial" w:hAnsi="Arial"/>
                <w:sz w:val="12"/>
                <w:szCs w:val="12"/>
                <w:color w:val="auto"/>
              </w:rPr>
              <w:t>4.2</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8"/>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8"/>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10.1</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100" w:type="dxa"/>
            <w:vAlign w:val="bottom"/>
            <w:tcBorders>
              <w:bottom w:val="single" w:sz="8" w:color="0000FF"/>
            </w:tcBorders>
            <w:gridSpan w:val="7"/>
            <w:shd w:val="clear" w:color="auto" w:fill="CCEEFF"/>
          </w:tcPr>
          <w:p>
            <w:pPr>
              <w:spacing w:after="0"/>
              <w:rPr>
                <w:rFonts w:ascii="Arial" w:cs="Arial" w:eastAsia="Arial" w:hAnsi="Arial"/>
                <w:sz w:val="12"/>
                <w:szCs w:val="12"/>
                <w:color w:val="0000FF"/>
                <w:w w:val="99"/>
              </w:rPr>
            </w:pPr>
            <w:hyperlink w:anchor="page70">
              <w:r>
                <w:rPr>
                  <w:rFonts w:ascii="Arial" w:cs="Arial" w:eastAsia="Arial" w:hAnsi="Arial"/>
                  <w:sz w:val="12"/>
                  <w:szCs w:val="12"/>
                  <w:color w:val="0000FF"/>
                  <w:w w:val="99"/>
                </w:rPr>
                <w:t>Amended form of 2018 Equity Incentive Plan stock option award agreement.*</w:t>
              </w:r>
            </w:hyperlink>
          </w:p>
        </w:tc>
        <w:tc>
          <w:tcPr>
            <w:tcW w:w="1400" w:type="dxa"/>
            <w:vAlign w:val="bottom"/>
            <w:tcBorders>
              <w:bottom w:val="single" w:sz="8" w:color="CCEEFF"/>
            </w:tcBorders>
            <w:gridSpan w:val="8"/>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X</w:t>
            </w: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3"/>
              </w:rPr>
              <w:t>10.2</w:t>
            </w:r>
          </w:p>
        </w:tc>
        <w:tc>
          <w:tcPr>
            <w:tcW w:w="140" w:type="dxa"/>
            <w:vAlign w:val="bottom"/>
          </w:tcPr>
          <w:p>
            <w:pPr>
              <w:spacing w:after="0"/>
              <w:rPr>
                <w:sz w:val="11"/>
                <w:szCs w:val="11"/>
                <w:color w:val="auto"/>
              </w:rPr>
            </w:pPr>
          </w:p>
        </w:tc>
        <w:tc>
          <w:tcPr>
            <w:tcW w:w="5500" w:type="dxa"/>
            <w:vAlign w:val="bottom"/>
            <w:gridSpan w:val="15"/>
          </w:tcPr>
          <w:p>
            <w:pPr>
              <w:spacing w:after="0" w:line="135" w:lineRule="exact"/>
              <w:rPr>
                <w:rFonts w:ascii="Arial" w:cs="Arial" w:eastAsia="Arial" w:hAnsi="Arial"/>
                <w:sz w:val="12"/>
                <w:szCs w:val="12"/>
                <w:color w:val="0000FF"/>
              </w:rPr>
            </w:pPr>
            <w:hyperlink w:anchor="page87">
              <w:r>
                <w:rPr>
                  <w:rFonts w:ascii="Arial" w:cs="Arial" w:eastAsia="Arial" w:hAnsi="Arial"/>
                  <w:sz w:val="12"/>
                  <w:szCs w:val="12"/>
                  <w:color w:val="0000FF"/>
                </w:rPr>
                <w:t>Amended form of 2018 Equity Incentive Plan restricted stock unit award agreement.*</w:t>
              </w:r>
            </w:hyperlink>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r>
      <w:tr>
        <w:trPr>
          <w:trHeight w:val="25"/>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5"/>
        </w:trPr>
        <w:tc>
          <w:tcPr>
            <w:tcW w:w="114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31.1</w:t>
            </w: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000" w:type="dxa"/>
            <w:vAlign w:val="bottom"/>
            <w:tcBorders>
              <w:bottom w:val="single" w:sz="8" w:color="0000FF"/>
            </w:tcBorders>
            <w:gridSpan w:val="10"/>
            <w:shd w:val="clear" w:color="auto" w:fill="CCEEFF"/>
          </w:tcPr>
          <w:p>
            <w:pPr>
              <w:spacing w:after="0" w:line="135" w:lineRule="exact"/>
              <w:rPr>
                <w:rFonts w:ascii="Arial" w:cs="Arial" w:eastAsia="Arial" w:hAnsi="Arial"/>
                <w:sz w:val="12"/>
                <w:szCs w:val="12"/>
                <w:color w:val="0000FF"/>
                <w:w w:val="99"/>
              </w:rPr>
            </w:pPr>
            <w:hyperlink w:anchor="page99">
              <w:r>
                <w:rPr>
                  <w:rFonts w:ascii="Arial" w:cs="Arial" w:eastAsia="Arial" w:hAnsi="Arial"/>
                  <w:sz w:val="12"/>
                  <w:szCs w:val="12"/>
                  <w:color w:val="0000FF"/>
                  <w:w w:val="99"/>
                </w:rPr>
                <w:t>Certification of Chief Executive Officer pursuant to Rules 13a-14(a) and 15d-14(a), as adopted</w:t>
              </w:r>
            </w:hyperlink>
          </w:p>
        </w:tc>
        <w:tc>
          <w:tcPr>
            <w:tcW w:w="500" w:type="dxa"/>
            <w:vAlign w:val="bottom"/>
            <w:tcBorders>
              <w:bottom w:val="single" w:sz="8" w:color="CCEEFF"/>
            </w:tcBorders>
            <w:gridSpan w:val="5"/>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X</w:t>
            </w:r>
          </w:p>
        </w:tc>
      </w:tr>
      <w:tr>
        <w:trPr>
          <w:trHeight w:val="115"/>
        </w:trPr>
        <w:tc>
          <w:tcPr>
            <w:tcW w:w="11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500" w:type="dxa"/>
            <w:vAlign w:val="bottom"/>
            <w:gridSpan w:val="15"/>
            <w:shd w:val="clear" w:color="auto" w:fill="CCEEFF"/>
          </w:tcPr>
          <w:p>
            <w:pPr>
              <w:spacing w:after="0" w:line="115" w:lineRule="exact"/>
              <w:rPr>
                <w:rFonts w:ascii="Arial" w:cs="Arial" w:eastAsia="Arial" w:hAnsi="Arial"/>
                <w:sz w:val="12"/>
                <w:szCs w:val="12"/>
                <w:color w:val="0000FF"/>
              </w:rPr>
            </w:pPr>
            <w:hyperlink w:anchor="page99">
              <w:r>
                <w:rPr>
                  <w:rFonts w:ascii="Arial" w:cs="Arial" w:eastAsia="Arial" w:hAnsi="Arial"/>
                  <w:sz w:val="12"/>
                  <w:szCs w:val="12"/>
                  <w:color w:val="0000FF"/>
                </w:rPr>
                <w:t>pursuant to Section 302 of the Sarbanes-Oxley Act of 2002.</w:t>
              </w:r>
            </w:hyperlink>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36"/>
        </w:trPr>
        <w:tc>
          <w:tcPr>
            <w:tcW w:w="1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7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3"/>
              </w:rPr>
              <w:t>31.2</w:t>
            </w:r>
          </w:p>
        </w:tc>
        <w:tc>
          <w:tcPr>
            <w:tcW w:w="140" w:type="dxa"/>
            <w:vAlign w:val="bottom"/>
          </w:tcPr>
          <w:p>
            <w:pPr>
              <w:spacing w:after="0"/>
              <w:rPr>
                <w:sz w:val="11"/>
                <w:szCs w:val="11"/>
                <w:color w:val="auto"/>
              </w:rPr>
            </w:pPr>
          </w:p>
        </w:tc>
        <w:tc>
          <w:tcPr>
            <w:tcW w:w="4960" w:type="dxa"/>
            <w:vAlign w:val="bottom"/>
            <w:tcBorders>
              <w:bottom w:val="single" w:sz="8" w:color="0000FF"/>
            </w:tcBorders>
            <w:gridSpan w:val="9"/>
          </w:tcPr>
          <w:p>
            <w:pPr>
              <w:spacing w:after="0" w:line="135" w:lineRule="exact"/>
              <w:rPr>
                <w:rFonts w:ascii="Arial" w:cs="Arial" w:eastAsia="Arial" w:hAnsi="Arial"/>
                <w:sz w:val="12"/>
                <w:szCs w:val="12"/>
                <w:color w:val="0000FF"/>
                <w:w w:val="99"/>
              </w:rPr>
            </w:pPr>
            <w:hyperlink w:anchor="page100">
              <w:r>
                <w:rPr>
                  <w:rFonts w:ascii="Arial" w:cs="Arial" w:eastAsia="Arial" w:hAnsi="Arial"/>
                  <w:sz w:val="12"/>
                  <w:szCs w:val="12"/>
                  <w:color w:val="0000FF"/>
                  <w:w w:val="99"/>
                </w:rPr>
                <w:t>Certification of Chief Financial Officer pursuant to Rules 13a-14(a) and 15d-14(a), as adopted</w:t>
              </w:r>
            </w:hyperlink>
          </w:p>
        </w:tc>
        <w:tc>
          <w:tcPr>
            <w:tcW w:w="540" w:type="dxa"/>
            <w:vAlign w:val="bottom"/>
            <w:gridSpan w:val="6"/>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r>
      <w:tr>
        <w:trPr>
          <w:trHeight w:val="115"/>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500" w:type="dxa"/>
            <w:vAlign w:val="bottom"/>
            <w:gridSpan w:val="15"/>
          </w:tcPr>
          <w:p>
            <w:pPr>
              <w:spacing w:after="0" w:line="115" w:lineRule="exact"/>
              <w:rPr>
                <w:rFonts w:ascii="Arial" w:cs="Arial" w:eastAsia="Arial" w:hAnsi="Arial"/>
                <w:sz w:val="12"/>
                <w:szCs w:val="12"/>
                <w:color w:val="0000FF"/>
              </w:rPr>
            </w:pPr>
            <w:hyperlink w:anchor="page100">
              <w:r>
                <w:rPr>
                  <w:rFonts w:ascii="Arial" w:cs="Arial" w:eastAsia="Arial" w:hAnsi="Arial"/>
                  <w:sz w:val="12"/>
                  <w:szCs w:val="12"/>
                  <w:color w:val="0000FF"/>
                </w:rPr>
                <w:t>pursuant to Section 302 of the Sarbanes-Oxley Act of 2002.</w:t>
              </w:r>
            </w:hyperlink>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8"/>
        </w:trPr>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43"/>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32.1**</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240" w:type="dxa"/>
            <w:vAlign w:val="bottom"/>
            <w:tcBorders>
              <w:bottom w:val="single" w:sz="8" w:color="0000FF"/>
            </w:tcBorders>
            <w:gridSpan w:val="13"/>
            <w:shd w:val="clear" w:color="auto" w:fill="CCEEFF"/>
          </w:tcPr>
          <w:p>
            <w:pPr>
              <w:spacing w:after="0"/>
              <w:rPr>
                <w:rFonts w:ascii="Arial" w:cs="Arial" w:eastAsia="Arial" w:hAnsi="Arial"/>
                <w:sz w:val="12"/>
                <w:szCs w:val="12"/>
                <w:color w:val="0000FF"/>
                <w:w w:val="99"/>
              </w:rPr>
            </w:pPr>
            <w:hyperlink w:anchor="page101">
              <w:r>
                <w:rPr>
                  <w:rFonts w:ascii="Arial" w:cs="Arial" w:eastAsia="Arial" w:hAnsi="Arial"/>
                  <w:sz w:val="12"/>
                  <w:szCs w:val="12"/>
                  <w:color w:val="0000FF"/>
                  <w:w w:val="99"/>
                </w:rPr>
                <w:t>Certification of Chief Executive Officer pursuant to 18 U.S.C. Section 1350, as adopted pursuant to</w:t>
              </w:r>
            </w:hyperlink>
          </w:p>
        </w:tc>
        <w:tc>
          <w:tcPr>
            <w:tcW w:w="260" w:type="dxa"/>
            <w:vAlign w:val="bottom"/>
            <w:tcBorders>
              <w:bottom w:val="single" w:sz="8" w:color="CCEEFF"/>
            </w:tcBorders>
            <w:gridSpan w:val="2"/>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X</w:t>
            </w:r>
          </w:p>
        </w:tc>
      </w:tr>
      <w:tr>
        <w:trPr>
          <w:trHeight w:val="131"/>
        </w:trPr>
        <w:tc>
          <w:tcPr>
            <w:tcW w:w="1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2540" w:type="dxa"/>
            <w:vAlign w:val="bottom"/>
            <w:tcBorders>
              <w:bottom w:val="single" w:sz="8" w:color="0000FF"/>
            </w:tcBorders>
            <w:gridSpan w:val="5"/>
            <w:shd w:val="clear" w:color="auto" w:fill="CCEEFF"/>
          </w:tcPr>
          <w:p>
            <w:pPr>
              <w:spacing w:after="0" w:line="115" w:lineRule="exact"/>
              <w:rPr>
                <w:rFonts w:ascii="Arial" w:cs="Arial" w:eastAsia="Arial" w:hAnsi="Arial"/>
                <w:sz w:val="12"/>
                <w:szCs w:val="12"/>
                <w:color w:val="0000FF"/>
                <w:w w:val="99"/>
              </w:rPr>
            </w:pPr>
            <w:hyperlink w:anchor="page101">
              <w:r>
                <w:rPr>
                  <w:rFonts w:ascii="Arial" w:cs="Arial" w:eastAsia="Arial" w:hAnsi="Arial"/>
                  <w:sz w:val="12"/>
                  <w:szCs w:val="12"/>
                  <w:color w:val="0000FF"/>
                  <w:w w:val="99"/>
                </w:rPr>
                <w:t>Section 906 of the Sarbanes-Oxley Act of 2002.</w:t>
              </w:r>
            </w:hyperlink>
          </w:p>
        </w:tc>
        <w:tc>
          <w:tcPr>
            <w:tcW w:w="2960" w:type="dxa"/>
            <w:vAlign w:val="bottom"/>
            <w:tcBorders>
              <w:bottom w:val="single" w:sz="8" w:color="CCEEFF"/>
            </w:tcBorders>
            <w:gridSpan w:val="10"/>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rPr>
              <w:t>32.2**</w:t>
            </w:r>
          </w:p>
        </w:tc>
        <w:tc>
          <w:tcPr>
            <w:tcW w:w="140" w:type="dxa"/>
            <w:vAlign w:val="bottom"/>
          </w:tcPr>
          <w:p>
            <w:pPr>
              <w:spacing w:after="0"/>
              <w:rPr>
                <w:sz w:val="11"/>
                <w:szCs w:val="11"/>
                <w:color w:val="auto"/>
              </w:rPr>
            </w:pPr>
          </w:p>
        </w:tc>
        <w:tc>
          <w:tcPr>
            <w:tcW w:w="5200" w:type="dxa"/>
            <w:vAlign w:val="bottom"/>
            <w:tcBorders>
              <w:bottom w:val="single" w:sz="8" w:color="0000FF"/>
            </w:tcBorders>
            <w:gridSpan w:val="12"/>
          </w:tcPr>
          <w:p>
            <w:pPr>
              <w:spacing w:after="0" w:line="135" w:lineRule="exact"/>
              <w:rPr>
                <w:rFonts w:ascii="Arial" w:cs="Arial" w:eastAsia="Arial" w:hAnsi="Arial"/>
                <w:sz w:val="12"/>
                <w:szCs w:val="12"/>
                <w:color w:val="0000FF"/>
                <w:w w:val="99"/>
              </w:rPr>
            </w:pPr>
            <w:hyperlink w:anchor="page102">
              <w:r>
                <w:rPr>
                  <w:rFonts w:ascii="Arial" w:cs="Arial" w:eastAsia="Arial" w:hAnsi="Arial"/>
                  <w:sz w:val="12"/>
                  <w:szCs w:val="12"/>
                  <w:color w:val="0000FF"/>
                  <w:w w:val="99"/>
                </w:rPr>
                <w:t>Certification of Chief Financial Officer pursuant to 18 U.S.C. Section 1350, as adopted pursuant to</w:t>
              </w:r>
            </w:hyperlink>
          </w:p>
        </w:tc>
        <w:tc>
          <w:tcPr>
            <w:tcW w:w="30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color w:val="auto"/>
                <w:w w:val="99"/>
              </w:rPr>
              <w:t>X</w:t>
            </w:r>
          </w:p>
        </w:tc>
      </w:tr>
      <w:tr>
        <w:trPr>
          <w:trHeight w:val="123"/>
        </w:trPr>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tcBorders>
              <w:bottom w:val="single" w:sz="8" w:color="0000FF"/>
            </w:tcBorders>
            <w:gridSpan w:val="5"/>
          </w:tcPr>
          <w:p>
            <w:pPr>
              <w:spacing w:after="0" w:line="115" w:lineRule="exact"/>
              <w:rPr>
                <w:rFonts w:ascii="Arial" w:cs="Arial" w:eastAsia="Arial" w:hAnsi="Arial"/>
                <w:sz w:val="12"/>
                <w:szCs w:val="12"/>
                <w:color w:val="0000FF"/>
                <w:w w:val="99"/>
              </w:rPr>
            </w:pPr>
            <w:hyperlink w:anchor="page102">
              <w:r>
                <w:rPr>
                  <w:rFonts w:ascii="Arial" w:cs="Arial" w:eastAsia="Arial" w:hAnsi="Arial"/>
                  <w:sz w:val="12"/>
                  <w:szCs w:val="12"/>
                  <w:color w:val="0000FF"/>
                  <w:w w:val="99"/>
                </w:rPr>
                <w:t>Section 906 of the Sarbanes-Oxley Act of 2002.</w:t>
              </w:r>
            </w:hyperlink>
          </w:p>
        </w:tc>
        <w:tc>
          <w:tcPr>
            <w:tcW w:w="2960" w:type="dxa"/>
            <w:vAlign w:val="bottom"/>
            <w:gridSpan w:val="10"/>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8"/>
        </w:trPr>
        <w:tc>
          <w:tcPr>
            <w:tcW w:w="1280" w:type="dxa"/>
            <w:vAlign w:val="bottom"/>
            <w:tcBorders>
              <w:right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101.INS</w:t>
            </w:r>
          </w:p>
        </w:tc>
        <w:tc>
          <w:tcPr>
            <w:tcW w:w="550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XBRL Report Instance Document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X</w:t>
            </w:r>
          </w:p>
        </w:tc>
      </w:tr>
      <w:tr>
        <w:trPr>
          <w:trHeight w:val="171"/>
        </w:trPr>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w w:val="98"/>
              </w:rPr>
              <w:t>101.SCH</w:t>
            </w:r>
          </w:p>
        </w:tc>
        <w:tc>
          <w:tcPr>
            <w:tcW w:w="5500" w:type="dxa"/>
            <w:vAlign w:val="bottom"/>
            <w:gridSpan w:val="15"/>
          </w:tcPr>
          <w:p>
            <w:pPr>
              <w:spacing w:after="0"/>
              <w:rPr>
                <w:sz w:val="20"/>
                <w:szCs w:val="20"/>
                <w:color w:val="auto"/>
              </w:rPr>
            </w:pPr>
            <w:r>
              <w:rPr>
                <w:rFonts w:ascii="Arial" w:cs="Arial" w:eastAsia="Arial" w:hAnsi="Arial"/>
                <w:sz w:val="12"/>
                <w:szCs w:val="12"/>
                <w:color w:val="auto"/>
              </w:rPr>
              <w:t>XBRL Taxonomy Extension Schema Document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X</w:t>
            </w:r>
          </w:p>
        </w:tc>
      </w:tr>
      <w:tr>
        <w:trPr>
          <w:trHeight w:val="189"/>
        </w:trPr>
        <w:tc>
          <w:tcPr>
            <w:tcW w:w="1280" w:type="dxa"/>
            <w:vAlign w:val="bottom"/>
            <w:tcBorders>
              <w:right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rPr>
              <w:t>101.CAL</w:t>
            </w:r>
          </w:p>
        </w:tc>
        <w:tc>
          <w:tcPr>
            <w:tcW w:w="550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XBRL Taxonomy Calculation Linkbase Document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X</w:t>
            </w:r>
          </w:p>
        </w:tc>
      </w:tr>
      <w:tr>
        <w:trPr>
          <w:trHeight w:val="171"/>
        </w:trPr>
        <w:tc>
          <w:tcPr>
            <w:tcW w:w="128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101.LAB</w:t>
            </w:r>
          </w:p>
        </w:tc>
        <w:tc>
          <w:tcPr>
            <w:tcW w:w="5500" w:type="dxa"/>
            <w:vAlign w:val="bottom"/>
            <w:gridSpan w:val="15"/>
          </w:tcPr>
          <w:p>
            <w:pPr>
              <w:spacing w:after="0"/>
              <w:rPr>
                <w:sz w:val="20"/>
                <w:szCs w:val="20"/>
                <w:color w:val="auto"/>
              </w:rPr>
            </w:pPr>
            <w:r>
              <w:rPr>
                <w:rFonts w:ascii="Arial" w:cs="Arial" w:eastAsia="Arial" w:hAnsi="Arial"/>
                <w:sz w:val="12"/>
                <w:szCs w:val="12"/>
                <w:color w:val="auto"/>
              </w:rPr>
              <w:t>XBRL Taxonomy Label Linkbase Document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X</w:t>
            </w:r>
          </w:p>
        </w:tc>
      </w:tr>
      <w:tr>
        <w:trPr>
          <w:trHeight w:val="189"/>
        </w:trPr>
        <w:tc>
          <w:tcPr>
            <w:tcW w:w="1280" w:type="dxa"/>
            <w:vAlign w:val="bottom"/>
            <w:tcBorders>
              <w:right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101.PRE</w:t>
            </w:r>
          </w:p>
        </w:tc>
        <w:tc>
          <w:tcPr>
            <w:tcW w:w="550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XBRL Presentation Linkbase Document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X</w:t>
            </w:r>
          </w:p>
        </w:tc>
      </w:tr>
      <w:tr>
        <w:trPr>
          <w:trHeight w:val="171"/>
        </w:trPr>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rPr>
              <w:t>101.DEF</w:t>
            </w:r>
          </w:p>
        </w:tc>
        <w:tc>
          <w:tcPr>
            <w:tcW w:w="5500" w:type="dxa"/>
            <w:vAlign w:val="bottom"/>
            <w:gridSpan w:val="15"/>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X</w:t>
            </w:r>
          </w:p>
        </w:tc>
      </w:tr>
      <w:tr>
        <w:trPr>
          <w:trHeight w:val="180"/>
        </w:trPr>
        <w:tc>
          <w:tcPr>
            <w:tcW w:w="1280" w:type="dxa"/>
            <w:vAlign w:val="bottom"/>
            <w:tcBorders>
              <w:right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_________________</w:t>
            </w: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292340" cy="194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92340" cy="194310"/>
                    </a:xfrm>
                    <a:prstGeom prst="rect">
                      <a:avLst/>
                    </a:prstGeom>
                    <a:noFill/>
                  </pic:spPr>
                </pic:pic>
              </a:graphicData>
            </a:graphic>
          </wp:anchor>
        </w:drawing>
      </w:r>
    </w:p>
    <w:p>
      <w:pPr>
        <w:spacing w:after="0" w:line="13" w:lineRule="exact"/>
        <w:rPr>
          <w:sz w:val="20"/>
          <w:szCs w:val="20"/>
          <w:color w:val="auto"/>
        </w:rPr>
      </w:pPr>
    </w:p>
    <w:p>
      <w:pPr>
        <w:ind w:left="20" w:right="440" w:hanging="10"/>
        <w:spacing w:after="0" w:line="246" w:lineRule="auto"/>
        <w:tabs>
          <w:tab w:leader="none" w:pos="14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611" w:right="199" w:bottom="1440" w:gutter="0" w:footer="0" w:header="0"/>
        </w:sectPr>
      </w:pPr>
    </w:p>
    <w:bookmarkStart w:id="68" w:name="page69"/>
    <w:bookmarkEnd w:id="68"/>
    <w:p>
      <w:pPr>
        <w:jc w:val="center"/>
        <w:ind w:right="-279"/>
        <w:spacing w:after="0"/>
        <w:rPr>
          <w:sz w:val="20"/>
          <w:szCs w:val="20"/>
          <w:color w:val="auto"/>
        </w:rPr>
      </w:pPr>
      <w:r>
        <w:rPr>
          <w:rFonts w:ascii="Arial" w:cs="Arial" w:eastAsia="Arial" w:hAnsi="Arial"/>
          <w:sz w:val="12"/>
          <w:szCs w:val="12"/>
          <w:b w:val="1"/>
          <w:bCs w:val="1"/>
          <w:color w:val="auto"/>
        </w:rPr>
        <w:t>SIGNATURES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160" w:type="dxa"/>
            <w:vAlign w:val="bottom"/>
            <w:gridSpan w:val="2"/>
          </w:tcPr>
          <w:p>
            <w:pPr>
              <w:ind w:left="3880"/>
              <w:spacing w:after="0"/>
              <w:rPr>
                <w:sz w:val="20"/>
                <w:szCs w:val="20"/>
                <w:color w:val="auto"/>
              </w:rPr>
            </w:pPr>
            <w:r>
              <w:rPr>
                <w:rFonts w:ascii="Arial" w:cs="Arial" w:eastAsia="Arial" w:hAnsi="Arial"/>
                <w:sz w:val="12"/>
                <w:szCs w:val="12"/>
                <w:b w:val="1"/>
                <w:bCs w:val="1"/>
                <w:color w:val="auto"/>
              </w:rPr>
              <w:t>BEYOND MEAT, INC.</w:t>
            </w:r>
          </w:p>
        </w:tc>
        <w:tc>
          <w:tcPr>
            <w:tcW w:w="3240" w:type="dxa"/>
            <w:vAlign w:val="bottom"/>
          </w:tcPr>
          <w:p>
            <w:pPr>
              <w:spacing w:after="0"/>
              <w:rPr>
                <w:sz w:val="13"/>
                <w:szCs w:val="13"/>
                <w:color w:val="auto"/>
              </w:rPr>
            </w:pPr>
          </w:p>
        </w:tc>
      </w:tr>
      <w:tr>
        <w:trPr>
          <w:trHeight w:val="779"/>
        </w:trPr>
        <w:tc>
          <w:tcPr>
            <w:tcW w:w="640" w:type="dxa"/>
            <w:vAlign w:val="bottom"/>
          </w:tcPr>
          <w:p>
            <w:pPr>
              <w:spacing w:after="0"/>
              <w:rPr>
                <w:sz w:val="20"/>
                <w:szCs w:val="20"/>
                <w:color w:val="auto"/>
              </w:rPr>
            </w:pPr>
            <w:r>
              <w:rPr>
                <w:rFonts w:ascii="Arial" w:cs="Arial" w:eastAsia="Arial" w:hAnsi="Arial"/>
                <w:sz w:val="12"/>
                <w:szCs w:val="12"/>
                <w:color w:val="auto"/>
              </w:rPr>
              <w:t>Date:</w:t>
            </w:r>
          </w:p>
        </w:tc>
        <w:tc>
          <w:tcPr>
            <w:tcW w:w="2000" w:type="dxa"/>
            <w:vAlign w:val="bottom"/>
          </w:tcPr>
          <w:p>
            <w:pPr>
              <w:ind w:left="20"/>
              <w:spacing w:after="0"/>
              <w:rPr>
                <w:sz w:val="20"/>
                <w:szCs w:val="20"/>
                <w:color w:val="auto"/>
              </w:rPr>
            </w:pPr>
            <w:r>
              <w:rPr>
                <w:rFonts w:ascii="Arial" w:cs="Arial" w:eastAsia="Arial" w:hAnsi="Arial"/>
                <w:sz w:val="12"/>
                <w:szCs w:val="12"/>
                <w:color w:val="auto"/>
              </w:rPr>
              <w:t>July 29, 2019</w:t>
            </w:r>
          </w:p>
        </w:tc>
        <w:tc>
          <w:tcPr>
            <w:tcW w:w="5160" w:type="dxa"/>
            <w:vAlign w:val="bottom"/>
            <w:gridSpan w:val="2"/>
          </w:tcPr>
          <w:p>
            <w:pPr>
              <w:ind w:left="3880"/>
              <w:spacing w:after="0"/>
              <w:rPr>
                <w:sz w:val="20"/>
                <w:szCs w:val="20"/>
                <w:color w:val="auto"/>
              </w:rPr>
            </w:pPr>
            <w:r>
              <w:rPr>
                <w:rFonts w:ascii="Arial" w:cs="Arial" w:eastAsia="Arial" w:hAnsi="Arial"/>
                <w:sz w:val="12"/>
                <w:szCs w:val="12"/>
                <w:color w:val="auto"/>
              </w:rPr>
              <w:t>By:</w:t>
            </w:r>
          </w:p>
        </w:tc>
        <w:tc>
          <w:tcPr>
            <w:tcW w:w="3240" w:type="dxa"/>
            <w:vAlign w:val="bottom"/>
          </w:tcPr>
          <w:p>
            <w:pPr>
              <w:jc w:val="center"/>
              <w:ind w:right="680"/>
              <w:spacing w:after="0"/>
              <w:rPr>
                <w:sz w:val="20"/>
                <w:szCs w:val="20"/>
                <w:color w:val="auto"/>
              </w:rPr>
            </w:pPr>
            <w:r>
              <w:rPr>
                <w:rFonts w:ascii="Arial" w:cs="Arial" w:eastAsia="Arial" w:hAnsi="Arial"/>
                <w:sz w:val="12"/>
                <w:szCs w:val="12"/>
                <w:color w:val="auto"/>
              </w:rPr>
              <w:t>/s/ Ethan Brown</w:t>
            </w:r>
          </w:p>
        </w:tc>
      </w:tr>
      <w:tr>
        <w:trPr>
          <w:trHeight w:val="165"/>
        </w:trPr>
        <w:tc>
          <w:tcPr>
            <w:tcW w:w="640" w:type="dxa"/>
            <w:vAlign w:val="bottom"/>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44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40" w:type="dxa"/>
            <w:vAlign w:val="bottom"/>
            <w:tcBorders>
              <w:top w:val="single" w:sz="8" w:color="auto"/>
            </w:tcBorders>
          </w:tcPr>
          <w:p>
            <w:pPr>
              <w:jc w:val="center"/>
              <w:ind w:right="680"/>
              <w:spacing w:after="0"/>
              <w:rPr>
                <w:sz w:val="20"/>
                <w:szCs w:val="20"/>
                <w:color w:val="auto"/>
              </w:rPr>
            </w:pPr>
            <w:r>
              <w:rPr>
                <w:rFonts w:ascii="Arial" w:cs="Arial" w:eastAsia="Arial" w:hAnsi="Arial"/>
                <w:sz w:val="12"/>
                <w:szCs w:val="12"/>
                <w:color w:val="auto"/>
              </w:rPr>
              <w:t>Ethan Brown</w:t>
            </w:r>
          </w:p>
        </w:tc>
      </w:tr>
      <w:tr>
        <w:trPr>
          <w:trHeight w:val="180"/>
        </w:trPr>
        <w:tc>
          <w:tcPr>
            <w:tcW w:w="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jc w:val="center"/>
              <w:ind w:right="680"/>
              <w:spacing w:after="0"/>
              <w:rPr>
                <w:sz w:val="20"/>
                <w:szCs w:val="20"/>
                <w:color w:val="auto"/>
              </w:rPr>
            </w:pPr>
            <w:r>
              <w:rPr>
                <w:rFonts w:ascii="Arial" w:cs="Arial" w:eastAsia="Arial" w:hAnsi="Arial"/>
                <w:sz w:val="12"/>
                <w:szCs w:val="12"/>
                <w:color w:val="auto"/>
                <w:w w:val="99"/>
              </w:rPr>
              <w:t>President and Chief Executive Officer</w:t>
            </w:r>
          </w:p>
        </w:tc>
      </w:tr>
      <w:tr>
        <w:trPr>
          <w:trHeight w:val="180"/>
        </w:trPr>
        <w:tc>
          <w:tcPr>
            <w:tcW w:w="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jc w:val="center"/>
              <w:ind w:right="660"/>
              <w:spacing w:after="0"/>
              <w:rPr>
                <w:sz w:val="20"/>
                <w:szCs w:val="20"/>
                <w:color w:val="auto"/>
              </w:rPr>
            </w:pPr>
            <w:r>
              <w:rPr>
                <w:rFonts w:ascii="Arial" w:cs="Arial" w:eastAsia="Arial" w:hAnsi="Arial"/>
                <w:sz w:val="12"/>
                <w:szCs w:val="12"/>
                <w:color w:val="auto"/>
                <w:w w:val="99"/>
              </w:rPr>
              <w:t>(Principal Executive Officer)</w:t>
            </w:r>
          </w:p>
        </w:tc>
      </w:tr>
      <w:tr>
        <w:trPr>
          <w:trHeight w:val="635"/>
        </w:trPr>
        <w:tc>
          <w:tcPr>
            <w:tcW w:w="640" w:type="dxa"/>
            <w:vAlign w:val="bottom"/>
          </w:tcPr>
          <w:p>
            <w:pPr>
              <w:spacing w:after="0"/>
              <w:rPr>
                <w:sz w:val="20"/>
                <w:szCs w:val="20"/>
                <w:color w:val="auto"/>
              </w:rPr>
            </w:pPr>
            <w:r>
              <w:rPr>
                <w:rFonts w:ascii="Arial" w:cs="Arial" w:eastAsia="Arial" w:hAnsi="Arial"/>
                <w:sz w:val="12"/>
                <w:szCs w:val="12"/>
                <w:color w:val="auto"/>
              </w:rPr>
              <w:t>Date:</w:t>
            </w:r>
          </w:p>
        </w:tc>
        <w:tc>
          <w:tcPr>
            <w:tcW w:w="2000" w:type="dxa"/>
            <w:vAlign w:val="bottom"/>
          </w:tcPr>
          <w:p>
            <w:pPr>
              <w:ind w:left="20"/>
              <w:spacing w:after="0"/>
              <w:rPr>
                <w:sz w:val="20"/>
                <w:szCs w:val="20"/>
                <w:color w:val="auto"/>
              </w:rPr>
            </w:pPr>
            <w:r>
              <w:rPr>
                <w:rFonts w:ascii="Arial" w:cs="Arial" w:eastAsia="Arial" w:hAnsi="Arial"/>
                <w:sz w:val="12"/>
                <w:szCs w:val="12"/>
                <w:color w:val="auto"/>
              </w:rPr>
              <w:t>July 29, 2019</w:t>
            </w:r>
          </w:p>
        </w:tc>
        <w:tc>
          <w:tcPr>
            <w:tcW w:w="5160" w:type="dxa"/>
            <w:vAlign w:val="bottom"/>
            <w:gridSpan w:val="2"/>
          </w:tcPr>
          <w:p>
            <w:pPr>
              <w:ind w:left="3880"/>
              <w:spacing w:after="0"/>
              <w:rPr>
                <w:sz w:val="20"/>
                <w:szCs w:val="20"/>
                <w:color w:val="auto"/>
              </w:rPr>
            </w:pPr>
            <w:r>
              <w:rPr>
                <w:rFonts w:ascii="Arial" w:cs="Arial" w:eastAsia="Arial" w:hAnsi="Arial"/>
                <w:sz w:val="12"/>
                <w:szCs w:val="12"/>
                <w:color w:val="auto"/>
              </w:rPr>
              <w:t>By:</w:t>
            </w:r>
          </w:p>
        </w:tc>
        <w:tc>
          <w:tcPr>
            <w:tcW w:w="3240" w:type="dxa"/>
            <w:vAlign w:val="bottom"/>
          </w:tcPr>
          <w:p>
            <w:pPr>
              <w:jc w:val="center"/>
              <w:ind w:right="660"/>
              <w:spacing w:after="0"/>
              <w:rPr>
                <w:sz w:val="20"/>
                <w:szCs w:val="20"/>
                <w:color w:val="auto"/>
              </w:rPr>
            </w:pPr>
            <w:r>
              <w:rPr>
                <w:rFonts w:ascii="Arial" w:cs="Arial" w:eastAsia="Arial" w:hAnsi="Arial"/>
                <w:sz w:val="12"/>
                <w:szCs w:val="12"/>
                <w:color w:val="auto"/>
                <w:w w:val="99"/>
              </w:rPr>
              <w:t>/s/ Mark J. Nelson</w:t>
            </w:r>
          </w:p>
        </w:tc>
      </w:tr>
      <w:tr>
        <w:trPr>
          <w:trHeight w:val="156"/>
        </w:trPr>
        <w:tc>
          <w:tcPr>
            <w:tcW w:w="64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44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tcPr>
          <w:p>
            <w:pPr>
              <w:jc w:val="center"/>
              <w:ind w:right="660"/>
              <w:spacing w:after="0"/>
              <w:rPr>
                <w:sz w:val="20"/>
                <w:szCs w:val="20"/>
                <w:color w:val="auto"/>
              </w:rPr>
            </w:pPr>
            <w:r>
              <w:rPr>
                <w:rFonts w:ascii="Arial" w:cs="Arial" w:eastAsia="Arial" w:hAnsi="Arial"/>
                <w:sz w:val="12"/>
                <w:szCs w:val="12"/>
                <w:color w:val="auto"/>
                <w:w w:val="99"/>
              </w:rPr>
              <w:t>Mark J. Nelson</w:t>
            </w:r>
          </w:p>
        </w:tc>
      </w:tr>
      <w:tr>
        <w:trPr>
          <w:trHeight w:val="189"/>
        </w:trPr>
        <w:tc>
          <w:tcPr>
            <w:tcW w:w="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40" w:type="dxa"/>
            <w:vAlign w:val="bottom"/>
          </w:tcPr>
          <w:p>
            <w:pPr>
              <w:jc w:val="center"/>
              <w:ind w:right="660"/>
              <w:spacing w:after="0"/>
              <w:rPr>
                <w:sz w:val="20"/>
                <w:szCs w:val="20"/>
                <w:color w:val="auto"/>
              </w:rPr>
            </w:pPr>
            <w:r>
              <w:rPr>
                <w:rFonts w:ascii="Arial" w:cs="Arial" w:eastAsia="Arial" w:hAnsi="Arial"/>
                <w:sz w:val="12"/>
                <w:szCs w:val="12"/>
                <w:color w:val="auto"/>
                <w:w w:val="99"/>
              </w:rPr>
              <w:t>Chief Financial Officer and Treasurer</w:t>
            </w:r>
          </w:p>
        </w:tc>
      </w:tr>
      <w:tr>
        <w:trPr>
          <w:trHeight w:val="180"/>
        </w:trPr>
        <w:tc>
          <w:tcPr>
            <w:tcW w:w="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40" w:type="dxa"/>
            <w:vAlign w:val="bottom"/>
          </w:tcPr>
          <w:p>
            <w:pPr>
              <w:jc w:val="center"/>
              <w:ind w:right="680"/>
              <w:spacing w:after="0"/>
              <w:rPr>
                <w:sz w:val="20"/>
                <w:szCs w:val="20"/>
                <w:color w:val="auto"/>
              </w:rPr>
            </w:pPr>
            <w:r>
              <w:rPr>
                <w:rFonts w:ascii="Arial" w:cs="Arial" w:eastAsia="Arial" w:hAnsi="Arial"/>
                <w:sz w:val="12"/>
                <w:szCs w:val="12"/>
                <w:color w:val="auto"/>
                <w:w w:val="99"/>
              </w:rPr>
              <w:t>(Principal Financial and Accounting Officer)</w:t>
            </w:r>
          </w:p>
        </w:tc>
      </w:tr>
      <w:tr>
        <w:trPr>
          <w:trHeight w:val="928"/>
        </w:trPr>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20" w:type="dxa"/>
            <w:vAlign w:val="bottom"/>
          </w:tcPr>
          <w:p>
            <w:pPr>
              <w:jc w:val="right"/>
              <w:ind w:right="1220"/>
              <w:spacing w:after="0"/>
              <w:rPr>
                <w:sz w:val="20"/>
                <w:szCs w:val="20"/>
                <w:color w:val="auto"/>
              </w:rPr>
            </w:pPr>
            <w:r>
              <w:rPr>
                <w:rFonts w:ascii="Arial" w:cs="Arial" w:eastAsia="Arial" w:hAnsi="Arial"/>
                <w:sz w:val="12"/>
                <w:szCs w:val="12"/>
                <w:color w:val="auto"/>
              </w:rPr>
              <w:t>65</w:t>
            </w:r>
          </w:p>
        </w:tc>
        <w:tc>
          <w:tcPr>
            <w:tcW w:w="74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240" w:top="611" w:right="51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Exhibit 10.1</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BEYOND MEAT, INC.</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2018 EQUITY INCENTIVE PLAN</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STOCK OPTION AWARD AGREEMENT</w:t>
      </w:r>
    </w:p>
    <w:p>
      <w:pPr>
        <w:spacing w:after="0" w:line="194" w:lineRule="exact"/>
        <w:rPr>
          <w:sz w:val="20"/>
          <w:szCs w:val="20"/>
          <w:color w:val="auto"/>
        </w:rPr>
      </w:pPr>
    </w:p>
    <w:p>
      <w:pPr>
        <w:ind w:left="8" w:right="20" w:firstLine="432"/>
        <w:spacing w:after="0" w:line="340" w:lineRule="auto"/>
        <w:rPr>
          <w:sz w:val="20"/>
          <w:szCs w:val="20"/>
          <w:color w:val="auto"/>
        </w:rPr>
      </w:pPr>
      <w:r>
        <w:rPr>
          <w:rFonts w:ascii="Arial" w:cs="Arial" w:eastAsia="Arial" w:hAnsi="Arial"/>
          <w:sz w:val="14"/>
          <w:szCs w:val="14"/>
          <w:color w:val="auto"/>
        </w:rPr>
        <w:t>Unless otherwise defined herein, the terms defined in the Beyond Meat, Inc. 2018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will have the same defined meanings in this Stock Option Award Agreement (the “</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w:t>
      </w:r>
    </w:p>
    <w:p>
      <w:pPr>
        <w:spacing w:after="0" w:line="98" w:lineRule="exact"/>
        <w:rPr>
          <w:sz w:val="20"/>
          <w:szCs w:val="20"/>
          <w:color w:val="auto"/>
        </w:rPr>
      </w:pPr>
    </w:p>
    <w:p>
      <w:pPr>
        <w:ind w:left="428" w:right="8460" w:hanging="428"/>
        <w:spacing w:after="0" w:line="526" w:lineRule="auto"/>
        <w:tabs>
          <w:tab w:leader="none" w:pos="52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NOTICE OF STOCK OPTION GRANT </w:t>
      </w:r>
      <w:r>
        <w:rPr>
          <w:rFonts w:ascii="Arial" w:cs="Arial" w:eastAsia="Arial" w:hAnsi="Arial"/>
          <w:sz w:val="14"/>
          <w:szCs w:val="14"/>
          <w:b w:val="1"/>
          <w:bCs w:val="1"/>
          <w:color w:val="auto"/>
        </w:rPr>
        <w:t>Participant Name:</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You have been granted an Option to purchase Common Stock of Beyond Meat,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subject to the terms and conditions of the Plan and this Award Agreement, as follows:</w:t>
      </w:r>
    </w:p>
    <w:p>
      <w:pPr>
        <w:spacing w:after="0" w:line="364" w:lineRule="exact"/>
        <w:rPr>
          <w:sz w:val="20"/>
          <w:szCs w:val="20"/>
          <w:color w:val="auto"/>
        </w:rPr>
      </w:pPr>
    </w:p>
    <w:p>
      <w:pPr>
        <w:ind w:left="488"/>
        <w:spacing w:after="0"/>
        <w:rPr>
          <w:sz w:val="20"/>
          <w:szCs w:val="20"/>
          <w:color w:val="auto"/>
        </w:rPr>
      </w:pPr>
      <w:r>
        <w:rPr>
          <w:rFonts w:ascii="Arial" w:cs="Arial" w:eastAsia="Arial" w:hAnsi="Arial"/>
          <w:sz w:val="14"/>
          <w:szCs w:val="14"/>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32385</wp:posOffset>
            </wp:positionV>
            <wp:extent cx="27451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2745105" cy="5715"/>
                    </a:xfrm>
                    <a:prstGeom prst="rect">
                      <a:avLst/>
                    </a:prstGeom>
                    <a:noFill/>
                  </pic:spPr>
                </pic:pic>
              </a:graphicData>
            </a:graphic>
          </wp:anchor>
        </w:drawing>
      </w:r>
    </w:p>
    <w:p>
      <w:pPr>
        <w:spacing w:after="0" w:line="260" w:lineRule="exact"/>
        <w:rPr>
          <w:sz w:val="20"/>
          <w:szCs w:val="20"/>
          <w:color w:val="auto"/>
        </w:rPr>
      </w:pPr>
    </w:p>
    <w:tbl>
      <w:tblPr>
        <w:tblLayout w:type="fixed"/>
        <w:tblInd w:w="428" w:type="dxa"/>
        <w:tblCellMar>
          <w:top w:w="0" w:type="dxa"/>
          <w:left w:w="0" w:type="dxa"/>
          <w:bottom w:w="0" w:type="dxa"/>
          <w:right w:w="0" w:type="dxa"/>
        </w:tblCellMar>
      </w:tblPr>
      <w:tr>
        <w:trPr>
          <w:trHeight w:val="182"/>
        </w:trPr>
        <w:tc>
          <w:tcPr>
            <w:tcW w:w="3400" w:type="dxa"/>
            <w:vAlign w:val="bottom"/>
          </w:tcPr>
          <w:p>
            <w:pPr>
              <w:ind w:left="60"/>
              <w:spacing w:after="0"/>
              <w:rPr>
                <w:sz w:val="20"/>
                <w:szCs w:val="20"/>
                <w:color w:val="auto"/>
              </w:rPr>
            </w:pPr>
            <w:r>
              <w:rPr>
                <w:rFonts w:ascii="Arial" w:cs="Arial" w:eastAsia="Arial" w:hAnsi="Arial"/>
                <w:sz w:val="14"/>
                <w:szCs w:val="14"/>
                <w:color w:val="auto"/>
              </w:rPr>
              <w:t>Date of Grant</w:t>
            </w:r>
          </w:p>
        </w:tc>
        <w:tc>
          <w:tcPr>
            <w:tcW w:w="9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400" w:type="dxa"/>
            <w:vAlign w:val="bottom"/>
            <w:vMerge w:val="restart"/>
          </w:tcPr>
          <w:p>
            <w:pPr>
              <w:ind w:left="60"/>
              <w:spacing w:after="0"/>
              <w:rPr>
                <w:sz w:val="20"/>
                <w:szCs w:val="20"/>
                <w:color w:val="auto"/>
              </w:rPr>
            </w:pPr>
            <w:r>
              <w:rPr>
                <w:rFonts w:ascii="Arial" w:cs="Arial" w:eastAsia="Arial" w:hAnsi="Arial"/>
                <w:sz w:val="14"/>
                <w:szCs w:val="14"/>
                <w:color w:val="auto"/>
              </w:rPr>
              <w:t>Vesting Commencement Date</w:t>
            </w:r>
          </w:p>
        </w:tc>
        <w:tc>
          <w:tcPr>
            <w:tcW w:w="9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4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tcPr>
          <w:p>
            <w:pPr>
              <w:ind w:left="60"/>
              <w:spacing w:after="0"/>
              <w:rPr>
                <w:sz w:val="20"/>
                <w:szCs w:val="20"/>
                <w:color w:val="auto"/>
              </w:rPr>
            </w:pPr>
            <w:r>
              <w:rPr>
                <w:rFonts w:ascii="Arial" w:cs="Arial" w:eastAsia="Arial" w:hAnsi="Arial"/>
                <w:sz w:val="14"/>
                <w:szCs w:val="14"/>
                <w:color w:val="auto"/>
              </w:rPr>
              <w:t>Exercise Price per Share</w:t>
            </w:r>
          </w:p>
        </w:tc>
        <w:tc>
          <w:tcPr>
            <w:tcW w:w="4340" w:type="dxa"/>
            <w:vAlign w:val="bottom"/>
            <w:gridSpan w:val="2"/>
          </w:tcPr>
          <w:p>
            <w:pPr>
              <w:ind w:left="60"/>
              <w:spacing w:after="0"/>
              <w:rPr>
                <w:sz w:val="20"/>
                <w:szCs w:val="20"/>
                <w:color w:val="auto"/>
              </w:rPr>
            </w:pPr>
            <w:r>
              <w:rPr>
                <w:rFonts w:ascii="Arial" w:cs="Arial" w:eastAsia="Arial" w:hAnsi="Arial"/>
                <w:sz w:val="14"/>
                <w:szCs w:val="14"/>
                <w:color w:val="auto"/>
              </w:rPr>
              <w:t>USD $</w:t>
            </w:r>
          </w:p>
        </w:tc>
        <w:tc>
          <w:tcPr>
            <w:tcW w:w="0" w:type="dxa"/>
            <w:vAlign w:val="bottom"/>
          </w:tcPr>
          <w:p>
            <w:pPr>
              <w:spacing w:after="0"/>
              <w:rPr>
                <w:sz w:val="1"/>
                <w:szCs w:val="1"/>
                <w:color w:val="auto"/>
              </w:rPr>
            </w:pPr>
          </w:p>
        </w:tc>
      </w:tr>
      <w:tr>
        <w:trPr>
          <w:trHeight w:val="30"/>
        </w:trPr>
        <w:tc>
          <w:tcPr>
            <w:tcW w:w="3400" w:type="dxa"/>
            <w:vAlign w:val="bottom"/>
            <w:vMerge w:val="restart"/>
          </w:tcPr>
          <w:p>
            <w:pPr>
              <w:ind w:left="60"/>
              <w:spacing w:after="0"/>
              <w:rPr>
                <w:sz w:val="20"/>
                <w:szCs w:val="20"/>
                <w:color w:val="auto"/>
              </w:rPr>
            </w:pPr>
            <w:r>
              <w:rPr>
                <w:rFonts w:ascii="Arial" w:cs="Arial" w:eastAsia="Arial" w:hAnsi="Arial"/>
                <w:sz w:val="14"/>
                <w:szCs w:val="14"/>
                <w:color w:val="auto"/>
              </w:rPr>
              <w:t>Total Number of Shares</w:t>
            </w:r>
          </w:p>
        </w:tc>
        <w:tc>
          <w:tcPr>
            <w:tcW w:w="9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4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tcPr>
          <w:p>
            <w:pPr>
              <w:ind w:left="60"/>
              <w:spacing w:after="0"/>
              <w:rPr>
                <w:sz w:val="20"/>
                <w:szCs w:val="20"/>
                <w:color w:val="auto"/>
              </w:rPr>
            </w:pPr>
            <w:r>
              <w:rPr>
                <w:rFonts w:ascii="Arial" w:cs="Arial" w:eastAsia="Arial" w:hAnsi="Arial"/>
                <w:sz w:val="14"/>
                <w:szCs w:val="14"/>
                <w:color w:val="auto"/>
              </w:rPr>
              <w:t>Total Exercise Price</w:t>
            </w:r>
          </w:p>
        </w:tc>
        <w:tc>
          <w:tcPr>
            <w:tcW w:w="4340" w:type="dxa"/>
            <w:vAlign w:val="bottom"/>
            <w:gridSpan w:val="2"/>
          </w:tcPr>
          <w:p>
            <w:pPr>
              <w:ind w:left="60"/>
              <w:spacing w:after="0"/>
              <w:rPr>
                <w:sz w:val="20"/>
                <w:szCs w:val="20"/>
                <w:color w:val="auto"/>
              </w:rPr>
            </w:pPr>
            <w:r>
              <w:rPr>
                <w:rFonts w:ascii="Arial" w:cs="Arial" w:eastAsia="Arial" w:hAnsi="Arial"/>
                <w:sz w:val="14"/>
                <w:szCs w:val="14"/>
                <w:color w:val="auto"/>
              </w:rPr>
              <w:t>USD $</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tcPr>
          <w:p>
            <w:pPr>
              <w:ind w:left="60"/>
              <w:spacing w:after="0"/>
              <w:rPr>
                <w:sz w:val="20"/>
                <w:szCs w:val="20"/>
                <w:color w:val="auto"/>
              </w:rPr>
            </w:pPr>
            <w:r>
              <w:rPr>
                <w:rFonts w:ascii="Arial" w:cs="Arial" w:eastAsia="Arial" w:hAnsi="Arial"/>
                <w:sz w:val="14"/>
                <w:szCs w:val="14"/>
                <w:color w:val="auto"/>
              </w:rPr>
              <w:t>Type of Option:</w:t>
            </w:r>
          </w:p>
        </w:tc>
        <w:tc>
          <w:tcPr>
            <w:tcW w:w="94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Arial" w:cs="Arial" w:eastAsia="Arial" w:hAnsi="Arial"/>
                <w:sz w:val="14"/>
                <w:szCs w:val="14"/>
                <w:color w:val="auto"/>
              </w:rPr>
              <w:t>U.S. Incentive Stock Option</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0" w:type="dxa"/>
            <w:vAlign w:val="bottom"/>
            <w:vMerge w:val="restart"/>
          </w:tcPr>
          <w:p>
            <w:pPr>
              <w:ind w:left="60"/>
              <w:spacing w:after="0"/>
              <w:rPr>
                <w:sz w:val="20"/>
                <w:szCs w:val="20"/>
                <w:color w:val="auto"/>
              </w:rPr>
            </w:pPr>
            <w:r>
              <w:rPr>
                <w:rFonts w:ascii="Arial" w:cs="Arial" w:eastAsia="Arial" w:hAnsi="Arial"/>
                <w:sz w:val="14"/>
                <w:szCs w:val="14"/>
                <w:color w:val="auto"/>
              </w:rPr>
              <w:t>Nonstatutory Stock Option</w:t>
            </w:r>
          </w:p>
        </w:tc>
        <w:tc>
          <w:tcPr>
            <w:tcW w:w="0" w:type="dxa"/>
            <w:vAlign w:val="bottom"/>
          </w:tcPr>
          <w:p>
            <w:pPr>
              <w:spacing w:after="0"/>
              <w:rPr>
                <w:sz w:val="1"/>
                <w:szCs w:val="1"/>
                <w:color w:val="auto"/>
              </w:rPr>
            </w:pPr>
          </w:p>
        </w:tc>
      </w:tr>
      <w:tr>
        <w:trPr>
          <w:trHeight w:val="391"/>
        </w:trPr>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400" w:type="dxa"/>
            <w:vAlign w:val="bottom"/>
            <w:vMerge w:val="restart"/>
          </w:tcPr>
          <w:p>
            <w:pPr>
              <w:ind w:left="60"/>
              <w:spacing w:after="0"/>
              <w:rPr>
                <w:sz w:val="20"/>
                <w:szCs w:val="20"/>
                <w:color w:val="auto"/>
              </w:rPr>
            </w:pPr>
            <w:r>
              <w:rPr>
                <w:rFonts w:ascii="Arial" w:cs="Arial" w:eastAsia="Arial" w:hAnsi="Arial"/>
                <w:sz w:val="14"/>
                <w:szCs w:val="14"/>
                <w:color w:val="auto"/>
              </w:rPr>
              <w:t>Term/Expiration Date:</w:t>
            </w:r>
          </w:p>
        </w:tc>
        <w:tc>
          <w:tcPr>
            <w:tcW w:w="940" w:type="dxa"/>
            <w:vAlign w:val="bottom"/>
            <w:tcBorders>
              <w:bottom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400" w:type="dxa"/>
            <w:vAlign w:val="bottom"/>
            <w:vMerge w:val="restart"/>
          </w:tcPr>
          <w:p>
            <w:pPr>
              <w:ind w:left="60"/>
              <w:spacing w:after="0"/>
              <w:rPr>
                <w:sz w:val="20"/>
                <w:szCs w:val="20"/>
                <w:color w:val="auto"/>
              </w:rPr>
            </w:pPr>
            <w:r>
              <w:rPr>
                <w:rFonts w:ascii="Arial" w:cs="Arial" w:eastAsia="Arial" w:hAnsi="Arial"/>
                <w:sz w:val="14"/>
                <w:szCs w:val="14"/>
                <w:color w:val="auto"/>
              </w:rPr>
              <w:t>Vesting Schedule:</w:t>
            </w:r>
          </w:p>
        </w:tc>
        <w:tc>
          <w:tcPr>
            <w:tcW w:w="9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1"/>
        </w:trPr>
        <w:tc>
          <w:tcPr>
            <w:tcW w:w="3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4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459" w:right="199" w:bottom="1440" w:gutter="0" w:footer="0" w:header="0"/>
        </w:sectPr>
      </w:pPr>
    </w:p>
    <w:bookmarkStart w:id="70" w:name="page71"/>
    <w:bookmarkEnd w:id="70"/>
    <w:p>
      <w:pPr>
        <w:ind w:left="420"/>
        <w:spacing w:after="0"/>
        <w:rPr>
          <w:sz w:val="20"/>
          <w:szCs w:val="20"/>
          <w:color w:val="auto"/>
        </w:rPr>
      </w:pPr>
      <w:r>
        <w:rPr>
          <w:rFonts w:ascii="Arial" w:cs="Arial" w:eastAsia="Arial" w:hAnsi="Arial"/>
          <w:sz w:val="14"/>
          <w:szCs w:val="14"/>
          <w:color w:val="auto"/>
        </w:rPr>
        <w:t>Subject to Section 2 of the Award Agreement, this Option may be exercised, in whole or in part,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667385</wp:posOffset>
            </wp:positionV>
            <wp:extent cx="64973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49732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501650</wp:posOffset>
            </wp:positionV>
            <wp:extent cx="64973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497320" cy="571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358775</wp:posOffset>
            </wp:positionV>
            <wp:extent cx="64973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4973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auto"/>
        </w:rPr>
        <w:t>Termination Period</w:t>
      </w:r>
      <w:r>
        <w:rPr>
          <w:rFonts w:ascii="Arial" w:cs="Arial" w:eastAsia="Arial" w:hAnsi="Arial"/>
          <w:sz w:val="14"/>
          <w:szCs w:val="14"/>
          <w:color w:val="auto"/>
        </w:rPr>
        <w:t>:</w:t>
      </w:r>
    </w:p>
    <w:p>
      <w:pPr>
        <w:spacing w:after="0" w:line="190" w:lineRule="exact"/>
        <w:rPr>
          <w:sz w:val="20"/>
          <w:szCs w:val="20"/>
          <w:color w:val="auto"/>
        </w:rPr>
      </w:pPr>
    </w:p>
    <w:p>
      <w:pPr>
        <w:jc w:val="both"/>
        <w:ind w:firstLine="432"/>
        <w:spacing w:after="0" w:line="345" w:lineRule="auto"/>
        <w:rPr>
          <w:sz w:val="20"/>
          <w:szCs w:val="20"/>
          <w:color w:val="auto"/>
        </w:rPr>
      </w:pPr>
      <w:r>
        <w:rPr>
          <w:rFonts w:ascii="Arial" w:cs="Arial" w:eastAsia="Arial" w:hAnsi="Arial"/>
          <w:sz w:val="13"/>
          <w:szCs w:val="13"/>
          <w:color w:val="auto"/>
        </w:rPr>
        <w:t>This Option will be exercisable for three (3) months after Participant ceases to be a Service Provider, unless such termination is due to Participant’s death, Disability or Cause. If Participant’s relationship as a Service Provider is terminated as a result of the Service Provider’s death or Disability, this Option will be exercisable for twelve (12) months after Participant ceases to be a Service Provider. If Participant’s relationship as a Service Provider is terminated for Cause, this Option (including any vested portion thereof) shall immediately terminate in its entirety upon the Participant’s being first notified such termination for Cause and Participant will be prohibited from exercising this Option from and after the date of such termination. Notwithstanding the foregoing, in no event may this Option be exercised after the Term/Expiration Date as provided above and may be subject to earlier termination as provided in Section 14 of the Plan.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80"/>
          </w:cols>
          <w:pgMar w:left="220" w:top="639" w:right="199" w:bottom="1440" w:gutter="0" w:footer="0" w:header="0"/>
        </w:sectPr>
      </w:pPr>
    </w:p>
    <w:bookmarkStart w:id="71" w:name="page72"/>
    <w:bookmarkEnd w:id="71"/>
    <w:p>
      <w:pPr>
        <w:jc w:val="both"/>
        <w:ind w:firstLine="432"/>
        <w:spacing w:after="0" w:line="345" w:lineRule="auto"/>
        <w:rPr>
          <w:sz w:val="20"/>
          <w:szCs w:val="20"/>
          <w:color w:val="auto"/>
        </w:rPr>
      </w:pPr>
      <w:r>
        <w:rPr>
          <w:rFonts w:ascii="Arial" w:cs="Arial" w:eastAsia="Arial" w:hAnsi="Arial"/>
          <w:sz w:val="13"/>
          <w:szCs w:val="13"/>
          <w:color w:val="auto"/>
        </w:rPr>
        <w:t xml:space="preserve">By Participant’s signature and the signature of the Company’s representative below, or by Participant otherwise accepting or exercising this Option, Participant and the Company agree that this Option is granted under and governed by the terms and conditions of the Plan and this Award Agreement, including the Terms and Conditions of Stock Option Grant (including any country-specific addendum thereto),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on any questions relating to the Plan and Award Agreement.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ind w:left="40"/>
              <w:spacing w:after="0"/>
              <w:rPr>
                <w:sz w:val="20"/>
                <w:szCs w:val="20"/>
                <w:color w:val="auto"/>
              </w:rPr>
            </w:pPr>
            <w:r>
              <w:rPr>
                <w:rFonts w:ascii="Arial" w:cs="Arial" w:eastAsia="Arial" w:hAnsi="Arial"/>
                <w:sz w:val="14"/>
                <w:szCs w:val="14"/>
                <w:color w:val="auto"/>
              </w:rPr>
              <w:t>PARTICIPANT:</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BEYOND MEAT, INC.</w:t>
            </w:r>
          </w:p>
        </w:tc>
      </w:tr>
      <w:tr>
        <w:trPr>
          <w:trHeight w:val="679"/>
        </w:trPr>
        <w:tc>
          <w:tcPr>
            <w:tcW w:w="52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ind w:left="40"/>
              <w:spacing w:after="0"/>
              <w:rPr>
                <w:sz w:val="20"/>
                <w:szCs w:val="20"/>
                <w:color w:val="auto"/>
              </w:rPr>
            </w:pPr>
            <w:r>
              <w:rPr>
                <w:rFonts w:ascii="Arial" w:cs="Arial" w:eastAsia="Arial" w:hAnsi="Arial"/>
                <w:sz w:val="14"/>
                <w:szCs w:val="14"/>
                <w:color w:val="auto"/>
              </w:rPr>
              <w:t>Signature</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By</w:t>
            </w:r>
          </w:p>
        </w:tc>
      </w:tr>
      <w:tr>
        <w:trPr>
          <w:trHeight w:val="462"/>
        </w:trPr>
        <w:tc>
          <w:tcPr>
            <w:tcW w:w="52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ind w:left="40"/>
              <w:spacing w:after="0"/>
              <w:rPr>
                <w:sz w:val="20"/>
                <w:szCs w:val="20"/>
                <w:color w:val="auto"/>
              </w:rPr>
            </w:pPr>
            <w:r>
              <w:rPr>
                <w:rFonts w:ascii="Arial" w:cs="Arial" w:eastAsia="Arial" w:hAnsi="Arial"/>
                <w:sz w:val="14"/>
                <w:szCs w:val="14"/>
                <w:color w:val="auto"/>
              </w:rPr>
              <w:t>Print Name</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Title</w:t>
            </w:r>
          </w:p>
        </w:tc>
      </w:tr>
      <w:tr>
        <w:trPr>
          <w:trHeight w:val="504"/>
        </w:trPr>
        <w:tc>
          <w:tcPr>
            <w:tcW w:w="5280" w:type="dxa"/>
            <w:vAlign w:val="bottom"/>
          </w:tcPr>
          <w:p>
            <w:pPr>
              <w:spacing w:after="0"/>
              <w:rPr>
                <w:sz w:val="24"/>
                <w:szCs w:val="2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color w:val="auto"/>
              </w:rPr>
              <w:t>-3-</w:t>
            </w:r>
          </w:p>
        </w:tc>
        <w:tc>
          <w:tcPr>
            <w:tcW w:w="5160" w:type="dxa"/>
            <w:vAlign w:val="bottom"/>
          </w:tcPr>
          <w:p>
            <w:pPr>
              <w:spacing w:after="0"/>
              <w:rPr>
                <w:sz w:val="24"/>
                <w:szCs w:val="24"/>
                <w:color w:val="auto"/>
              </w:rPr>
            </w:pPr>
          </w:p>
        </w:tc>
      </w:tr>
    </w:tbl>
    <w:p>
      <w:pPr>
        <w:sectPr>
          <w:pgSz w:w="11900" w:h="16838" w:orient="portrait"/>
          <w:cols w:equalWidth="0" w:num="1">
            <w:col w:w="11480"/>
          </w:cols>
          <w:pgMar w:left="220" w:top="459" w:right="19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EXHIBIT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AND CONDITIONS OF STOCK OPTION GRANT</w:t>
      </w:r>
    </w:p>
    <w:p>
      <w:pPr>
        <w:spacing w:after="0" w:line="194" w:lineRule="exact"/>
        <w:rPr>
          <w:sz w:val="20"/>
          <w:szCs w:val="20"/>
          <w:color w:val="auto"/>
        </w:rPr>
      </w:pPr>
    </w:p>
    <w:p>
      <w:pPr>
        <w:jc w:val="both"/>
        <w:ind w:firstLine="424"/>
        <w:spacing w:after="0" w:line="350" w:lineRule="auto"/>
        <w:tabs>
          <w:tab w:leader="none" w:pos="973" w:val="left"/>
        </w:tabs>
        <w:numPr>
          <w:ilvl w:val="0"/>
          <w:numId w:val="20"/>
        </w:numPr>
        <w:rPr>
          <w:rFonts w:ascii="Arial" w:cs="Arial" w:eastAsia="Arial" w:hAnsi="Arial"/>
          <w:sz w:val="13"/>
          <w:szCs w:val="13"/>
          <w:color w:val="auto"/>
        </w:rPr>
      </w:pPr>
      <w:r>
        <w:rPr>
          <w:rFonts w:ascii="Arial" w:cs="Arial" w:eastAsia="Arial" w:hAnsi="Arial"/>
          <w:sz w:val="13"/>
          <w:szCs w:val="13"/>
          <w:u w:val="single" w:color="auto"/>
          <w:color w:val="auto"/>
        </w:rPr>
        <w:t>Grant of Option</w:t>
      </w:r>
      <w:r>
        <w:rPr>
          <w:rFonts w:ascii="Arial" w:cs="Arial" w:eastAsia="Arial" w:hAnsi="Arial"/>
          <w:sz w:val="13"/>
          <w:szCs w:val="13"/>
          <w:color w:val="auto"/>
        </w:rPr>
        <w:t>. The Company hereby grants to the Participant named in the Notice of Stock Option Grant attached as Part I of this Award Agreement (the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an option (the “</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to purchase the number of Shares set forth in the Notice of Stock Option Grant, at the exercise price per Share set forth in the Notice of Stock Option Grant (the “</w:t>
      </w:r>
      <w:r>
        <w:rPr>
          <w:rFonts w:ascii="Arial" w:cs="Arial" w:eastAsia="Arial" w:hAnsi="Arial"/>
          <w:sz w:val="13"/>
          <w:szCs w:val="13"/>
          <w:b w:val="1"/>
          <w:bCs w:val="1"/>
          <w:i w:val="1"/>
          <w:iCs w:val="1"/>
          <w:color w:val="auto"/>
        </w:rPr>
        <w:t>Exercise Price</w:t>
      </w:r>
      <w:r>
        <w:rPr>
          <w:rFonts w:ascii="Arial" w:cs="Arial" w:eastAsia="Arial" w:hAnsi="Arial"/>
          <w:sz w:val="13"/>
          <w:szCs w:val="13"/>
          <w:color w:val="auto"/>
        </w:rPr>
        <w:t>”), subject to all of the terms and conditions set forth in the Notice of Stock Option Grant and in this Award Agreement and the Plan, which is incorporated herein by reference. Subject to Section 21 of the Plan, if there is a conflict between the terms and conditions of the Plan and the terms and conditions of this Award Agreement, the terms and conditions of the Plan will prevail.</w:t>
      </w:r>
    </w:p>
    <w:p>
      <w:pPr>
        <w:spacing w:after="0" w:line="101" w:lineRule="exact"/>
        <w:rPr>
          <w:sz w:val="20"/>
          <w:szCs w:val="20"/>
          <w:color w:val="auto"/>
        </w:rPr>
      </w:pPr>
    </w:p>
    <w:p>
      <w:pPr>
        <w:jc w:val="both"/>
        <w:ind w:firstLine="865"/>
        <w:spacing w:after="0" w:line="316" w:lineRule="auto"/>
        <w:rPr>
          <w:sz w:val="20"/>
          <w:szCs w:val="20"/>
          <w:color w:val="auto"/>
        </w:rPr>
      </w:pPr>
      <w:r>
        <w:rPr>
          <w:rFonts w:ascii="Arial" w:cs="Arial" w:eastAsia="Arial" w:hAnsi="Arial"/>
          <w:sz w:val="14"/>
          <w:szCs w:val="14"/>
          <w:color w:val="auto"/>
        </w:rPr>
        <w:t>If designated in the Notice of Stock Option Grant as an Incentive Stock Option (“</w:t>
      </w:r>
      <w:r>
        <w:rPr>
          <w:rFonts w:ascii="Arial" w:cs="Arial" w:eastAsia="Arial" w:hAnsi="Arial"/>
          <w:sz w:val="14"/>
          <w:szCs w:val="14"/>
          <w:b w:val="1"/>
          <w:bCs w:val="1"/>
          <w:i w:val="1"/>
          <w:iCs w:val="1"/>
          <w:color w:val="auto"/>
        </w:rPr>
        <w:t>ISO</w:t>
      </w:r>
      <w:r>
        <w:rPr>
          <w:rFonts w:ascii="Arial" w:cs="Arial" w:eastAsia="Arial" w:hAnsi="Arial"/>
          <w:sz w:val="14"/>
          <w:szCs w:val="14"/>
          <w:color w:val="auto"/>
        </w:rPr>
        <w:t>”), this Option is intended to qualify as an ISO to the maximum extent permitted under Section 422 of the U.S. Internal Revenue Code of 1986, as amended (the “</w:t>
      </w:r>
      <w:r>
        <w:rPr>
          <w:rFonts w:ascii="Arial" w:cs="Arial" w:eastAsia="Arial" w:hAnsi="Arial"/>
          <w:sz w:val="14"/>
          <w:szCs w:val="14"/>
          <w:b w:val="1"/>
          <w:bCs w:val="1"/>
          <w:i w:val="1"/>
          <w:iCs w:val="1"/>
          <w:color w:val="auto"/>
        </w:rPr>
        <w:t>Code</w:t>
      </w:r>
      <w:r>
        <w:rPr>
          <w:rFonts w:ascii="Arial" w:cs="Arial" w:eastAsia="Arial" w:hAnsi="Arial"/>
          <w:sz w:val="14"/>
          <w:szCs w:val="14"/>
          <w:color w:val="auto"/>
        </w:rPr>
        <w:t>”). However, if this Option is intended to be an ISO, to the extent that it exceeds the USD $100,000 rule of Code Section 422(d) it will be treated as a Nonstatutory Stock Option (“</w:t>
      </w:r>
      <w:r>
        <w:rPr>
          <w:rFonts w:ascii="Arial" w:cs="Arial" w:eastAsia="Arial" w:hAnsi="Arial"/>
          <w:sz w:val="14"/>
          <w:szCs w:val="14"/>
          <w:b w:val="1"/>
          <w:bCs w:val="1"/>
          <w:i w:val="1"/>
          <w:iCs w:val="1"/>
          <w:color w:val="auto"/>
        </w:rPr>
        <w:t>NSO</w:t>
      </w:r>
      <w:r>
        <w:rPr>
          <w:rFonts w:ascii="Arial" w:cs="Arial" w:eastAsia="Arial" w:hAnsi="Arial"/>
          <w:sz w:val="14"/>
          <w:szCs w:val="14"/>
          <w:color w:val="auto"/>
        </w:rPr>
        <w:t>”). Further, if for any reason this Option (or portion thereof) will not qualify as an ISO, then, to the extent of such non- 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20" w:lineRule="exact"/>
        <w:rPr>
          <w:sz w:val="20"/>
          <w:szCs w:val="20"/>
          <w:color w:val="auto"/>
        </w:rPr>
      </w:pPr>
    </w:p>
    <w:p>
      <w:pPr>
        <w:jc w:val="both"/>
        <w:ind w:left="40" w:firstLine="438"/>
        <w:spacing w:after="0" w:line="315" w:lineRule="auto"/>
        <w:tabs>
          <w:tab w:leader="none" w:pos="95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Except as provided in Section 3, the Option awarded by this Award Agreement will vest in accordance with the vesting provisions set forth in the Notice of Stock Option Grant. Options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any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80"/>
          </w:cols>
          <w:pgMar w:left="220" w:top="454" w:right="199" w:bottom="1440" w:gutter="0" w:footer="0" w:header="0"/>
        </w:sectPr>
      </w:pPr>
    </w:p>
    <w:bookmarkStart w:id="73" w:name="page74"/>
    <w:bookmarkEnd w:id="73"/>
    <w:p>
      <w:pPr>
        <w:ind w:left="960" w:hanging="536"/>
        <w:spacing w:after="0"/>
        <w:tabs>
          <w:tab w:leader="none" w:pos="96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190" w:lineRule="exact"/>
        <w:rPr>
          <w:rFonts w:ascii="Arial" w:cs="Arial" w:eastAsia="Arial" w:hAnsi="Arial"/>
          <w:sz w:val="14"/>
          <w:szCs w:val="14"/>
          <w:color w:val="auto"/>
        </w:rPr>
      </w:pPr>
    </w:p>
    <w:p>
      <w:pPr>
        <w:ind w:firstLine="857"/>
        <w:spacing w:after="0" w:line="340" w:lineRule="auto"/>
        <w:tabs>
          <w:tab w:leader="none" w:pos="1457" w:val="left"/>
        </w:tabs>
        <w:numPr>
          <w:ilvl w:val="1"/>
          <w:numId w:val="22"/>
        </w:numPr>
        <w:rPr>
          <w:rFonts w:ascii="Arial" w:cs="Arial" w:eastAsia="Arial" w:hAnsi="Arial"/>
          <w:sz w:val="14"/>
          <w:szCs w:val="14"/>
          <w:color w:val="auto"/>
        </w:rPr>
      </w:pPr>
      <w:r>
        <w:rPr>
          <w:rFonts w:ascii="Arial" w:cs="Arial" w:eastAsia="Arial" w:hAnsi="Arial"/>
          <w:sz w:val="14"/>
          <w:szCs w:val="14"/>
          <w:u w:val="single" w:color="auto"/>
          <w:color w:val="auto"/>
        </w:rPr>
        <w:t>Right to Exercise</w:t>
      </w:r>
      <w:r>
        <w:rPr>
          <w:rFonts w:ascii="Arial" w:cs="Arial" w:eastAsia="Arial" w:hAnsi="Arial"/>
          <w:sz w:val="14"/>
          <w:szCs w:val="14"/>
          <w:color w:val="auto"/>
        </w:rPr>
        <w:t>. This Option may be exercised only within the term set forth in the Notice of Stock Option Grant and may be exercised during such term only in accordance with the Plan and the terms of this Award Agreement.</w:t>
      </w:r>
    </w:p>
    <w:p>
      <w:pPr>
        <w:spacing w:after="0" w:line="102" w:lineRule="exact"/>
        <w:rPr>
          <w:rFonts w:ascii="Arial" w:cs="Arial" w:eastAsia="Arial" w:hAnsi="Arial"/>
          <w:sz w:val="14"/>
          <w:szCs w:val="14"/>
          <w:color w:val="auto"/>
        </w:rPr>
      </w:pPr>
    </w:p>
    <w:p>
      <w:pPr>
        <w:jc w:val="both"/>
        <w:ind w:firstLine="857"/>
        <w:spacing w:after="0" w:line="312" w:lineRule="auto"/>
        <w:tabs>
          <w:tab w:leader="none" w:pos="1465" w:val="left"/>
        </w:tabs>
        <w:numPr>
          <w:ilvl w:val="1"/>
          <w:numId w:val="22"/>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xml:space="preserve">. This Option is exercisable by delivery of an exercise notice, in the form attached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Exercise Notice</w:t>
      </w:r>
      <w:r>
        <w:rPr>
          <w:rFonts w:ascii="Arial" w:cs="Arial" w:eastAsia="Arial" w:hAnsi="Arial"/>
          <w:sz w:val="14"/>
          <w:szCs w:val="14"/>
          <w:color w:val="auto"/>
        </w:rPr>
        <w:t>”) or in a manner and pursuant to such procedures as the Administrator may determine, which will state the election to exercise the Option, the number of Shares in respect of which the Option is being exercised (the “</w:t>
      </w:r>
      <w:r>
        <w:rPr>
          <w:rFonts w:ascii="Arial" w:cs="Arial" w:eastAsia="Arial" w:hAnsi="Arial"/>
          <w:sz w:val="14"/>
          <w:szCs w:val="14"/>
          <w:b w:val="1"/>
          <w:bCs w:val="1"/>
          <w:i w:val="1"/>
          <w:iCs w:val="1"/>
          <w:color w:val="auto"/>
        </w:rPr>
        <w:t>Exercised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and such other representations and agreements as may be required by the Company pursuant to the provisions of the Plan. The Exercise Notice will be completed by Participant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delivered to the Company. The Exercise Notice will be accompanied by payment of the aggregate Exercise Price as to all Exercised Shares together with any Tax-Related Items (as defined below) required to be withheld, paid or provided pursuant to any Applicable Laws. This Option will be deemed to be exercised upon receipt by the Company of such fully executed Exercise Notice accompanied by such aggregate Exercise Price and any other requirements or restrictions that may be imposed by the Company to comply with Applicable Laws or facilitate administration of the Plan. Notwithstanding the above, Participant understands that the Applicable Laws of the country in which Participant is residing or working at the time of grant, vesting, and/or exercise of this Option (including any rules or regulations governing securities, foreign exchange, tax, labor or other matters) may restrict or prevent exercise of this Option, and neither the Company nor any Parent or Subsidiary assumes any liability in relation to this Option in such case.</w:t>
      </w:r>
    </w:p>
    <w:p>
      <w:pPr>
        <w:spacing w:after="0" w:line="124" w:lineRule="exact"/>
        <w:rPr>
          <w:rFonts w:ascii="Arial" w:cs="Arial" w:eastAsia="Arial" w:hAnsi="Arial"/>
          <w:sz w:val="14"/>
          <w:szCs w:val="14"/>
          <w:color w:val="auto"/>
        </w:rPr>
      </w:pPr>
    </w:p>
    <w:p>
      <w:pPr>
        <w:ind w:firstLine="424"/>
        <w:spacing w:after="0" w:line="340" w:lineRule="auto"/>
        <w:tabs>
          <w:tab w:leader="none" w:pos="973"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Method of Payment</w:t>
      </w:r>
      <w:r>
        <w:rPr>
          <w:rFonts w:ascii="Arial" w:cs="Arial" w:eastAsia="Arial" w:hAnsi="Arial"/>
          <w:sz w:val="14"/>
          <w:szCs w:val="14"/>
          <w:color w:val="auto"/>
        </w:rPr>
        <w:t>. Payment of the aggregate Exercise Price will be by any of the following, or a combination thereof, at the election of Participant unless otherwise specified by the Company in its sole discretion:</w:t>
      </w:r>
    </w:p>
    <w:p>
      <w:pPr>
        <w:spacing w:after="0" w:line="102" w:lineRule="exact"/>
        <w:rPr>
          <w:rFonts w:ascii="Arial" w:cs="Arial" w:eastAsia="Arial" w:hAnsi="Arial"/>
          <w:sz w:val="14"/>
          <w:szCs w:val="14"/>
          <w:color w:val="auto"/>
        </w:rPr>
      </w:pPr>
    </w:p>
    <w:p>
      <w:pPr>
        <w:ind w:left="1440" w:hanging="583"/>
        <w:spacing w:after="0"/>
        <w:tabs>
          <w:tab w:leader="none" w:pos="14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cash (U.S. dollars); or</w:t>
      </w:r>
    </w:p>
    <w:p>
      <w:pPr>
        <w:spacing w:after="0" w:line="190" w:lineRule="exact"/>
        <w:rPr>
          <w:rFonts w:ascii="Arial" w:cs="Arial" w:eastAsia="Arial" w:hAnsi="Arial"/>
          <w:sz w:val="14"/>
          <w:szCs w:val="14"/>
          <w:color w:val="auto"/>
        </w:rPr>
      </w:pPr>
    </w:p>
    <w:p>
      <w:pPr>
        <w:ind w:left="1460" w:hanging="603"/>
        <w:spacing w:after="0"/>
        <w:tabs>
          <w:tab w:leader="none" w:pos="14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check (denominated in U.S. dollars); or</w:t>
      </w:r>
    </w:p>
    <w:p>
      <w:pPr>
        <w:spacing w:after="0" w:line="190" w:lineRule="exact"/>
        <w:rPr>
          <w:rFonts w:ascii="Arial" w:cs="Arial" w:eastAsia="Arial" w:hAnsi="Arial"/>
          <w:sz w:val="14"/>
          <w:szCs w:val="14"/>
          <w:color w:val="auto"/>
        </w:rPr>
      </w:pPr>
    </w:p>
    <w:p>
      <w:pPr>
        <w:ind w:left="1440" w:hanging="583"/>
        <w:spacing w:after="0"/>
        <w:tabs>
          <w:tab w:leader="none" w:pos="14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consideration received by the Company under a formal cashless exercise program adopted by the Company in connection with the Plan; or</w:t>
      </w:r>
    </w:p>
    <w:p>
      <w:pPr>
        <w:spacing w:after="0" w:line="190" w:lineRule="exact"/>
        <w:rPr>
          <w:rFonts w:ascii="Arial" w:cs="Arial" w:eastAsia="Arial" w:hAnsi="Arial"/>
          <w:sz w:val="14"/>
          <w:szCs w:val="14"/>
          <w:color w:val="auto"/>
        </w:rPr>
      </w:pPr>
    </w:p>
    <w:p>
      <w:pPr>
        <w:ind w:firstLine="857"/>
        <w:spacing w:after="0" w:line="340" w:lineRule="auto"/>
        <w:tabs>
          <w:tab w:leader="none" w:pos="1465" w:val="left"/>
        </w:tabs>
        <w:numPr>
          <w:ilvl w:val="1"/>
          <w:numId w:val="22"/>
        </w:numPr>
        <w:rPr>
          <w:rFonts w:ascii="Arial" w:cs="Arial" w:eastAsia="Arial" w:hAnsi="Arial"/>
          <w:sz w:val="14"/>
          <w:szCs w:val="14"/>
          <w:color w:val="auto"/>
        </w:rPr>
      </w:pPr>
      <w:r>
        <w:rPr>
          <w:rFonts w:ascii="Arial" w:cs="Arial" w:eastAsia="Arial" w:hAnsi="Arial"/>
          <w:sz w:val="14"/>
          <w:szCs w:val="14"/>
          <w:color w:val="auto"/>
        </w:rPr>
        <w:t>if Participant is subject to Section 16 of the Exchange Act, Participant may direct the Company to withhold Shares to be issued upon exercise of the Option to pay the aggregate Exercise Price and any such disposition of Shares to the Company shall be exempt from Section 16(b) of the Exchange Act pursuant to Rule 16b-3(e).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80"/>
          </w:cols>
          <w:pgMar w:left="220" w:top="458" w:right="199" w:bottom="1440" w:gutter="0" w:footer="0" w:header="0"/>
        </w:sectPr>
      </w:pPr>
    </w:p>
    <w:bookmarkStart w:id="74" w:name="page75"/>
    <w:bookmarkEnd w:id="74"/>
    <w:p>
      <w:pPr>
        <w:jc w:val="both"/>
        <w:ind w:firstLine="865"/>
        <w:spacing w:after="0" w:line="324" w:lineRule="auto"/>
        <w:rPr>
          <w:sz w:val="20"/>
          <w:szCs w:val="20"/>
          <w:color w:val="auto"/>
        </w:rPr>
      </w:pPr>
      <w:r>
        <w:rPr>
          <w:rFonts w:ascii="Arial" w:cs="Arial" w:eastAsia="Arial" w:hAnsi="Arial"/>
          <w:sz w:val="14"/>
          <w:szCs w:val="14"/>
          <w:color w:val="auto"/>
        </w:rPr>
        <w:t>Participant understands and agrees that, unless otherwise permitted by the Company, any cross-border remittance made to exercise this Option or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14" w:lineRule="exact"/>
        <w:rPr>
          <w:sz w:val="20"/>
          <w:szCs w:val="20"/>
          <w:color w:val="auto"/>
        </w:rPr>
      </w:pPr>
    </w:p>
    <w:p>
      <w:pPr>
        <w:ind w:left="960" w:hanging="536"/>
        <w:spacing w:after="0"/>
        <w:tabs>
          <w:tab w:leader="none" w:pos="96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Tax Obligations.</w:t>
      </w:r>
    </w:p>
    <w:p>
      <w:pPr>
        <w:spacing w:after="0" w:line="190" w:lineRule="exact"/>
        <w:rPr>
          <w:rFonts w:ascii="Arial" w:cs="Arial" w:eastAsia="Arial" w:hAnsi="Arial"/>
          <w:sz w:val="14"/>
          <w:szCs w:val="14"/>
          <w:color w:val="auto"/>
        </w:rPr>
      </w:pPr>
    </w:p>
    <w:p>
      <w:pPr>
        <w:jc w:val="both"/>
        <w:ind w:firstLine="857"/>
        <w:spacing w:after="0" w:line="336" w:lineRule="auto"/>
        <w:tabs>
          <w:tab w:leader="none" w:pos="1457" w:val="left"/>
        </w:tabs>
        <w:numPr>
          <w:ilvl w:val="1"/>
          <w:numId w:val="23"/>
        </w:numPr>
        <w:rPr>
          <w:rFonts w:ascii="Arial" w:cs="Arial" w:eastAsia="Arial" w:hAnsi="Arial"/>
          <w:sz w:val="13"/>
          <w:szCs w:val="13"/>
          <w:color w:val="auto"/>
        </w:rPr>
      </w:pPr>
      <w:r>
        <w:rPr>
          <w:rFonts w:ascii="Arial" w:cs="Arial" w:eastAsia="Arial" w:hAnsi="Arial"/>
          <w:sz w:val="13"/>
          <w:szCs w:val="13"/>
          <w:color w:val="auto"/>
        </w:rPr>
        <w:t>Withholding Taxes. Regardless of any action the Company or Participant’s employer (the “</w:t>
      </w:r>
      <w:r>
        <w:rPr>
          <w:rFonts w:ascii="Arial" w:cs="Arial" w:eastAsia="Arial" w:hAnsi="Arial"/>
          <w:sz w:val="13"/>
          <w:szCs w:val="13"/>
          <w:b w:val="1"/>
          <w:bCs w:val="1"/>
          <w:i w:val="1"/>
          <w:iCs w:val="1"/>
          <w:color w:val="auto"/>
        </w:rPr>
        <w:t>Employer</w:t>
      </w:r>
      <w:r>
        <w:rPr>
          <w:rFonts w:ascii="Arial" w:cs="Arial" w:eastAsia="Arial" w:hAnsi="Arial"/>
          <w:sz w:val="13"/>
          <w:szCs w:val="13"/>
          <w:color w:val="auto"/>
        </w:rPr>
        <w:t>”) takes with respect to any or all applicable national, local, or other tax or social contribution, withholding, required deductions, or other payments, if any, that arise upon the grant, vesting, or exercise of this Option, the holding or subsequent sale of Shares, and the receipt of dividends, if any, or otherwise in connection with this Option or the Shares (“</w:t>
      </w:r>
      <w:r>
        <w:rPr>
          <w:rFonts w:ascii="Arial" w:cs="Arial" w:eastAsia="Arial" w:hAnsi="Arial"/>
          <w:sz w:val="13"/>
          <w:szCs w:val="13"/>
          <w:b w:val="1"/>
          <w:bCs w:val="1"/>
          <w:i w:val="1"/>
          <w:iCs w:val="1"/>
          <w:color w:val="auto"/>
        </w:rPr>
        <w:t>Tax- Related Items</w:t>
      </w:r>
      <w:r>
        <w:rPr>
          <w:rFonts w:ascii="Arial" w:cs="Arial" w:eastAsia="Arial" w:hAnsi="Arial"/>
          <w:sz w:val="13"/>
          <w:szCs w:val="13"/>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this Option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exercise of this Option,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Participant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 Related Items in more than one jurisdiction.</w:t>
      </w:r>
    </w:p>
    <w:p>
      <w:pPr>
        <w:spacing w:after="0" w:line="114" w:lineRule="exact"/>
        <w:rPr>
          <w:rFonts w:ascii="Arial" w:cs="Arial" w:eastAsia="Arial" w:hAnsi="Arial"/>
          <w:sz w:val="13"/>
          <w:szCs w:val="13"/>
          <w:color w:val="auto"/>
        </w:rPr>
      </w:pPr>
    </w:p>
    <w:p>
      <w:pPr>
        <w:ind w:firstLine="857"/>
        <w:spacing w:after="0" w:line="340" w:lineRule="auto"/>
        <w:tabs>
          <w:tab w:leader="none" w:pos="1465" w:val="left"/>
        </w:tabs>
        <w:numPr>
          <w:ilvl w:val="1"/>
          <w:numId w:val="23"/>
        </w:numPr>
        <w:rPr>
          <w:rFonts w:ascii="Arial" w:cs="Arial" w:eastAsia="Arial" w:hAnsi="Arial"/>
          <w:sz w:val="14"/>
          <w:szCs w:val="14"/>
          <w:color w:val="auto"/>
        </w:rPr>
      </w:pPr>
      <w:r>
        <w:rPr>
          <w:rFonts w:ascii="Arial" w:cs="Arial" w:eastAsia="Arial" w:hAnsi="Arial"/>
          <w:sz w:val="14"/>
          <w:szCs w:val="14"/>
          <w:u w:val="single" w:color="auto"/>
          <w:color w:val="auto"/>
        </w:rPr>
        <w:t>Satisfaction of Tax-Related Items</w:t>
      </w:r>
      <w:r>
        <w:rPr>
          <w:rFonts w:ascii="Arial" w:cs="Arial" w:eastAsia="Arial" w:hAnsi="Arial"/>
          <w:sz w:val="14"/>
          <w:szCs w:val="14"/>
          <w:color w:val="auto"/>
        </w:rPr>
        <w:t>. As a condition to the grant, vesting and exercise of this Option and as set forth in Section 15 of the Plan, Participant hereby agrees to make adequate provision for the satisfaction of (and will indemnify the Company and any Parent or Subsidiary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80"/>
          </w:cols>
          <w:pgMar w:left="220" w:top="459" w:right="199" w:bottom="1440" w:gutter="0" w:footer="0" w:header="0"/>
        </w:sectPr>
      </w:pPr>
    </w:p>
    <w:bookmarkStart w:id="75" w:name="page76"/>
    <w:bookmarkEnd w:id="75"/>
    <w:p>
      <w:pPr>
        <w:jc w:val="both"/>
        <w:spacing w:after="0" w:line="319" w:lineRule="auto"/>
        <w:rPr>
          <w:sz w:val="20"/>
          <w:szCs w:val="20"/>
          <w:color w:val="auto"/>
        </w:rPr>
      </w:pPr>
      <w:r>
        <w:rPr>
          <w:rFonts w:ascii="Arial" w:cs="Arial" w:eastAsia="Arial" w:hAnsi="Arial"/>
          <w:sz w:val="14"/>
          <w:szCs w:val="14"/>
          <w:color w:val="auto"/>
        </w:rPr>
        <w:t>for) any Tax-Related Items. No payment will be made to Participant (or his or her estate or beneficiary) related to an Option, and no Shares will be issued pursuant to an Option, unless and until satisfactory arrangements (as determined by the Company) have been made by Participant with respect to the payment of any Tax-Related Items obligations of the Company and/or any Parent, Subsidiary, or Employer with respect to the grant, vesting or exercise of the Option. In this regard, Participant authorizes the Company and/or any Parent, Subsidiary, or Employer, or their respective agents, at their discretion, to satisfy the obligations with regard to all Tax-Related Items by one or a combination of the following:</w:t>
      </w:r>
    </w:p>
    <w:p>
      <w:pPr>
        <w:spacing w:after="0" w:line="117" w:lineRule="exact"/>
        <w:rPr>
          <w:sz w:val="20"/>
          <w:szCs w:val="20"/>
          <w:color w:val="auto"/>
        </w:rPr>
      </w:pPr>
    </w:p>
    <w:p>
      <w:pPr>
        <w:ind w:left="1860" w:hanging="571"/>
        <w:spacing w:after="0"/>
        <w:tabs>
          <w:tab w:leader="none" w:pos="18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withholding from Participant’s wages or other cash compensation paid to Participant by the Company or the Employer; or</w:t>
      </w:r>
    </w:p>
    <w:p>
      <w:pPr>
        <w:spacing w:after="0" w:line="190" w:lineRule="exact"/>
        <w:rPr>
          <w:rFonts w:ascii="Arial" w:cs="Arial" w:eastAsia="Arial" w:hAnsi="Arial"/>
          <w:sz w:val="14"/>
          <w:szCs w:val="14"/>
          <w:color w:val="auto"/>
        </w:rPr>
      </w:pPr>
    </w:p>
    <w:p>
      <w:pPr>
        <w:ind w:firstLine="1289"/>
        <w:spacing w:after="0" w:line="340" w:lineRule="auto"/>
        <w:tabs>
          <w:tab w:leader="none" w:pos="19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02" w:lineRule="exact"/>
        <w:rPr>
          <w:rFonts w:ascii="Arial" w:cs="Arial" w:eastAsia="Arial" w:hAnsi="Arial"/>
          <w:sz w:val="14"/>
          <w:szCs w:val="14"/>
          <w:color w:val="auto"/>
        </w:rPr>
      </w:pPr>
    </w:p>
    <w:p>
      <w:pPr>
        <w:ind w:left="1940" w:hanging="651"/>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withholding in Shares to be issued upon exercise of the Option.</w:t>
      </w:r>
    </w:p>
    <w:p>
      <w:pPr>
        <w:spacing w:after="0" w:line="190" w:lineRule="exact"/>
        <w:rPr>
          <w:sz w:val="20"/>
          <w:szCs w:val="20"/>
          <w:color w:val="auto"/>
        </w:rPr>
      </w:pPr>
    </w:p>
    <w:p>
      <w:pPr>
        <w:ind w:right="20" w:firstLine="865"/>
        <w:spacing w:after="0" w:line="324" w:lineRule="auto"/>
        <w:rPr>
          <w:sz w:val="20"/>
          <w:szCs w:val="20"/>
          <w:color w:val="auto"/>
        </w:rPr>
      </w:pPr>
      <w:r>
        <w:rPr>
          <w:rFonts w:ascii="Arial" w:cs="Arial" w:eastAsia="Arial" w:hAnsi="Arial"/>
          <w:sz w:val="14"/>
          <w:szCs w:val="14"/>
          <w:color w:val="auto"/>
        </w:rPr>
        <w:t>Notwithstanding the foregoing, if Participant is subject to Section 16 of the Exchange Act, Participant may direct the Company to withhold Shares to be issued upon exercise of the Option to satisfy Participant’s obligations with regard to all Tax-Related Items and any such disposition of Shares to the Company shall be exempt from Section 16(b) of the Exchange Act pursuant to Rule 16b-3(e).</w:t>
      </w:r>
    </w:p>
    <w:p>
      <w:pPr>
        <w:spacing w:after="0" w:line="114" w:lineRule="exact"/>
        <w:rPr>
          <w:sz w:val="20"/>
          <w:szCs w:val="20"/>
          <w:color w:val="auto"/>
        </w:rPr>
      </w:pPr>
    </w:p>
    <w:p>
      <w:pPr>
        <w:ind w:right="60" w:firstLine="865"/>
        <w:spacing w:after="0" w:line="345" w:lineRule="auto"/>
        <w:rPr>
          <w:sz w:val="20"/>
          <w:szCs w:val="20"/>
          <w:color w:val="auto"/>
        </w:rPr>
      </w:pPr>
      <w:r>
        <w:rPr>
          <w:rFonts w:ascii="Arial" w:cs="Arial" w:eastAsia="Arial" w:hAnsi="Arial"/>
          <w:sz w:val="13"/>
          <w:szCs w:val="13"/>
          <w:color w:val="auto"/>
        </w:rPr>
        <w:t>If the obligation for Tax-Related Items is satisfied by withholding Shares, the Participant is deemed to have been issued the full number of Shares purchased for tax purposes, notwithstanding that a number of Shares is held back solely for the purpose of paying the Tax- Related Items due as a result of the Participant’s participation in the Plan. Participant shall pay to the Company or a Parent, Subsidiary, or Employer any amount of Tax-Related Items that the Company may be required to withhold, pay or otherwise provide for as a result of Participant’s participation in the Plan that cannot be satisfied by one or more of the means previously described in this paragraph 5. 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05" w:lineRule="exact"/>
        <w:rPr>
          <w:sz w:val="20"/>
          <w:szCs w:val="20"/>
          <w:color w:val="auto"/>
        </w:rPr>
      </w:pPr>
    </w:p>
    <w:p>
      <w:pPr>
        <w:ind w:firstLine="857"/>
        <w:spacing w:after="0" w:line="340" w:lineRule="auto"/>
        <w:tabs>
          <w:tab w:leader="none" w:pos="1457"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Notice of Disqualifying Disposition of ISO Shares</w:t>
      </w:r>
      <w:r>
        <w:rPr>
          <w:rFonts w:ascii="Arial" w:cs="Arial" w:eastAsia="Arial" w:hAnsi="Arial"/>
          <w:sz w:val="14"/>
          <w:szCs w:val="14"/>
          <w:color w:val="auto"/>
        </w:rPr>
        <w:t>. If the Option granted to Participant herein is an ISO, and if Participant sells or otherwise disposes of any of the Shares acquired pursuant to the ISO on or before the later of (i) the date two (2) years after the Date of Grant, or (ii)</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80"/>
          </w:cols>
          <w:pgMar w:left="220" w:top="459" w:right="19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the date one (1) year after the date of exercise, Participant will immediately notify the Company in writing of such disposition.</w:t>
      </w:r>
    </w:p>
    <w:p>
      <w:pPr>
        <w:spacing w:after="0" w:line="190" w:lineRule="exact"/>
        <w:rPr>
          <w:sz w:val="20"/>
          <w:szCs w:val="20"/>
          <w:color w:val="auto"/>
        </w:rPr>
      </w:pPr>
    </w:p>
    <w:p>
      <w:pPr>
        <w:jc w:val="both"/>
        <w:ind w:firstLine="857"/>
        <w:spacing w:after="0" w:line="314" w:lineRule="auto"/>
        <w:tabs>
          <w:tab w:leader="none" w:pos="1465" w:val="left"/>
        </w:tabs>
        <w:numPr>
          <w:ilvl w:val="1"/>
          <w:numId w:val="26"/>
        </w:numPr>
        <w:rPr>
          <w:rFonts w:ascii="Arial" w:cs="Arial" w:eastAsia="Arial" w:hAnsi="Arial"/>
          <w:sz w:val="14"/>
          <w:szCs w:val="14"/>
          <w:color w:val="auto"/>
        </w:rPr>
      </w:pPr>
      <w:r>
        <w:rPr>
          <w:rFonts w:ascii="Arial" w:cs="Arial" w:eastAsia="Arial" w:hAnsi="Arial"/>
          <w:sz w:val="14"/>
          <w:szCs w:val="14"/>
          <w:u w:val="single" w:color="auto"/>
          <w:color w:val="auto"/>
        </w:rPr>
        <w:t>Code Section 409A (Applicable Only to Participants Subject to U.S. Taxes)</w:t>
      </w:r>
      <w:r>
        <w:rPr>
          <w:rFonts w:ascii="Arial" w:cs="Arial" w:eastAsia="Arial" w:hAnsi="Arial"/>
          <w:sz w:val="14"/>
          <w:szCs w:val="14"/>
          <w:color w:val="auto"/>
        </w:rPr>
        <w:t>. Under Code Section 409A, an option that is granted with a per Share exercise price that is determined by the Internal Revenue Service (the “</w:t>
      </w:r>
      <w:r>
        <w:rPr>
          <w:rFonts w:ascii="Arial" w:cs="Arial" w:eastAsia="Arial" w:hAnsi="Arial"/>
          <w:sz w:val="14"/>
          <w:szCs w:val="14"/>
          <w:b w:val="1"/>
          <w:bCs w:val="1"/>
          <w:i w:val="1"/>
          <w:iCs w:val="1"/>
          <w:color w:val="auto"/>
        </w:rPr>
        <w:t>IRS</w:t>
      </w:r>
      <w:r>
        <w:rPr>
          <w:rFonts w:ascii="Arial" w:cs="Arial" w:eastAsia="Arial" w:hAnsi="Arial"/>
          <w:sz w:val="14"/>
          <w:szCs w:val="14"/>
          <w:color w:val="auto"/>
        </w:rPr>
        <w:t>”) to be less than the Fair Market Value of a Share on the date of grant (a “</w:t>
      </w:r>
      <w:r>
        <w:rPr>
          <w:rFonts w:ascii="Arial" w:cs="Arial" w:eastAsia="Arial" w:hAnsi="Arial"/>
          <w:sz w:val="14"/>
          <w:szCs w:val="14"/>
          <w:b w:val="1"/>
          <w:bCs w:val="1"/>
          <w:i w:val="1"/>
          <w:iCs w:val="1"/>
          <w:color w:val="auto"/>
        </w:rPr>
        <w:t>Discount Option</w:t>
      </w:r>
      <w:r>
        <w:rPr>
          <w:rFonts w:ascii="Arial" w:cs="Arial" w:eastAsia="Arial" w:hAnsi="Arial"/>
          <w:sz w:val="14"/>
          <w:szCs w:val="14"/>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19" w:lineRule="exact"/>
        <w:rPr>
          <w:rFonts w:ascii="Arial" w:cs="Arial" w:eastAsia="Arial" w:hAnsi="Arial"/>
          <w:sz w:val="14"/>
          <w:szCs w:val="14"/>
          <w:color w:val="auto"/>
        </w:rPr>
      </w:pPr>
    </w:p>
    <w:p>
      <w:pPr>
        <w:jc w:val="both"/>
        <w:ind w:firstLine="424"/>
        <w:spacing w:after="0" w:line="319" w:lineRule="auto"/>
        <w:tabs>
          <w:tab w:leader="none" w:pos="973"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Neither Participant nor any person claiming under or through Participant will have any of the rights or privileges of a stockholder of the Company in respect of any Shares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116" w:lineRule="exact"/>
        <w:rPr>
          <w:rFonts w:ascii="Arial" w:cs="Arial" w:eastAsia="Arial" w:hAnsi="Arial"/>
          <w:sz w:val="14"/>
          <w:szCs w:val="14"/>
          <w:color w:val="auto"/>
        </w:rPr>
      </w:pPr>
    </w:p>
    <w:p>
      <w:pPr>
        <w:ind w:right="60" w:firstLine="424"/>
        <w:spacing w:after="0" w:line="314" w:lineRule="auto"/>
        <w:tabs>
          <w:tab w:leader="none" w:pos="973"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 or Grants</w:t>
      </w:r>
      <w:r>
        <w:rPr>
          <w:rFonts w:ascii="Arial" w:cs="Arial" w:eastAsia="Arial" w:hAnsi="Arial"/>
          <w:sz w:val="14"/>
          <w:szCs w:val="14"/>
          <w:color w:val="auto"/>
        </w:rPr>
        <w:t>. PARTICIPANT ACKNOWLEDGES AND AGREES THAT THE VESTING OF SHARES PURSUANT TO THE VESTING SCHEDULE HEREOF SHALL OCCUR ONLY BY CONTINUING AS A SERVICE PROVIDER AT THE WILL OF THE EMPLOYER OR CONTRACTING ENTITY (AS APPLICABLE) AND NOT THROUGH THE ACT OF BEING HIRED, BEING GRANTED THE OPTION OR ACQUIRING SHARES HEREUNDER.PARTICIPANT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PARENT, OR SUBSIDIARY TO TERMINATE PARTICIPANT’S RELATIONSHIP AS A SERVICE PROVIDER AT ANY TIME, WITH OR WITHOUT CAUSE (SUBJECT TO APPLICABLE LOCAL LAWS).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80"/>
          </w:cols>
          <w:pgMar w:left="220" w:top="458" w:right="199" w:bottom="1440" w:gutter="0" w:footer="0" w:header="0"/>
        </w:sectPr>
      </w:pPr>
    </w:p>
    <w:bookmarkStart w:id="77" w:name="page78"/>
    <w:bookmarkEnd w:id="77"/>
    <w:p>
      <w:pPr>
        <w:ind w:left="960" w:hanging="536"/>
        <w:spacing w:after="0"/>
        <w:tabs>
          <w:tab w:leader="none" w:pos="960"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the Option, Participant acknowledges, understands and agrees that:</w:t>
      </w:r>
    </w:p>
    <w:p>
      <w:pPr>
        <w:spacing w:after="0" w:line="190" w:lineRule="exact"/>
        <w:rPr>
          <w:rFonts w:ascii="Arial" w:cs="Arial" w:eastAsia="Arial" w:hAnsi="Arial"/>
          <w:sz w:val="14"/>
          <w:szCs w:val="14"/>
          <w:color w:val="auto"/>
        </w:rPr>
      </w:pPr>
    </w:p>
    <w:p>
      <w:pPr>
        <w:ind w:left="1440" w:hanging="583"/>
        <w:spacing w:after="0"/>
        <w:tabs>
          <w:tab w:leader="none" w:pos="14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the Plan is established voluntarily by the Company, it is discretionary in nature and it may be modified, amended, suspended or terminated by the Company at any time;</w:t>
      </w:r>
    </w:p>
    <w:p>
      <w:pPr>
        <w:spacing w:after="0" w:line="201" w:lineRule="exact"/>
        <w:rPr>
          <w:rFonts w:ascii="Arial" w:cs="Arial" w:eastAsia="Arial" w:hAnsi="Arial"/>
          <w:sz w:val="13"/>
          <w:szCs w:val="13"/>
          <w:color w:val="auto"/>
        </w:rPr>
      </w:pPr>
    </w:p>
    <w:p>
      <w:pPr>
        <w:ind w:firstLine="857"/>
        <w:spacing w:after="0" w:line="340" w:lineRule="auto"/>
        <w:tabs>
          <w:tab w:leader="none" w:pos="1465"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02" w:lineRule="exact"/>
        <w:rPr>
          <w:rFonts w:ascii="Arial" w:cs="Arial" w:eastAsia="Arial" w:hAnsi="Arial"/>
          <w:sz w:val="14"/>
          <w:szCs w:val="14"/>
          <w:color w:val="auto"/>
        </w:rPr>
      </w:pPr>
    </w:p>
    <w:p>
      <w:pPr>
        <w:ind w:left="1440" w:hanging="583"/>
        <w:spacing w:after="0"/>
        <w:tabs>
          <w:tab w:leader="none" w:pos="14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decisions with respect to future awards of Options, if any, will be at the sole discretion of the Company;</w:t>
      </w:r>
    </w:p>
    <w:p>
      <w:pPr>
        <w:spacing w:after="0" w:line="190" w:lineRule="exact"/>
        <w:rPr>
          <w:rFonts w:ascii="Arial" w:cs="Arial" w:eastAsia="Arial" w:hAnsi="Arial"/>
          <w:sz w:val="14"/>
          <w:szCs w:val="14"/>
          <w:color w:val="auto"/>
        </w:rPr>
      </w:pPr>
    </w:p>
    <w:p>
      <w:pPr>
        <w:ind w:left="1460" w:hanging="603"/>
        <w:spacing w:after="0"/>
        <w:tabs>
          <w:tab w:leader="none" w:pos="14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Participant’s participation in the Plan is voluntary;</w:t>
      </w:r>
    </w:p>
    <w:p>
      <w:pPr>
        <w:spacing w:after="0" w:line="190" w:lineRule="exact"/>
        <w:rPr>
          <w:rFonts w:ascii="Arial" w:cs="Arial" w:eastAsia="Arial" w:hAnsi="Arial"/>
          <w:sz w:val="14"/>
          <w:szCs w:val="14"/>
          <w:color w:val="auto"/>
        </w:rPr>
      </w:pPr>
    </w:p>
    <w:p>
      <w:pPr>
        <w:ind w:firstLine="857"/>
        <w:spacing w:after="0" w:line="340" w:lineRule="auto"/>
        <w:tabs>
          <w:tab w:leader="none" w:pos="1457"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Option and the Shares subject to the Option are extraordinary items that do not constitute regular compensation for services rendered to the Company or the Employer, and that are outside the scope of Participant’s employment contract, if any;</w:t>
      </w:r>
    </w:p>
    <w:p>
      <w:pPr>
        <w:spacing w:after="0" w:line="102" w:lineRule="exact"/>
        <w:rPr>
          <w:rFonts w:ascii="Arial" w:cs="Arial" w:eastAsia="Arial" w:hAnsi="Arial"/>
          <w:sz w:val="14"/>
          <w:szCs w:val="14"/>
          <w:color w:val="auto"/>
        </w:rPr>
      </w:pPr>
    </w:p>
    <w:p>
      <w:pPr>
        <w:ind w:left="1440" w:hanging="583"/>
        <w:spacing w:after="0"/>
        <w:tabs>
          <w:tab w:leader="none" w:pos="14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Option and the Shares subject to the Option are not intended to replace any pension rights or compensation;</w:t>
      </w:r>
    </w:p>
    <w:p>
      <w:pPr>
        <w:spacing w:after="0" w:line="190" w:lineRule="exact"/>
        <w:rPr>
          <w:rFonts w:ascii="Arial" w:cs="Arial" w:eastAsia="Arial" w:hAnsi="Arial"/>
          <w:sz w:val="14"/>
          <w:szCs w:val="14"/>
          <w:color w:val="auto"/>
        </w:rPr>
      </w:pPr>
    </w:p>
    <w:p>
      <w:pPr>
        <w:jc w:val="both"/>
        <w:ind w:firstLine="857"/>
        <w:spacing w:after="0" w:line="324" w:lineRule="auto"/>
        <w:tabs>
          <w:tab w:leader="none" w:pos="1465"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Option and the Shares subject to the Option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113" w:lineRule="exact"/>
        <w:rPr>
          <w:rFonts w:ascii="Arial" w:cs="Arial" w:eastAsia="Arial" w:hAnsi="Arial"/>
          <w:sz w:val="14"/>
          <w:szCs w:val="14"/>
          <w:color w:val="auto"/>
        </w:rPr>
      </w:pPr>
    </w:p>
    <w:p>
      <w:pPr>
        <w:ind w:right="20" w:firstLine="857"/>
        <w:spacing w:after="0" w:line="340" w:lineRule="auto"/>
        <w:tabs>
          <w:tab w:leader="none" w:pos="1465"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02" w:lineRule="exact"/>
        <w:rPr>
          <w:rFonts w:ascii="Arial" w:cs="Arial" w:eastAsia="Arial" w:hAnsi="Arial"/>
          <w:sz w:val="14"/>
          <w:szCs w:val="14"/>
          <w:color w:val="auto"/>
        </w:rPr>
      </w:pPr>
    </w:p>
    <w:p>
      <w:pPr>
        <w:jc w:val="both"/>
        <w:ind w:firstLine="857"/>
        <w:spacing w:after="0" w:line="324" w:lineRule="auto"/>
        <w:tabs>
          <w:tab w:leader="none" w:pos="1433" w:val="left"/>
        </w:tabs>
        <w:numPr>
          <w:ilvl w:val="1"/>
          <w:numId w:val="28"/>
        </w:numPr>
        <w:rPr>
          <w:rFonts w:ascii="Arial" w:cs="Arial" w:eastAsia="Arial" w:hAnsi="Arial"/>
          <w:sz w:val="14"/>
          <w:szCs w:val="14"/>
          <w:color w:val="auto"/>
        </w:rPr>
      </w:pPr>
      <w:r>
        <w:rPr>
          <w:rFonts w:ascii="Arial" w:cs="Arial" w:eastAsia="Arial" w:hAnsi="Arial"/>
          <w:sz w:val="14"/>
          <w:szCs w:val="14"/>
          <w:color w:val="auto"/>
        </w:rPr>
        <w:t>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Option (or the calculation of income or Tax-Related Items thereunder);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458" w:right="199" w:bottom="1440" w:gutter="0" w:footer="0" w:header="0"/>
        </w:sectPr>
      </w:pPr>
    </w:p>
    <w:bookmarkStart w:id="78" w:name="page79"/>
    <w:bookmarkEnd w:id="78"/>
    <w:p>
      <w:pPr>
        <w:jc w:val="both"/>
        <w:ind w:firstLine="857"/>
        <w:spacing w:after="0" w:line="319" w:lineRule="auto"/>
        <w:tabs>
          <w:tab w:leader="none" w:pos="1433" w:val="left"/>
        </w:tabs>
        <w:numPr>
          <w:ilvl w:val="1"/>
          <w:numId w:val="29"/>
        </w:numPr>
        <w:rPr>
          <w:rFonts w:ascii="Arial" w:cs="Arial" w:eastAsia="Arial" w:hAnsi="Arial"/>
          <w:sz w:val="14"/>
          <w:szCs w:val="14"/>
          <w:color w:val="auto"/>
        </w:rPr>
      </w:pPr>
      <w:r>
        <w:rPr>
          <w:rFonts w:ascii="Arial" w:cs="Arial" w:eastAsia="Arial" w:hAnsi="Arial"/>
          <w:sz w:val="14"/>
          <w:szCs w:val="14"/>
          <w:color w:val="auto"/>
        </w:rPr>
        <w:t>in consideration of the grant of the Option, no claim or entitlement to compensation or damages shall arise from forfeiture of the Option resulting from termination of employment by the Employer (for any reason whatsoever and whether or not in breach of Applicable Laws, including, without limitation, applicable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16" w:lineRule="exact"/>
        <w:rPr>
          <w:rFonts w:ascii="Arial" w:cs="Arial" w:eastAsia="Arial" w:hAnsi="Arial"/>
          <w:sz w:val="14"/>
          <w:szCs w:val="14"/>
          <w:color w:val="auto"/>
        </w:rPr>
      </w:pPr>
    </w:p>
    <w:p>
      <w:pPr>
        <w:ind w:left="1460" w:hanging="603"/>
        <w:spacing w:after="0"/>
        <w:tabs>
          <w:tab w:leader="none" w:pos="14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Option and the benefits under the Plan, if any, will not automatically transfer to another company in the case of a merger, take-over or transfer of liability.</w:t>
      </w:r>
    </w:p>
    <w:p>
      <w:pPr>
        <w:spacing w:after="0" w:line="190" w:lineRule="exact"/>
        <w:rPr>
          <w:rFonts w:ascii="Arial" w:cs="Arial" w:eastAsia="Arial" w:hAnsi="Arial"/>
          <w:sz w:val="14"/>
          <w:szCs w:val="14"/>
          <w:color w:val="auto"/>
        </w:rPr>
      </w:pPr>
    </w:p>
    <w:p>
      <w:pPr>
        <w:jc w:val="both"/>
        <w:ind w:firstLine="424"/>
        <w:spacing w:after="0" w:line="324" w:lineRule="auto"/>
        <w:tabs>
          <w:tab w:leader="none" w:pos="973" w:val="left"/>
        </w:tabs>
        <w:numPr>
          <w:ilvl w:val="0"/>
          <w:numId w:val="30"/>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13" w:lineRule="exact"/>
        <w:rPr>
          <w:rFonts w:ascii="Arial" w:cs="Arial" w:eastAsia="Arial" w:hAnsi="Arial"/>
          <w:sz w:val="14"/>
          <w:szCs w:val="14"/>
          <w:color w:val="auto"/>
        </w:rPr>
      </w:pPr>
    </w:p>
    <w:p>
      <w:pPr>
        <w:ind w:right="160" w:firstLine="424"/>
        <w:spacing w:after="0" w:line="350" w:lineRule="auto"/>
        <w:tabs>
          <w:tab w:leader="none" w:pos="1045" w:val="left"/>
        </w:tabs>
        <w:numPr>
          <w:ilvl w:val="0"/>
          <w:numId w:val="3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Data Privacy. Participant hereby explicitly and unambiguously consents to the collection, use and transfer, in 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Option.</w:t>
      </w:r>
    </w:p>
    <w:p>
      <w:pPr>
        <w:spacing w:after="0" w:line="101"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4"/>
          <w:szCs w:val="14"/>
          <w:b w:val="1"/>
          <w:bCs w:val="1"/>
          <w:i w:val="1"/>
          <w:iCs w:val="1"/>
          <w:color w:val="auto"/>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Options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80"/>
          </w:cols>
          <w:pgMar w:left="220" w:top="458" w:right="19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i w:val="1"/>
          <w:iCs w:val="1"/>
          <w:color w:val="auto"/>
        </w:rPr>
        <w:t>legal counsel and tax/accounting advisor, and to the affiliate or entity that is Participant’s employer and its payroll provider.</w:t>
      </w:r>
    </w:p>
    <w:p>
      <w:pPr>
        <w:spacing w:after="0" w:line="190" w:lineRule="exact"/>
        <w:rPr>
          <w:sz w:val="20"/>
          <w:szCs w:val="20"/>
          <w:color w:val="auto"/>
        </w:rPr>
      </w:pPr>
    </w:p>
    <w:p>
      <w:pPr>
        <w:ind w:firstLine="432"/>
        <w:spacing w:after="0" w:line="340" w:lineRule="auto"/>
        <w:rPr>
          <w:sz w:val="20"/>
          <w:szCs w:val="20"/>
          <w:color w:val="auto"/>
        </w:rPr>
      </w:pPr>
      <w:r>
        <w:rPr>
          <w:rFonts w:ascii="Arial" w:cs="Arial" w:eastAsia="Arial" w:hAnsi="Arial"/>
          <w:sz w:val="14"/>
          <w:szCs w:val="14"/>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102" w:lineRule="exact"/>
        <w:rPr>
          <w:sz w:val="20"/>
          <w:szCs w:val="20"/>
          <w:color w:val="auto"/>
        </w:rPr>
      </w:pPr>
    </w:p>
    <w:p>
      <w:pPr>
        <w:ind w:right="180" w:firstLine="424"/>
        <w:spacing w:after="0" w:line="340" w:lineRule="auto"/>
        <w:tabs>
          <w:tab w:leader="none" w:pos="1040"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Any notice to be given to the Company under the terms of this Award Agreement will be addressed to the Company, in care of its Secretary at Beyond Meat, Inc., 119 Standard Street, El Segundo, California 90245, or at such other address as the Company may hereafter designate in writing.</w:t>
      </w:r>
    </w:p>
    <w:p>
      <w:pPr>
        <w:spacing w:after="0" w:line="102" w:lineRule="exact"/>
        <w:rPr>
          <w:rFonts w:ascii="Arial" w:cs="Arial" w:eastAsia="Arial" w:hAnsi="Arial"/>
          <w:sz w:val="14"/>
          <w:szCs w:val="14"/>
          <w:color w:val="auto"/>
        </w:rPr>
      </w:pPr>
    </w:p>
    <w:p>
      <w:pPr>
        <w:ind w:firstLine="424"/>
        <w:spacing w:after="0" w:line="340" w:lineRule="auto"/>
        <w:tabs>
          <w:tab w:leader="none" w:pos="1045"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Non-Transferability of Option</w:t>
      </w:r>
      <w:r>
        <w:rPr>
          <w:rFonts w:ascii="Arial" w:cs="Arial" w:eastAsia="Arial" w:hAnsi="Arial"/>
          <w:sz w:val="14"/>
          <w:szCs w:val="14"/>
          <w:color w:val="auto"/>
        </w:rPr>
        <w:t>. This Option may not be transferred in any manner otherwise than by will or by the laws of descent or distribution and may be exercised during the lifetime of Participant only by Participant.</w:t>
      </w:r>
    </w:p>
    <w:p>
      <w:pPr>
        <w:spacing w:after="0" w:line="102" w:lineRule="exact"/>
        <w:rPr>
          <w:rFonts w:ascii="Arial" w:cs="Arial" w:eastAsia="Arial" w:hAnsi="Arial"/>
          <w:sz w:val="14"/>
          <w:szCs w:val="14"/>
          <w:color w:val="auto"/>
        </w:rPr>
      </w:pPr>
    </w:p>
    <w:p>
      <w:pPr>
        <w:ind w:firstLine="424"/>
        <w:spacing w:after="0" w:line="340" w:lineRule="auto"/>
        <w:tabs>
          <w:tab w:leader="none" w:pos="1045"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Binding Agreement</w:t>
      </w:r>
      <w:r>
        <w:rPr>
          <w:rFonts w:ascii="Arial" w:cs="Arial" w:eastAsia="Arial" w:hAnsi="Arial"/>
          <w:sz w:val="14"/>
          <w:szCs w:val="14"/>
          <w:color w:val="auto"/>
        </w:rPr>
        <w:t>. Subject to the limitation on the transferability of this Option contained herein, this Award Agreement will be binding upon and inure to the benefit of the heirs, legatees, legal representatives, successors and assigns of the parties hereto.</w:t>
      </w:r>
    </w:p>
    <w:p>
      <w:pPr>
        <w:spacing w:after="0" w:line="102" w:lineRule="exact"/>
        <w:rPr>
          <w:rFonts w:ascii="Arial" w:cs="Arial" w:eastAsia="Arial" w:hAnsi="Arial"/>
          <w:sz w:val="14"/>
          <w:szCs w:val="14"/>
          <w:color w:val="auto"/>
        </w:rPr>
      </w:pPr>
    </w:p>
    <w:p>
      <w:pPr>
        <w:jc w:val="both"/>
        <w:ind w:firstLine="424"/>
        <w:spacing w:after="0" w:line="341" w:lineRule="auto"/>
        <w:tabs>
          <w:tab w:leader="none" w:pos="1045"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grant or vesting of the Option or purchase by, or issuance of Shares to, Participant (or his or her estate) hereunder, such purchase or issuance will not occur unless and until such listing, registration, qualification, compliance, consent or approval will have been completed, effected or obtained free of any conditions not acceptable to the Company. The Company will make all reasonable efforts to meet the requirements of any Applicable Laws. Assuming such compliance, for purposes of the Tax-Related Items, the Exercised Shares will be considered transferred to Participant on the date the Option is exercised with respect to such Exercised Shares. The Company shall not be obligated to issue any Shares pursuant to this Option at any time if the issuance of Shares, or the exercise of an Option by Participant, violates or is not in compliance with any Applicable Laws.</w:t>
      </w:r>
    </w:p>
    <w:p>
      <w:pPr>
        <w:spacing w:after="0" w:line="107" w:lineRule="exact"/>
        <w:rPr>
          <w:rFonts w:ascii="Arial" w:cs="Arial" w:eastAsia="Arial" w:hAnsi="Arial"/>
          <w:sz w:val="13"/>
          <w:szCs w:val="13"/>
          <w:color w:val="auto"/>
        </w:rPr>
      </w:pPr>
    </w:p>
    <w:p>
      <w:pPr>
        <w:jc w:val="both"/>
        <w:ind w:firstLine="424"/>
        <w:spacing w:after="0" w:line="324" w:lineRule="auto"/>
        <w:tabs>
          <w:tab w:leader="none" w:pos="1045"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Lock-Up Agreement</w:t>
      </w:r>
      <w:r>
        <w:rPr>
          <w:rFonts w:ascii="Arial" w:cs="Arial" w:eastAsia="Arial" w:hAnsi="Arial"/>
          <w:sz w:val="14"/>
          <w:szCs w:val="14"/>
          <w:color w:val="auto"/>
        </w:rPr>
        <w:t>. In connection with the initial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80"/>
          </w:cols>
          <w:pgMar w:left="220" w:top="458" w:right="199" w:bottom="1440" w:gutter="0" w:footer="0" w:header="0"/>
        </w:sectPr>
      </w:pPr>
    </w:p>
    <w:bookmarkStart w:id="80" w:name="page81"/>
    <w:bookmarkEnd w:id="80"/>
    <w:p>
      <w:pPr>
        <w:jc w:val="both"/>
        <w:spacing w:after="0" w:line="312" w:lineRule="auto"/>
        <w:rPr>
          <w:sz w:val="20"/>
          <w:szCs w:val="20"/>
          <w:color w:val="auto"/>
        </w:rPr>
      </w:pPr>
      <w:r>
        <w:rPr>
          <w:rFonts w:ascii="Arial" w:cs="Arial" w:eastAsia="Arial" w:hAnsi="Arial"/>
          <w:sz w:val="14"/>
          <w:szCs w:val="14"/>
          <w:color w:val="auto"/>
        </w:rPr>
        <w:t>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Participant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Award Agreement until the end of the applicable stand- off period. The Company’s underwriters shall be beneficiaries of the agreement set forth in this Section.</w:t>
      </w:r>
    </w:p>
    <w:p>
      <w:pPr>
        <w:spacing w:after="0" w:line="121" w:lineRule="exact"/>
        <w:rPr>
          <w:sz w:val="20"/>
          <w:szCs w:val="20"/>
          <w:color w:val="auto"/>
        </w:rPr>
      </w:pPr>
    </w:p>
    <w:p>
      <w:pPr>
        <w:jc w:val="both"/>
        <w:ind w:firstLine="865"/>
        <w:spacing w:after="0" w:line="345" w:lineRule="auto"/>
        <w:rPr>
          <w:sz w:val="20"/>
          <w:szCs w:val="20"/>
          <w:color w:val="auto"/>
        </w:rPr>
      </w:pPr>
      <w:r>
        <w:rPr>
          <w:rFonts w:ascii="Arial" w:cs="Arial" w:eastAsia="Arial" w:hAnsi="Arial"/>
          <w:sz w:val="13"/>
          <w:szCs w:val="13"/>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spacing w:after="0" w:line="105" w:lineRule="exact"/>
        <w:rPr>
          <w:sz w:val="20"/>
          <w:szCs w:val="20"/>
          <w:color w:val="auto"/>
        </w:rPr>
      </w:pPr>
    </w:p>
    <w:p>
      <w:pPr>
        <w:ind w:firstLine="424"/>
        <w:spacing w:after="0" w:line="385" w:lineRule="auto"/>
        <w:tabs>
          <w:tab w:leader="none" w:pos="1045"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Plan Governs.</w:t>
      </w:r>
      <w:r>
        <w:rPr>
          <w:rFonts w:ascii="Arial" w:cs="Arial" w:eastAsia="Arial" w:hAnsi="Arial"/>
          <w:sz w:val="13"/>
          <w:szCs w:val="13"/>
          <w:color w:val="auto"/>
        </w:rPr>
        <w:t xml:space="preserve">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80"/>
          </w:cols>
          <w:pgMar w:left="220" w:top="458" w:right="199" w:bottom="1440" w:gutter="0" w:footer="0" w:header="0"/>
        </w:sectPr>
      </w:pPr>
    </w:p>
    <w:bookmarkStart w:id="81" w:name="page82"/>
    <w:bookmarkEnd w:id="81"/>
    <w:p>
      <w:pPr>
        <w:jc w:val="both"/>
        <w:ind w:firstLine="424"/>
        <w:spacing w:after="0" w:line="350" w:lineRule="auto"/>
        <w:tabs>
          <w:tab w:leader="none" w:pos="104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Administrator Authority</w:t>
      </w:r>
      <w:r>
        <w:rPr>
          <w:rFonts w:ascii="Arial" w:cs="Arial" w:eastAsia="Arial" w:hAnsi="Arial"/>
          <w:sz w:val="13"/>
          <w:szCs w:val="13"/>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00" w:lineRule="exact"/>
        <w:rPr>
          <w:rFonts w:ascii="Arial" w:cs="Arial" w:eastAsia="Arial" w:hAnsi="Arial"/>
          <w:sz w:val="13"/>
          <w:szCs w:val="13"/>
          <w:color w:val="auto"/>
        </w:rPr>
      </w:pPr>
    </w:p>
    <w:p>
      <w:pPr>
        <w:jc w:val="both"/>
        <w:ind w:firstLine="424"/>
        <w:spacing w:after="0" w:line="316" w:lineRule="auto"/>
        <w:tabs>
          <w:tab w:leader="none" w:pos="1045"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Company may, in its sole discretion, decide to deliver any documents related to Participant’s current or future participation in the Plan, this Option, the Shares subject to this Option, any other securities of the Company or any other Company-related documents, by electronic means. By accepting this Option,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20" w:lineRule="exact"/>
        <w:rPr>
          <w:rFonts w:ascii="Arial" w:cs="Arial" w:eastAsia="Arial" w:hAnsi="Arial"/>
          <w:sz w:val="14"/>
          <w:szCs w:val="14"/>
          <w:color w:val="auto"/>
        </w:rPr>
      </w:pPr>
    </w:p>
    <w:p>
      <w:pPr>
        <w:ind w:right="60" w:firstLine="424"/>
        <w:spacing w:after="0" w:line="340" w:lineRule="auto"/>
        <w:tabs>
          <w:tab w:leader="none" w:pos="1045"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Translation</w:t>
      </w:r>
      <w:r>
        <w:rPr>
          <w:rFonts w:ascii="Arial" w:cs="Arial" w:eastAsia="Arial" w:hAnsi="Arial"/>
          <w:sz w:val="14"/>
          <w:szCs w:val="14"/>
          <w:color w:val="auto"/>
        </w:rPr>
        <w:t>. If Participant has received this Award Agreement, including appendices, or any other document related to the Plan translated into a language other than English,and the meaning of the translated version is different than the English version, the English version will control.</w:t>
      </w:r>
    </w:p>
    <w:p>
      <w:pPr>
        <w:spacing w:after="0" w:line="102" w:lineRule="exact"/>
        <w:rPr>
          <w:rFonts w:ascii="Arial" w:cs="Arial" w:eastAsia="Arial" w:hAnsi="Arial"/>
          <w:sz w:val="14"/>
          <w:szCs w:val="14"/>
          <w:color w:val="auto"/>
        </w:rPr>
      </w:pPr>
    </w:p>
    <w:p>
      <w:pPr>
        <w:jc w:val="both"/>
        <w:ind w:firstLine="424"/>
        <w:spacing w:after="0" w:line="313" w:lineRule="auto"/>
        <w:tabs>
          <w:tab w:leader="none" w:pos="1045"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Imposition of Other Requirements</w:t>
      </w:r>
      <w:r>
        <w:rPr>
          <w:rFonts w:ascii="Arial" w:cs="Arial" w:eastAsia="Arial" w:hAnsi="Arial"/>
          <w:sz w:val="14"/>
          <w:szCs w:val="14"/>
          <w:color w:val="auto"/>
        </w:rPr>
        <w:t>. The Company reserves the right to impose other requirements on Participant’s participation in the Plan, on the Option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vesting, and/or exercise of this Option or the holding or disposition of Shares (including any rules or regulations governing securities, foreign exchange, tax, labor or other matters) may restrict or prevent exercise of this Option or may subject Participant to additional procedural or regulatory requirements he or she is solely responsible for and will have to independently fulfill in relation to this Option or the Shares. Notwithstanding any provision herein, this Option and any Shares shall be subject to any special terms and conditions or disclosures as set forth in any addendum for Participant’s country (the “Country-Specific Addendum,” which forms part this Award Agreement). Participant also understands and agrees that if he works, resides, moves to, or otherwise is or becomes subject 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80"/>
          </w:cols>
          <w:pgMar w:left="220" w:top="458" w:right="199" w:bottom="1440" w:gutter="0" w:footer="0" w:header="0"/>
        </w:sectPr>
      </w:pPr>
    </w:p>
    <w:bookmarkStart w:id="82" w:name="page83"/>
    <w:bookmarkEnd w:id="82"/>
    <w:p>
      <w:pPr>
        <w:spacing w:after="0" w:line="340" w:lineRule="auto"/>
        <w:rPr>
          <w:sz w:val="20"/>
          <w:szCs w:val="20"/>
          <w:color w:val="auto"/>
        </w:rPr>
      </w:pPr>
      <w:r>
        <w:rPr>
          <w:rFonts w:ascii="Arial" w:cs="Arial" w:eastAsia="Arial" w:hAnsi="Arial"/>
          <w:sz w:val="14"/>
          <w:szCs w:val="14"/>
          <w:color w:val="auto"/>
        </w:rPr>
        <w:t>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02" w:lineRule="exact"/>
        <w:rPr>
          <w:sz w:val="20"/>
          <w:szCs w:val="20"/>
          <w:color w:val="auto"/>
        </w:rPr>
      </w:pPr>
    </w:p>
    <w:p>
      <w:pPr>
        <w:ind w:left="1040" w:hanging="616"/>
        <w:spacing w:after="0"/>
        <w:tabs>
          <w:tab w:leader="none" w:pos="1040"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Award Agreement.</w:t>
      </w:r>
    </w:p>
    <w:p>
      <w:pPr>
        <w:spacing w:after="0" w:line="190" w:lineRule="exact"/>
        <w:rPr>
          <w:rFonts w:ascii="Arial" w:cs="Arial" w:eastAsia="Arial" w:hAnsi="Arial"/>
          <w:sz w:val="14"/>
          <w:szCs w:val="14"/>
          <w:color w:val="auto"/>
        </w:rPr>
      </w:pPr>
    </w:p>
    <w:p>
      <w:pPr>
        <w:ind w:right="20" w:firstLine="424"/>
        <w:spacing w:after="0" w:line="340" w:lineRule="auto"/>
        <w:tabs>
          <w:tab w:leader="none" w:pos="1045"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Agreement Severable</w:t>
      </w:r>
      <w:r>
        <w:rPr>
          <w:rFonts w:ascii="Arial" w:cs="Arial" w:eastAsia="Arial" w:hAnsi="Arial"/>
          <w:sz w:val="14"/>
          <w:szCs w:val="14"/>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02" w:lineRule="exact"/>
        <w:rPr>
          <w:rFonts w:ascii="Arial" w:cs="Arial" w:eastAsia="Arial" w:hAnsi="Arial"/>
          <w:sz w:val="14"/>
          <w:szCs w:val="14"/>
          <w:color w:val="auto"/>
        </w:rPr>
      </w:pPr>
    </w:p>
    <w:p>
      <w:pPr>
        <w:jc w:val="both"/>
        <w:ind w:firstLine="424"/>
        <w:spacing w:after="0" w:line="316" w:lineRule="auto"/>
        <w:tabs>
          <w:tab w:leader="none" w:pos="1045"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Modifications to the Agreement</w:t>
      </w:r>
      <w:r>
        <w:rPr>
          <w:rFonts w:ascii="Arial" w:cs="Arial" w:eastAsia="Arial" w:hAnsi="Arial"/>
          <w:sz w:val="14"/>
          <w:szCs w:val="14"/>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Option.</w:t>
      </w:r>
    </w:p>
    <w:p>
      <w:pPr>
        <w:spacing w:after="0" w:line="120" w:lineRule="exact"/>
        <w:rPr>
          <w:rFonts w:ascii="Arial" w:cs="Arial" w:eastAsia="Arial" w:hAnsi="Arial"/>
          <w:sz w:val="14"/>
          <w:szCs w:val="14"/>
          <w:color w:val="auto"/>
        </w:rPr>
      </w:pPr>
    </w:p>
    <w:p>
      <w:pPr>
        <w:ind w:firstLine="424"/>
        <w:spacing w:after="0" w:line="385" w:lineRule="auto"/>
        <w:tabs>
          <w:tab w:leader="none" w:pos="1045"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Amendment, Suspension or Termination of the Plan</w:t>
      </w:r>
      <w:r>
        <w:rPr>
          <w:rFonts w:ascii="Arial" w:cs="Arial" w:eastAsia="Arial" w:hAnsi="Arial"/>
          <w:sz w:val="13"/>
          <w:szCs w:val="13"/>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78" w:lineRule="exact"/>
        <w:rPr>
          <w:rFonts w:ascii="Arial" w:cs="Arial" w:eastAsia="Arial" w:hAnsi="Arial"/>
          <w:sz w:val="13"/>
          <w:szCs w:val="13"/>
          <w:color w:val="auto"/>
        </w:rPr>
      </w:pPr>
    </w:p>
    <w:p>
      <w:pPr>
        <w:jc w:val="both"/>
        <w:ind w:firstLine="424"/>
        <w:spacing w:after="0" w:line="324" w:lineRule="auto"/>
        <w:tabs>
          <w:tab w:leader="none" w:pos="1045"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Governing Law and Venue</w:t>
      </w:r>
      <w:r>
        <w:rPr>
          <w:rFonts w:ascii="Arial" w:cs="Arial" w:eastAsia="Arial" w:hAnsi="Arial"/>
          <w:sz w:val="14"/>
          <w:szCs w:val="14"/>
          <w:color w:val="auto"/>
        </w:rPr>
        <w:t>. This Award Agreement will be governed by the laws of the State of California, without giving effect to the conflict of law principles thereof. For purposes of litigating any dispute that arises under this Award Agreement,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80"/>
          </w:cols>
          <w:pgMar w:left="220" w:top="458" w:right="19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Country-Specific Addendum</w:t>
      </w:r>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Participant’s acceptance of the Option or participation in the Plan. Unless otherwise noted below, capitalized terms shall have the same meaning assigned to them under the Plan, the Notice of Stock Option Grant and the Award Agreement. This Addendum forms part of the Award Agreement and should be read in conjunction with the Award Agreement and the Plan.</w:t>
      </w:r>
    </w:p>
    <w:p>
      <w:pPr>
        <w:spacing w:after="0" w:line="116" w:lineRule="exact"/>
        <w:rPr>
          <w:sz w:val="20"/>
          <w:szCs w:val="20"/>
          <w:color w:val="auto"/>
        </w:rPr>
      </w:pPr>
    </w:p>
    <w:p>
      <w:pPr>
        <w:jc w:val="both"/>
        <w:spacing w:after="0" w:line="321" w:lineRule="auto"/>
        <w:rPr>
          <w:sz w:val="20"/>
          <w:szCs w:val="20"/>
          <w:color w:val="auto"/>
        </w:rPr>
      </w:pPr>
      <w:r>
        <w:rPr>
          <w:rFonts w:ascii="Arial" w:cs="Arial" w:eastAsia="Arial" w:hAnsi="Arial"/>
          <w:sz w:val="14"/>
          <w:szCs w:val="14"/>
          <w:b w:val="1"/>
          <w:bCs w:val="1"/>
          <w:color w:val="auto"/>
        </w:rPr>
        <w:t xml:space="preserve">Securities Law Notice: </w:t>
      </w:r>
      <w:r>
        <w:rPr>
          <w:rFonts w:ascii="Arial" w:cs="Arial" w:eastAsia="Arial" w:hAnsi="Arial"/>
          <w:sz w:val="14"/>
          <w:szCs w:val="14"/>
          <w:color w:val="auto"/>
        </w:rPr>
        <w:t>Unless otherwise noted, neither the Company nor the Shares are registered with any local stock exchange or under the control of any local securities regulator outside the</w:t>
      </w:r>
      <w:r>
        <w:rPr>
          <w:rFonts w:ascii="Arial" w:cs="Arial" w:eastAsia="Arial" w:hAnsi="Arial"/>
          <w:sz w:val="14"/>
          <w:szCs w:val="14"/>
          <w:b w:val="1"/>
          <w:bCs w:val="1"/>
          <w:color w:val="auto"/>
        </w:rPr>
        <w:t xml:space="preserve"> </w:t>
      </w:r>
      <w:r>
        <w:rPr>
          <w:rFonts w:ascii="Arial" w:cs="Arial" w:eastAsia="Arial" w:hAnsi="Arial"/>
          <w:sz w:val="14"/>
          <w:szCs w:val="14"/>
          <w:color w:val="auto"/>
        </w:rPr>
        <w:t>United States. The Award Agreement (of which this Addendum is a part), the Notice of Stock Option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2923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80"/>
          </w:cols>
          <w:pgMar w:left="220" w:top="454" w:right="19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EXHIBIT 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BEYOND MEAT,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EQUITY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EXERCISE NOTICE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313055</wp:posOffset>
            </wp:positionV>
            <wp:extent cx="25450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5450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170180</wp:posOffset>
            </wp:positionV>
            <wp:extent cx="25450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54508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32385</wp:posOffset>
            </wp:positionV>
            <wp:extent cx="17272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233" w:lineRule="exact"/>
        <w:rPr>
          <w:sz w:val="20"/>
          <w:szCs w:val="20"/>
          <w:color w:val="auto"/>
        </w:rPr>
      </w:pPr>
    </w:p>
    <w:p>
      <w:pPr>
        <w:jc w:val="both"/>
        <w:ind w:firstLine="424"/>
        <w:spacing w:after="0" w:line="324" w:lineRule="auto"/>
        <w:tabs>
          <w:tab w:leader="none" w:pos="973"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 Effective as of today, , , the undersigned (“</w:t>
      </w:r>
      <w:r>
        <w:rPr>
          <w:rFonts w:ascii="Arial" w:cs="Arial" w:eastAsia="Arial" w:hAnsi="Arial"/>
          <w:sz w:val="14"/>
          <w:szCs w:val="14"/>
          <w:b w:val="1"/>
          <w:bCs w:val="1"/>
          <w:i w:val="1"/>
          <w:iCs w:val="1"/>
          <w:color w:val="auto"/>
        </w:rPr>
        <w:t>Purchaser</w:t>
      </w:r>
      <w:r>
        <w:rPr>
          <w:rFonts w:ascii="Arial" w:cs="Arial" w:eastAsia="Arial" w:hAnsi="Arial"/>
          <w:sz w:val="14"/>
          <w:szCs w:val="14"/>
          <w:color w:val="auto"/>
        </w:rPr>
        <w:t>”) hereby elects to purchase, , shares (the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of the Common Stock of Beyond Meat,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under and pursuant to the 2018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xml:space="preserve">”) and the Stock Option Award Agreement dated , (the </w:t>
      </w:r>
      <w:r>
        <w:rPr>
          <w:rFonts w:ascii="Arial" w:cs="Arial" w:eastAsia="Arial" w:hAnsi="Arial"/>
          <w:sz w:val="14"/>
          <w:szCs w:val="14"/>
          <w:b w:val="1"/>
          <w:bCs w:val="1"/>
          <w:color w:val="auto"/>
        </w:rPr>
        <w:t>“Award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Agreement</w:t>
      </w:r>
      <w:r>
        <w:rPr>
          <w:rFonts w:ascii="Arial" w:cs="Arial" w:eastAsia="Arial" w:hAnsi="Arial"/>
          <w:sz w:val="14"/>
          <w:szCs w:val="14"/>
          <w:b w:val="1"/>
          <w:bCs w:val="1"/>
          <w:color w:val="auto"/>
        </w:rPr>
        <w:t>”</w:t>
      </w:r>
      <w:r>
        <w:rPr>
          <w:rFonts w:ascii="Arial" w:cs="Arial" w:eastAsia="Arial" w:hAnsi="Arial"/>
          <w:sz w:val="14"/>
          <w:szCs w:val="14"/>
          <w:color w:val="auto"/>
        </w:rPr>
        <w:t>). The purchase price for the Shares will be USD $ , as required by the Award Agreement.</w:t>
      </w:r>
    </w:p>
    <w:p>
      <w:pPr>
        <w:spacing w:after="0" w:line="113" w:lineRule="exact"/>
        <w:rPr>
          <w:rFonts w:ascii="Arial" w:cs="Arial" w:eastAsia="Arial" w:hAnsi="Arial"/>
          <w:sz w:val="14"/>
          <w:szCs w:val="14"/>
          <w:color w:val="auto"/>
        </w:rPr>
      </w:pPr>
    </w:p>
    <w:p>
      <w:pPr>
        <w:ind w:firstLine="424"/>
        <w:spacing w:after="0" w:line="340" w:lineRule="auto"/>
        <w:tabs>
          <w:tab w:leader="none" w:pos="973"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Delivery of Payment</w:t>
      </w:r>
      <w:r>
        <w:rPr>
          <w:rFonts w:ascii="Arial" w:cs="Arial" w:eastAsia="Arial" w:hAnsi="Arial"/>
          <w:sz w:val="14"/>
          <w:szCs w:val="14"/>
          <w:color w:val="auto"/>
        </w:rPr>
        <w:t>. Purchaser herewith delivers to the Company, or otherwise makes adequate arrangements satisfactory to the Company, the full purchase price of the Shares and any Tax- Related Items (as defined in the Agreement) to be paid in connection with the exercise of the Option.</w:t>
      </w:r>
    </w:p>
    <w:p>
      <w:pPr>
        <w:spacing w:after="0" w:line="102" w:lineRule="exact"/>
        <w:rPr>
          <w:rFonts w:ascii="Arial" w:cs="Arial" w:eastAsia="Arial" w:hAnsi="Arial"/>
          <w:sz w:val="14"/>
          <w:szCs w:val="14"/>
          <w:color w:val="auto"/>
        </w:rPr>
      </w:pPr>
    </w:p>
    <w:p>
      <w:pPr>
        <w:ind w:firstLine="424"/>
        <w:spacing w:after="0" w:line="340" w:lineRule="auto"/>
        <w:tabs>
          <w:tab w:leader="none" w:pos="973"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Representations of Purchaser</w:t>
      </w:r>
      <w:r>
        <w:rPr>
          <w:rFonts w:ascii="Arial" w:cs="Arial" w:eastAsia="Arial" w:hAnsi="Arial"/>
          <w:sz w:val="14"/>
          <w:szCs w:val="14"/>
          <w:color w:val="auto"/>
        </w:rPr>
        <w:t>. Purchaser acknowledges that Purchaser has received, read and understood the Plan and the Award Agreement and agrees to abide by and be bound by their terms and conditions.</w:t>
      </w:r>
    </w:p>
    <w:p>
      <w:pPr>
        <w:spacing w:after="0" w:line="102" w:lineRule="exact"/>
        <w:rPr>
          <w:rFonts w:ascii="Arial" w:cs="Arial" w:eastAsia="Arial" w:hAnsi="Arial"/>
          <w:sz w:val="14"/>
          <w:szCs w:val="14"/>
          <w:color w:val="auto"/>
        </w:rPr>
      </w:pPr>
    </w:p>
    <w:p>
      <w:pPr>
        <w:jc w:val="both"/>
        <w:ind w:firstLine="424"/>
        <w:spacing w:after="0" w:line="319" w:lineRule="auto"/>
        <w:tabs>
          <w:tab w:leader="none" w:pos="973"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16" w:lineRule="exact"/>
        <w:rPr>
          <w:rFonts w:ascii="Arial" w:cs="Arial" w:eastAsia="Arial" w:hAnsi="Arial"/>
          <w:sz w:val="14"/>
          <w:szCs w:val="14"/>
          <w:color w:val="auto"/>
        </w:rPr>
      </w:pPr>
    </w:p>
    <w:p>
      <w:pPr>
        <w:ind w:left="960" w:hanging="536"/>
        <w:spacing w:after="0"/>
        <w:tabs>
          <w:tab w:leader="none" w:pos="960"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Tax Consultation</w:t>
      </w:r>
      <w:r>
        <w:rPr>
          <w:rFonts w:ascii="Arial" w:cs="Arial" w:eastAsia="Arial" w:hAnsi="Arial"/>
          <w:sz w:val="13"/>
          <w:szCs w:val="13"/>
          <w:color w:val="auto"/>
        </w:rPr>
        <w:t>. Purchaser understands that Purchaser may suffer adverse tax consequences as a result of Purchaser’s purchase or disposition of the Shares. Purchaser represents</w:t>
      </w:r>
    </w:p>
    <w:p>
      <w:pPr>
        <w:spacing w:after="0" w:line="5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that</w:t>
      </w:r>
    </w:p>
    <w:p>
      <w:pPr>
        <w:sectPr>
          <w:pgSz w:w="11900" w:h="16838" w:orient="portrait"/>
          <w:cols w:equalWidth="0" w:num="1">
            <w:col w:w="11480"/>
          </w:cols>
          <w:pgMar w:left="220" w:top="454" w:right="199" w:bottom="1440" w:gutter="0" w:footer="0" w:header="0"/>
        </w:sectPr>
      </w:pPr>
    </w:p>
    <w:bookmarkStart w:id="85" w:name="page86"/>
    <w:bookmarkEnd w:id="85"/>
    <w:p>
      <w:pPr>
        <w:spacing w:after="0" w:line="340" w:lineRule="auto"/>
        <w:rPr>
          <w:sz w:val="20"/>
          <w:szCs w:val="20"/>
          <w:color w:val="auto"/>
        </w:rPr>
      </w:pPr>
      <w:r>
        <w:rPr>
          <w:rFonts w:ascii="Arial" w:cs="Arial" w:eastAsia="Arial" w:hAnsi="Arial"/>
          <w:sz w:val="14"/>
          <w:szCs w:val="14"/>
          <w:color w:val="auto"/>
        </w:rPr>
        <w:t>Purchaser has consulted with any tax consultants Purchaser deems advisable in connection with the purchase or disposition of the Shares and that Purchaser is not relying on the Company for any tax advice.</w:t>
      </w:r>
    </w:p>
    <w:p>
      <w:pPr>
        <w:spacing w:after="0" w:line="102" w:lineRule="exact"/>
        <w:rPr>
          <w:sz w:val="20"/>
          <w:szCs w:val="20"/>
          <w:color w:val="auto"/>
        </w:rPr>
      </w:pPr>
    </w:p>
    <w:p>
      <w:pPr>
        <w:jc w:val="both"/>
        <w:ind w:firstLine="424"/>
        <w:spacing w:after="0" w:line="319" w:lineRule="auto"/>
        <w:tabs>
          <w:tab w:leader="none" w:pos="973"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Entire Agreement; Governing Law</w:t>
      </w:r>
      <w:r>
        <w:rPr>
          <w:rFonts w:ascii="Arial" w:cs="Arial" w:eastAsia="Arial" w:hAnsi="Arial"/>
          <w:sz w:val="14"/>
          <w:szCs w:val="14"/>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ind w:left="40"/>
              <w:spacing w:after="0"/>
              <w:rPr>
                <w:sz w:val="20"/>
                <w:szCs w:val="20"/>
                <w:color w:val="auto"/>
              </w:rPr>
            </w:pPr>
            <w:r>
              <w:rPr>
                <w:rFonts w:ascii="Arial" w:cs="Arial" w:eastAsia="Arial" w:hAnsi="Arial"/>
                <w:sz w:val="14"/>
                <w:szCs w:val="14"/>
                <w:color w:val="auto"/>
              </w:rPr>
              <w:t>Submitted by:</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Accepted by:</w:t>
            </w:r>
          </w:p>
        </w:tc>
      </w:tr>
      <w:tr>
        <w:trPr>
          <w:trHeight w:val="432"/>
        </w:trPr>
        <w:tc>
          <w:tcPr>
            <w:tcW w:w="5280" w:type="dxa"/>
            <w:vAlign w:val="bottom"/>
          </w:tcPr>
          <w:p>
            <w:pPr>
              <w:ind w:left="40"/>
              <w:spacing w:after="0"/>
              <w:rPr>
                <w:sz w:val="20"/>
                <w:szCs w:val="20"/>
                <w:color w:val="auto"/>
              </w:rPr>
            </w:pPr>
            <w:r>
              <w:rPr>
                <w:rFonts w:ascii="Arial" w:cs="Arial" w:eastAsia="Arial" w:hAnsi="Arial"/>
                <w:sz w:val="14"/>
                <w:szCs w:val="14"/>
                <w:color w:val="auto"/>
              </w:rPr>
              <w:t>PURCHASER:</w:t>
            </w:r>
          </w:p>
        </w:tc>
        <w:tc>
          <w:tcPr>
            <w:tcW w:w="10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BEYOND MEAT, INC.</w:t>
            </w:r>
          </w:p>
        </w:tc>
      </w:tr>
      <w:tr>
        <w:trPr>
          <w:trHeight w:val="679"/>
        </w:trPr>
        <w:tc>
          <w:tcPr>
            <w:tcW w:w="52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ind w:left="40"/>
              <w:spacing w:after="0"/>
              <w:rPr>
                <w:sz w:val="20"/>
                <w:szCs w:val="20"/>
                <w:color w:val="auto"/>
              </w:rPr>
            </w:pPr>
            <w:r>
              <w:rPr>
                <w:rFonts w:ascii="Arial" w:cs="Arial" w:eastAsia="Arial" w:hAnsi="Arial"/>
                <w:sz w:val="14"/>
                <w:szCs w:val="14"/>
                <w:color w:val="auto"/>
              </w:rPr>
              <w:t>Signature</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By</w:t>
            </w:r>
          </w:p>
        </w:tc>
      </w:tr>
      <w:tr>
        <w:trPr>
          <w:trHeight w:val="462"/>
        </w:trPr>
        <w:tc>
          <w:tcPr>
            <w:tcW w:w="52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ind w:left="40"/>
              <w:spacing w:after="0"/>
              <w:rPr>
                <w:sz w:val="20"/>
                <w:szCs w:val="20"/>
                <w:color w:val="auto"/>
              </w:rPr>
            </w:pPr>
            <w:r>
              <w:rPr>
                <w:rFonts w:ascii="Arial" w:cs="Arial" w:eastAsia="Arial" w:hAnsi="Arial"/>
                <w:sz w:val="14"/>
                <w:szCs w:val="14"/>
                <w:color w:val="auto"/>
              </w:rPr>
              <w:t>Print Name</w:t>
            </w: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Title</w:t>
            </w:r>
          </w:p>
        </w:tc>
      </w:tr>
      <w:tr>
        <w:trPr>
          <w:trHeight w:val="679"/>
        </w:trPr>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175"/>
        </w:trPr>
        <w:tc>
          <w:tcPr>
            <w:tcW w:w="5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Date Received</w:t>
            </w:r>
          </w:p>
        </w:tc>
      </w:tr>
      <w:tr>
        <w:trPr>
          <w:trHeight w:val="531"/>
        </w:trPr>
        <w:tc>
          <w:tcPr>
            <w:tcW w:w="5280" w:type="dxa"/>
            <w:vAlign w:val="bottom"/>
          </w:tcPr>
          <w:p>
            <w:pPr>
              <w:spacing w:after="0"/>
              <w:rPr>
                <w:sz w:val="24"/>
                <w:szCs w:val="2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color w:val="auto"/>
              </w:rPr>
              <w:t>-2-</w:t>
            </w:r>
          </w:p>
        </w:tc>
        <w:tc>
          <w:tcPr>
            <w:tcW w:w="5160" w:type="dxa"/>
            <w:vAlign w:val="bottom"/>
          </w:tcPr>
          <w:p>
            <w:pPr>
              <w:spacing w:after="0"/>
              <w:rPr>
                <w:sz w:val="24"/>
                <w:szCs w:val="24"/>
                <w:color w:val="auto"/>
              </w:rPr>
            </w:pPr>
          </w:p>
        </w:tc>
      </w:tr>
    </w:tbl>
    <w:p>
      <w:pPr>
        <w:sectPr>
          <w:pgSz w:w="11900" w:h="16838" w:orient="portrait"/>
          <w:cols w:equalWidth="0" w:num="1">
            <w:col w:w="11480"/>
          </w:cols>
          <w:pgMar w:left="220" w:top="458" w:right="19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10.2</w:t>
      </w: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BEYOND MEAT, INC.</w:t>
      </w: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2018 EQUITY INCENTIVE PLAN</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RESTRICTED STOCK UNIT AWARD AGREEMENT</w:t>
      </w:r>
    </w:p>
    <w:p>
      <w:pPr>
        <w:spacing w:after="0" w:line="200" w:lineRule="exact"/>
        <w:rPr>
          <w:sz w:val="20"/>
          <w:szCs w:val="20"/>
          <w:color w:val="auto"/>
        </w:rPr>
      </w:pPr>
    </w:p>
    <w:p>
      <w:pPr>
        <w:spacing w:after="0" w:line="201" w:lineRule="exact"/>
        <w:rPr>
          <w:sz w:val="20"/>
          <w:szCs w:val="20"/>
          <w:color w:val="auto"/>
        </w:rPr>
      </w:pPr>
    </w:p>
    <w:p>
      <w:pPr>
        <w:ind w:left="8" w:right="20" w:firstLine="432"/>
        <w:spacing w:after="0" w:line="327" w:lineRule="auto"/>
        <w:rPr>
          <w:sz w:val="20"/>
          <w:szCs w:val="20"/>
          <w:color w:val="auto"/>
        </w:rPr>
      </w:pPr>
      <w:r>
        <w:rPr>
          <w:rFonts w:ascii="Arial" w:cs="Arial" w:eastAsia="Arial" w:hAnsi="Arial"/>
          <w:sz w:val="14"/>
          <w:szCs w:val="14"/>
          <w:color w:val="auto"/>
        </w:rPr>
        <w:t>Unless otherwise defined herein, the terms defined in the Beyond Meat, Inc. 2018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will have the same defined meanings in this Restricted Stock Unit Award Agreement (the “</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w:t>
      </w:r>
    </w:p>
    <w:p>
      <w:pPr>
        <w:spacing w:after="0" w:line="206" w:lineRule="exact"/>
        <w:rPr>
          <w:sz w:val="20"/>
          <w:szCs w:val="20"/>
          <w:color w:val="auto"/>
        </w:rPr>
      </w:pPr>
    </w:p>
    <w:p>
      <w:pPr>
        <w:ind w:left="428" w:right="7720" w:hanging="428"/>
        <w:spacing w:after="0" w:line="486" w:lineRule="auto"/>
        <w:tabs>
          <w:tab w:leader="none" w:pos="505" w:val="left"/>
        </w:tabs>
        <w:numPr>
          <w:ilvl w:val="0"/>
          <w:numId w:val="37"/>
        </w:numPr>
        <w:rPr>
          <w:rFonts w:ascii="Arial" w:cs="Arial" w:eastAsia="Arial" w:hAnsi="Arial"/>
          <w:sz w:val="12"/>
          <w:szCs w:val="12"/>
          <w:b w:val="1"/>
          <w:bCs w:val="1"/>
          <w:color w:val="auto"/>
        </w:rPr>
      </w:pPr>
      <w:r>
        <w:rPr>
          <w:rFonts w:ascii="Arial" w:cs="Arial" w:eastAsia="Arial" w:hAnsi="Arial"/>
          <w:sz w:val="14"/>
          <w:szCs w:val="14"/>
          <w:b w:val="1"/>
          <w:bCs w:val="1"/>
          <w:u w:val="single" w:color="auto"/>
          <w:color w:val="auto"/>
        </w:rPr>
        <w:t xml:space="preserve">NOTICE OF RESTRICTED STOCK UNIT GRANT </w:t>
      </w:r>
      <w:r>
        <w:rPr>
          <w:rFonts w:ascii="Arial" w:cs="Arial" w:eastAsia="Arial" w:hAnsi="Arial"/>
          <w:sz w:val="14"/>
          <w:szCs w:val="14"/>
          <w:b w:val="1"/>
          <w:bCs w:val="1"/>
          <w:color w:val="auto"/>
        </w:rPr>
        <w:t>Participant Name:</w:t>
      </w:r>
    </w:p>
    <w:p>
      <w:pPr>
        <w:ind w:left="428"/>
        <w:spacing w:after="0"/>
        <w:rPr>
          <w:sz w:val="20"/>
          <w:szCs w:val="20"/>
          <w:color w:val="auto"/>
        </w:rPr>
      </w:pPr>
      <w:r>
        <w:rPr>
          <w:rFonts w:ascii="Arial" w:cs="Arial" w:eastAsia="Arial" w:hAnsi="Arial"/>
          <w:sz w:val="14"/>
          <w:szCs w:val="14"/>
          <w:color w:val="auto"/>
        </w:rPr>
        <w:t>You have been granted the right to receive an Award of Restricted Stock Units, subject to the terms and conditions of the Plan and this Award Agreement, as follows:</w:t>
      </w:r>
    </w:p>
    <w:p>
      <w:pPr>
        <w:spacing w:after="0" w:line="28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-6985</wp:posOffset>
            </wp:positionV>
            <wp:extent cx="457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-6985</wp:posOffset>
            </wp:positionV>
            <wp:extent cx="457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24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-6985</wp:posOffset>
            </wp:positionV>
            <wp:extent cx="4578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233" w:lineRule="exact"/>
        <w:rPr>
          <w:sz w:val="20"/>
          <w:szCs w:val="20"/>
          <w:color w:val="auto"/>
        </w:rPr>
      </w:pPr>
    </w:p>
    <w:p>
      <w:pPr>
        <w:ind w:left="428"/>
        <w:spacing w:after="0"/>
        <w:rPr>
          <w:sz w:val="20"/>
          <w:szCs w:val="20"/>
          <w:color w:val="auto"/>
        </w:rPr>
      </w:pPr>
      <w:r>
        <w:rPr>
          <w:rFonts w:ascii="Arial" w:cs="Arial" w:eastAsia="Arial" w:hAnsi="Arial"/>
          <w:sz w:val="14"/>
          <w:szCs w:val="14"/>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-6985</wp:posOffset>
            </wp:positionV>
            <wp:extent cx="4578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134" w:lineRule="exact"/>
        <w:rPr>
          <w:sz w:val="20"/>
          <w:szCs w:val="20"/>
          <w:color w:val="auto"/>
        </w:rPr>
      </w:pPr>
    </w:p>
    <w:p>
      <w:pPr>
        <w:ind w:left="428"/>
        <w:spacing w:after="0"/>
        <w:rPr>
          <w:sz w:val="20"/>
          <w:szCs w:val="20"/>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33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Subject to Section 3 of the Award Agreement, the Restricted Stock Units will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 w:right="20" w:firstLine="432"/>
        <w:spacing w:after="0" w:line="327" w:lineRule="auto"/>
        <w:rPr>
          <w:sz w:val="20"/>
          <w:szCs w:val="20"/>
          <w:color w:val="auto"/>
        </w:rPr>
      </w:pPr>
      <w:r>
        <w:rPr>
          <w:rFonts w:ascii="Arial" w:cs="Arial" w:eastAsia="Arial" w:hAnsi="Arial"/>
          <w:sz w:val="14"/>
          <w:szCs w:val="14"/>
          <w:color w:val="auto"/>
        </w:rPr>
        <w:t>If Participant ceases to be a Service Provider for any or no reason before Participant vests in the Restricted Stock Unit, the Restricted Stock Unit and Participant’s right to acquire any Shares hereunder will terminate in accordance with Section 3 of the Award Agreement.</w:t>
      </w:r>
    </w:p>
    <w:p>
      <w:pPr>
        <w:sectPr>
          <w:pgSz w:w="11900" w:h="16838" w:orient="portrait"/>
          <w:cols w:equalWidth="0" w:num="1">
            <w:col w:w="11488"/>
          </w:cols>
          <w:pgMar w:left="212" w:top="445" w:right="199" w:bottom="1440" w:gutter="0" w:footer="0" w:header="0"/>
        </w:sectPr>
      </w:pPr>
    </w:p>
    <w:bookmarkStart w:id="87" w:name="page88"/>
    <w:bookmarkEnd w:id="87"/>
    <w:p>
      <w:pPr>
        <w:jc w:val="both"/>
        <w:ind w:firstLine="432"/>
        <w:spacing w:after="0" w:line="287" w:lineRule="auto"/>
        <w:rPr>
          <w:sz w:val="20"/>
          <w:szCs w:val="20"/>
          <w:color w:val="auto"/>
        </w:rPr>
      </w:pPr>
      <w:r>
        <w:rPr>
          <w:rFonts w:ascii="Arial" w:cs="Arial" w:eastAsia="Arial" w:hAnsi="Arial"/>
          <w:sz w:val="13"/>
          <w:szCs w:val="13"/>
          <w:color w:val="auto"/>
        </w:rPr>
        <w:t>By Participant’s signature and the signature of the representative of Beyond Meat,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xml:space="preserve">”) below, or by Participant otherwise accepting this Award, Participant and the Company agree that this Award of Restricted Stock Units is granted under and governed by the terms and conditions of the Plan and this Award Agreement, including the Terms and Conditions of Restricted Stock Unit Grant (including any country-specific addendum thereto),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on any questions relating to the Plan and Award Agreement.</w:t>
      </w:r>
    </w:p>
    <w:p>
      <w:pPr>
        <w:spacing w:after="0" w:line="200" w:lineRule="exact"/>
        <w:rPr>
          <w:sz w:val="20"/>
          <w:szCs w:val="20"/>
          <w:color w:val="auto"/>
        </w:rPr>
      </w:pPr>
    </w:p>
    <w:p>
      <w:pPr>
        <w:spacing w:after="0" w:line="383"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auto"/>
        </w:rPr>
        <w:t>PARTICIPANT:</w:t>
      </w:r>
      <w:r>
        <w:rPr>
          <w:sz w:val="20"/>
          <w:szCs w:val="20"/>
          <w:color w:val="auto"/>
        </w:rPr>
        <w:tab/>
      </w:r>
      <w:r>
        <w:rPr>
          <w:rFonts w:ascii="Arial" w:cs="Arial" w:eastAsia="Arial" w:hAnsi="Arial"/>
          <w:sz w:val="14"/>
          <w:szCs w:val="14"/>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793115</wp:posOffset>
            </wp:positionV>
            <wp:extent cx="118935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1893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284480</wp:posOffset>
            </wp:positionV>
            <wp:extent cx="11893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189355" cy="571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Print Name</w:t>
      </w:r>
      <w:r>
        <w:rPr>
          <w:sz w:val="20"/>
          <w:szCs w:val="20"/>
          <w:color w:val="auto"/>
        </w:rPr>
        <w:tab/>
      </w: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80"/>
          </w:cols>
          <w:pgMar w:left="220" w:top="612" w:right="19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AND CONDITIONS OF RESTRICTED STOCK UNIT GRANT</w:t>
      </w:r>
    </w:p>
    <w:p>
      <w:pPr>
        <w:spacing w:after="0" w:line="293" w:lineRule="exact"/>
        <w:rPr>
          <w:sz w:val="20"/>
          <w:szCs w:val="20"/>
          <w:color w:val="auto"/>
        </w:rPr>
      </w:pPr>
    </w:p>
    <w:p>
      <w:pPr>
        <w:jc w:val="both"/>
        <w:ind w:firstLine="424"/>
        <w:spacing w:after="0" w:line="284" w:lineRule="auto"/>
        <w:tabs>
          <w:tab w:leader="none" w:pos="703"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The Company hereby grants to the individual named in the Notice of Grant attached as Part I of this Award Agreement (the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under the Plan an Award of Restricted Stock Units, subject to all of the terms and conditions in this Award Agreement and the Plan, which is incorporated herein by reference. Subject to Section 21 of the Plan, if there is a conflict between the terms and conditions of the Plan and the terms and conditions of this Award Agreement, the terms and conditions of the Plan will prevail.</w:t>
      </w:r>
    </w:p>
    <w:p>
      <w:pPr>
        <w:spacing w:after="0" w:line="113" w:lineRule="exact"/>
        <w:rPr>
          <w:rFonts w:ascii="Arial" w:cs="Arial" w:eastAsia="Arial" w:hAnsi="Arial"/>
          <w:sz w:val="14"/>
          <w:szCs w:val="14"/>
          <w:color w:val="auto"/>
        </w:rPr>
      </w:pPr>
    </w:p>
    <w:p>
      <w:pPr>
        <w:jc w:val="both"/>
        <w:ind w:firstLine="424"/>
        <w:spacing w:after="0" w:line="260" w:lineRule="auto"/>
        <w:tabs>
          <w:tab w:leader="none" w:pos="712"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Company’s Obligation to Pay</w:t>
      </w:r>
      <w:r>
        <w:rPr>
          <w:rFonts w:ascii="Arial" w:cs="Arial" w:eastAsia="Arial" w:hAnsi="Arial"/>
          <w:sz w:val="14"/>
          <w:szCs w:val="14"/>
          <w:color w:val="auto"/>
        </w:rPr>
        <w:t>. Each Restricted Stock Unit represents the right to receive a Share on the date it vests. Unless and until the Restricted Stock Units will have vested in the manner set forth in Section 3, Participant will have no right to receive Shares pursuant to any such Restricted Stock Units. Prior to actual payment of any vested Restricted Stock Units, such Restricted Stock Units will represent an unsecured obligation of the Company. Any Restricted Stock Units that vest in accordance with Section 3 will be settled by delivery of whole Shares as set forth herein to Participant (or in the event of Participant’s death, to his or her estate), subject to Participant satisfying any Tax-Related Items as set forth in Section 7. Subject to the provisions of Section 4, such vested Restricted Stock Units will be settled by delivery of whole Shares as soon as practicable after vesting, but in each such case within the period ending no later than the date that is two and one-half (2½) months from the end of the Company’s tax year that includes the vesting date. In no event will Participant be permitted, directly or indirectly, to specify the taxable year in which Shares will be issued upon payment of any Restricted Stock Units under this Award Agreement.</w:t>
      </w:r>
    </w:p>
    <w:p>
      <w:pPr>
        <w:spacing w:after="0" w:line="121" w:lineRule="exact"/>
        <w:rPr>
          <w:rFonts w:ascii="Arial" w:cs="Arial" w:eastAsia="Arial" w:hAnsi="Arial"/>
          <w:sz w:val="14"/>
          <w:szCs w:val="14"/>
          <w:color w:val="auto"/>
        </w:rPr>
      </w:pPr>
    </w:p>
    <w:p>
      <w:pPr>
        <w:jc w:val="both"/>
        <w:ind w:firstLine="424"/>
        <w:spacing w:after="0" w:line="261" w:lineRule="auto"/>
        <w:tabs>
          <w:tab w:leader="none" w:pos="721"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 The Restricted Stock Units awarded by this Award Agreement will vest in accordance with the vesting provisions set forth in the Notice of Grant.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providing active service for purposes of Service Provider status and participation in the Plan.</w:t>
      </w:r>
    </w:p>
    <w:p>
      <w:pPr>
        <w:spacing w:after="0" w:line="120" w:lineRule="exact"/>
        <w:rPr>
          <w:rFonts w:ascii="Arial" w:cs="Arial" w:eastAsia="Arial" w:hAnsi="Arial"/>
          <w:sz w:val="14"/>
          <w:szCs w:val="14"/>
          <w:color w:val="auto"/>
        </w:rPr>
      </w:pPr>
    </w:p>
    <w:p>
      <w:pPr>
        <w:jc w:val="both"/>
        <w:ind w:firstLine="424"/>
        <w:spacing w:after="0" w:line="263" w:lineRule="auto"/>
        <w:tabs>
          <w:tab w:leader="none" w:pos="748"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Administrator Discretion</w:t>
      </w:r>
      <w:r>
        <w:rPr>
          <w:rFonts w:ascii="Arial" w:cs="Arial" w:eastAsia="Arial" w:hAnsi="Arial"/>
          <w:sz w:val="14"/>
          <w:szCs w:val="14"/>
          <w:color w:val="auto"/>
        </w:rPr>
        <w:t>. 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Code Section 409A, as determined by the Company), other than due to death, and if (x) Participant is a “specified employee” within the meaning of Code Section 409A at the time of such termination as a Service Provider and (y) the payment of such accelerated Restricted Stock Units will result in the imposition of additional tax under Code Section 409A if paid to Participant on or within the six (6) month period following Participant’s termination as a Service Provider, then the payment of such</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80"/>
          </w:cols>
          <w:pgMar w:left="220" w:top="292" w:right="199" w:bottom="1440" w:gutter="0" w:footer="0" w:header="0"/>
        </w:sectPr>
      </w:pPr>
    </w:p>
    <w:bookmarkStart w:id="89" w:name="page90"/>
    <w:bookmarkEnd w:id="89"/>
    <w:p>
      <w:pPr>
        <w:jc w:val="both"/>
        <w:spacing w:after="0" w:line="260" w:lineRule="auto"/>
        <w:rPr>
          <w:sz w:val="20"/>
          <w:szCs w:val="20"/>
          <w:color w:val="auto"/>
        </w:rPr>
      </w:pPr>
      <w:r>
        <w:rPr>
          <w:rFonts w:ascii="Arial" w:cs="Arial" w:eastAsia="Arial" w:hAnsi="Arial"/>
          <w:sz w:val="14"/>
          <w:szCs w:val="14"/>
          <w:color w:val="auto"/>
        </w:rPr>
        <w:t>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Restricted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spacing w:after="0" w:line="121" w:lineRule="exact"/>
        <w:rPr>
          <w:sz w:val="20"/>
          <w:szCs w:val="20"/>
          <w:color w:val="auto"/>
        </w:rPr>
      </w:pPr>
    </w:p>
    <w:p>
      <w:pPr>
        <w:ind w:firstLine="424"/>
        <w:spacing w:after="0" w:line="287" w:lineRule="auto"/>
        <w:tabs>
          <w:tab w:leader="none" w:pos="712"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Forfeiture upon Termination of Status as a Service Provider</w:t>
      </w:r>
      <w:r>
        <w:rPr>
          <w:rFonts w:ascii="Arial" w:cs="Arial" w:eastAsia="Arial" w:hAnsi="Arial"/>
          <w:sz w:val="14"/>
          <w:szCs w:val="14"/>
          <w:color w:val="auto"/>
        </w:rPr>
        <w:t>. Notwithstanding any contrary provision of this Award Agreement, any Restricted Stock Units that have not vested will be forfeited and will return to the Plan on the date that is thirty (30) days following the termination of Participant’s status as a Service Provider.</w:t>
      </w:r>
    </w:p>
    <w:p>
      <w:pPr>
        <w:spacing w:after="0" w:line="101" w:lineRule="exact"/>
        <w:rPr>
          <w:rFonts w:ascii="Arial" w:cs="Arial" w:eastAsia="Arial" w:hAnsi="Arial"/>
          <w:sz w:val="14"/>
          <w:szCs w:val="14"/>
          <w:color w:val="auto"/>
        </w:rPr>
      </w:pPr>
    </w:p>
    <w:p>
      <w:pPr>
        <w:jc w:val="both"/>
        <w:ind w:firstLine="424"/>
        <w:spacing w:after="0" w:line="265" w:lineRule="auto"/>
        <w:tabs>
          <w:tab w:leader="none" w:pos="766"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Death of Participant</w:t>
      </w:r>
      <w:r>
        <w:rPr>
          <w:rFonts w:ascii="Arial" w:cs="Arial" w:eastAsia="Arial" w:hAnsi="Arial"/>
          <w:sz w:val="14"/>
          <w:szCs w:val="14"/>
          <w:color w:val="auto"/>
        </w:rPr>
        <w:t>. Any distribution or delivery to be made to Participant under this Award Agreement will, if Participant is then deceased, be made to Participant’s designated beneficiary, if so allowed by the Administrator in its sole discretion,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spacing w:after="0" w:line="117" w:lineRule="exact"/>
        <w:rPr>
          <w:rFonts w:ascii="Arial" w:cs="Arial" w:eastAsia="Arial" w:hAnsi="Arial"/>
          <w:sz w:val="14"/>
          <w:szCs w:val="14"/>
          <w:color w:val="auto"/>
        </w:rPr>
      </w:pPr>
    </w:p>
    <w:p>
      <w:pPr>
        <w:jc w:val="both"/>
        <w:ind w:firstLine="424"/>
        <w:spacing w:after="0" w:line="281" w:lineRule="auto"/>
        <w:tabs>
          <w:tab w:leader="none" w:pos="703"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Withholding of Taxes</w:t>
      </w:r>
      <w:r>
        <w:rPr>
          <w:rFonts w:ascii="Arial" w:cs="Arial" w:eastAsia="Arial" w:hAnsi="Arial"/>
          <w:sz w:val="13"/>
          <w:szCs w:val="13"/>
          <w:color w:val="auto"/>
        </w:rPr>
        <w:t>. Regardless of any action the Company or Participant’s employer (the “</w:t>
      </w:r>
      <w:r>
        <w:rPr>
          <w:rFonts w:ascii="Arial" w:cs="Arial" w:eastAsia="Arial" w:hAnsi="Arial"/>
          <w:sz w:val="13"/>
          <w:szCs w:val="13"/>
          <w:b w:val="1"/>
          <w:bCs w:val="1"/>
          <w:i w:val="1"/>
          <w:iCs w:val="1"/>
          <w:color w:val="auto"/>
        </w:rPr>
        <w:t>Employer</w:t>
      </w:r>
      <w:r>
        <w:rPr>
          <w:rFonts w:ascii="Arial" w:cs="Arial" w:eastAsia="Arial" w:hAnsi="Arial"/>
          <w:sz w:val="13"/>
          <w:szCs w:val="13"/>
          <w:color w:val="auto"/>
        </w:rPr>
        <w:t>”) takes with respect to any or all applicable national, local, or other tax or social contribution, withholding, required deductions, or other payments, if any, that arise upon the grant or vesting of the Restricted Stock Units or the holding or subsequent sale of Shares, and the receipt of dividends, if any, or otherwise in connection with the Restricted Stock Units or the Shares (“</w:t>
      </w:r>
      <w:r>
        <w:rPr>
          <w:rFonts w:ascii="Arial" w:cs="Arial" w:eastAsia="Arial" w:hAnsi="Arial"/>
          <w:sz w:val="13"/>
          <w:szCs w:val="13"/>
          <w:b w:val="1"/>
          <w:bCs w:val="1"/>
          <w:i w:val="1"/>
          <w:iCs w:val="1"/>
          <w:color w:val="auto"/>
        </w:rPr>
        <w:t>Tax-Related Items</w:t>
      </w:r>
      <w:r>
        <w:rPr>
          <w:rFonts w:ascii="Arial" w:cs="Arial" w:eastAsia="Arial" w:hAnsi="Arial"/>
          <w:sz w:val="13"/>
          <w:szCs w:val="13"/>
          <w:color w:val="auto"/>
        </w:rPr>
        <w:t>”),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payment of the Restricted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Restricted Stock Units, including the grant or vesting of the Restricted Stock Units, the subsequent sale of Shares acquired under the Plan, and the receipt of dividends, if any;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80"/>
          </w:cols>
          <w:pgMar w:left="220" w:top="296" w:right="199" w:bottom="1440" w:gutter="0" w:footer="0" w:header="0"/>
        </w:sectPr>
      </w:pPr>
    </w:p>
    <w:bookmarkStart w:id="90" w:name="page91"/>
    <w:bookmarkEnd w:id="90"/>
    <w:p>
      <w:pPr>
        <w:jc w:val="both"/>
        <w:spacing w:after="0" w:line="283" w:lineRule="auto"/>
        <w:rPr>
          <w:sz w:val="20"/>
          <w:szCs w:val="20"/>
          <w:color w:val="auto"/>
        </w:rPr>
      </w:pPr>
      <w:r>
        <w:rPr>
          <w:rFonts w:ascii="Arial" w:cs="Arial" w:eastAsia="Arial" w:hAnsi="Arial"/>
          <w:sz w:val="13"/>
          <w:szCs w:val="13"/>
          <w:color w:val="auto"/>
        </w:rPr>
        <w:t>and (b) do not commit to and are under no obligation to structure the terms of the Restricted Stock Units or any aspect of the Restricted Stock Units to reduce or eliminate Participant’s liability for Tax-Related Items, or achieve any particular tax result. Participant also understands that Applicable Laws may require varying Share or Restricted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w:t>
      </w:r>
    </w:p>
    <w:p>
      <w:pPr>
        <w:spacing w:after="0" w:line="10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3"/>
          <w:szCs w:val="13"/>
          <w:color w:val="auto"/>
        </w:rPr>
        <w:t>As a condition to the grant and vesting of the Restricted Stock Units and as set forth in Section 15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by receipt of a cash payment from Participant; (ii) by withholding from Participant’s wages or other cash compensation paid to Participant by the Company or the Employer; (iii) withholding Shares that otherwise would be issued to Participant upon payment of the vested Restricted Stock Units (provided that amounts withheld shall not exceed the amount necessary to satisfy the Company’s minimum tax withholding obligations); (iv) by withholding from proceeds of the sale of Shares acquired upon payment of the vested Restricted Stock Units through a voluntary sale or a mandatory sale arranged by the Company (on Participant’s behalf pursuant to this authorization), or (v) by any other arrangement approved by the Committee. Notwithstanding the foregoing, if Participant is subject to Section 16 of the Exchange Act, Participant’s obligations with respect to all Tax-Related Items shall be satisfied by the Company withholding Shares that otherwise would be issued to Participant upon payment of the vested Restricted Stock Units; provided that amounts withheld shall not exceed the amount necessary to satisfy the Company’s minimum tax withholding obligations. Any Shares withheld pursuant to this Section 7 shall be valued based on the Fair Market Value as of the date the withholding obligations are satisfied. Furthermore, Participant agrees to pay the Company or any Parent, Subsidiary, or Employer any Tax-Related Items that cannot be satisfied by the foregoing methods.</w:t>
      </w:r>
    </w:p>
    <w:p>
      <w:pPr>
        <w:spacing w:after="0" w:line="108" w:lineRule="exact"/>
        <w:rPr>
          <w:sz w:val="20"/>
          <w:szCs w:val="20"/>
          <w:color w:val="auto"/>
        </w:rPr>
      </w:pPr>
    </w:p>
    <w:p>
      <w:pPr>
        <w:jc w:val="both"/>
        <w:ind w:firstLine="424"/>
        <w:spacing w:after="0" w:line="265" w:lineRule="auto"/>
        <w:tabs>
          <w:tab w:leader="none" w:pos="685"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80"/>
          </w:cols>
          <w:pgMar w:left="220" w:top="296" w:right="199" w:bottom="1440" w:gutter="0" w:footer="0" w:header="0"/>
        </w:sectPr>
      </w:pPr>
    </w:p>
    <w:bookmarkStart w:id="91" w:name="page92"/>
    <w:bookmarkEnd w:id="91"/>
    <w:p>
      <w:pPr>
        <w:jc w:val="both"/>
        <w:ind w:firstLine="424"/>
        <w:spacing w:after="0" w:line="259" w:lineRule="auto"/>
        <w:tabs>
          <w:tab w:leader="none" w:pos="712"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 or Grants</w:t>
      </w:r>
      <w:r>
        <w:rPr>
          <w:rFonts w:ascii="Arial" w:cs="Arial" w:eastAsia="Arial" w:hAnsi="Arial"/>
          <w:sz w:val="14"/>
          <w:szCs w:val="14"/>
          <w:color w:val="auto"/>
        </w:rPr>
        <w:t>. PARTICIPANT ACKNOWLEDGES AND AGREES THAT THE VESTING OF THE RESTRICTED STOCK UNITS PURSUANT TO THE VESTING SCHEDULE HEREOF SHALL OCCUR ONLY BY CONTINUING AS A SERVICE PROVIDER AT THE WILL OF THE EMPLOYER OR CONTRACTING ENTITY (AS APPLICABLE)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RELATIONSHIP AS A SERVICE PROVIDER AT ANY TIME, WITH OR WITHOUT CAUSE, SUBJECT TO APPLICABLE LAWS.</w:t>
      </w:r>
    </w:p>
    <w:p>
      <w:pPr>
        <w:spacing w:after="0" w:line="12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3"/>
          <w:szCs w:val="13"/>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w:t>
      </w:r>
    </w:p>
    <w:p>
      <w:pPr>
        <w:spacing w:after="0" w:line="109" w:lineRule="exact"/>
        <w:rPr>
          <w:sz w:val="20"/>
          <w:szCs w:val="20"/>
          <w:color w:val="auto"/>
        </w:rPr>
      </w:pPr>
    </w:p>
    <w:p>
      <w:pPr>
        <w:ind w:firstLine="424"/>
        <w:spacing w:after="0" w:line="287" w:lineRule="auto"/>
        <w:tabs>
          <w:tab w:leader="none" w:pos="775"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Any notice to be given to the Company under the terms of this Award Agreement will be addressed to the Company, in care of its Secretary at Beyond Meat, Inc., 119 Standard Street, El Segundo, California 90245, or at such other address as the Company may hereafter designate in writing.</w:t>
      </w:r>
    </w:p>
    <w:p>
      <w:pPr>
        <w:spacing w:after="0" w:line="101" w:lineRule="exact"/>
        <w:rPr>
          <w:rFonts w:ascii="Arial" w:cs="Arial" w:eastAsia="Arial" w:hAnsi="Arial"/>
          <w:sz w:val="14"/>
          <w:szCs w:val="14"/>
          <w:color w:val="auto"/>
        </w:rPr>
      </w:pPr>
    </w:p>
    <w:p>
      <w:pPr>
        <w:jc w:val="both"/>
        <w:ind w:firstLine="424"/>
        <w:spacing w:after="0" w:line="271" w:lineRule="auto"/>
        <w:tabs>
          <w:tab w:leader="none" w:pos="805"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Grant is Not Transferable</w:t>
      </w:r>
      <w:r>
        <w:rPr>
          <w:rFonts w:ascii="Arial" w:cs="Arial" w:eastAsia="Arial" w:hAnsi="Arial"/>
          <w:sz w:val="14"/>
          <w:szCs w:val="14"/>
          <w:color w:val="auto"/>
        </w:rPr>
        <w:t>. Except to the limited extent provided in Section 6,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80"/>
          </w:cols>
          <w:pgMar w:left="220" w:top="296" w:right="19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or upon any attempted sale under any execution, attachment or similar process, this grant and the rights and privileges conferred hereby immediately will become null and void.</w:t>
      </w:r>
    </w:p>
    <w:p>
      <w:pPr>
        <w:spacing w:after="0" w:line="154" w:lineRule="exact"/>
        <w:rPr>
          <w:sz w:val="20"/>
          <w:szCs w:val="20"/>
          <w:color w:val="auto"/>
        </w:rPr>
      </w:pPr>
    </w:p>
    <w:p>
      <w:pPr>
        <w:ind w:firstLine="424"/>
        <w:spacing w:after="0" w:line="300" w:lineRule="auto"/>
        <w:tabs>
          <w:tab w:leader="none" w:pos="811"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Binding Agreement</w:t>
      </w:r>
      <w:r>
        <w:rPr>
          <w:rFonts w:ascii="Arial" w:cs="Arial" w:eastAsia="Arial" w:hAnsi="Arial"/>
          <w:sz w:val="14"/>
          <w:szCs w:val="14"/>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92" w:lineRule="exact"/>
        <w:rPr>
          <w:rFonts w:ascii="Arial" w:cs="Arial" w:eastAsia="Arial" w:hAnsi="Arial"/>
          <w:sz w:val="14"/>
          <w:szCs w:val="14"/>
          <w:color w:val="auto"/>
        </w:rPr>
      </w:pPr>
    </w:p>
    <w:p>
      <w:pPr>
        <w:jc w:val="both"/>
        <w:ind w:firstLine="424"/>
        <w:spacing w:after="0" w:line="282" w:lineRule="auto"/>
        <w:tabs>
          <w:tab w:leader="none" w:pos="766"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 and Imposition of Other Requirements</w:t>
      </w:r>
      <w:r>
        <w:rPr>
          <w:rFonts w:ascii="Arial" w:cs="Arial" w:eastAsia="Arial" w:hAnsi="Arial"/>
          <w:sz w:val="13"/>
          <w:szCs w:val="13"/>
          <w:color w:val="auto"/>
        </w:rPr>
        <w:t>.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obligated to issue any Shares pursuant to the Restricted Stock Units at any time if the issuance of Shares violates or is not in compliance with any Applicable Laws.</w:t>
      </w:r>
    </w:p>
    <w:p>
      <w:pPr>
        <w:spacing w:after="0" w:line="10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3"/>
          <w:szCs w:val="13"/>
          <w:color w:val="auto"/>
        </w:rPr>
        <w:t>Furthermore, the Company reserves the right to impose other requirements on Participant’s participation in the Plan, on the Restricted Stock Units and on any Shares acquired under the Plan, to the extent the Company determines it is necessary or advisable in order to comply with any Applicable Laws or facilitate the administration of the Plan, and to require Participant to sign any additional agreements or undertakings that may be necessary to accomplish the foregoing. Furthermore, Participant understands that the Applicable Laws of the country in which he or she is resident at the time of grant or vesting of the Restricted Stock Units or the holding or disposition of Shares (including any rules or regulations governing securities, foreign exchange, tax, labor or other matters) may restrict or prevent the issuance of Shares or may subject Participant to additional procedural or regulatory requirements he or she is solely responsible for and will have to independently fulfill in relation to the Restricted Stock Units or the Shares. Notwithstanding any provision herein, the Restricted Stock Units and any Shares shall be subject to any special terms and conditions or disclosures as set forth in any addendum for Participant’s country (the “Country-Specific Addendum,” which forms part this Award Agreement). Participant also understands and agrees that if he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09" w:lineRule="exact"/>
        <w:rPr>
          <w:sz w:val="20"/>
          <w:szCs w:val="20"/>
          <w:color w:val="auto"/>
        </w:rPr>
      </w:pPr>
    </w:p>
    <w:p>
      <w:pPr>
        <w:ind w:firstLine="424"/>
        <w:spacing w:after="0" w:line="287" w:lineRule="auto"/>
        <w:tabs>
          <w:tab w:leader="none" w:pos="757"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Lock-Up Agreement</w:t>
      </w:r>
      <w:r>
        <w:rPr>
          <w:rFonts w:ascii="Arial" w:cs="Arial" w:eastAsia="Arial" w:hAnsi="Arial"/>
          <w:sz w:val="14"/>
          <w:szCs w:val="14"/>
          <w:color w:val="auto"/>
        </w:rPr>
        <w:t>. In connection with the initial public offering of the Company’s securities, Participant hereby agrees not to offer, pledge, sell, contract to sell, make any short sale of, loan, grant any option for the purchase of, or otherwise dispose of any securities of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80"/>
          </w:cols>
          <w:pgMar w:left="220" w:top="296" w:right="199" w:bottom="1440" w:gutter="0" w:footer="0" w:header="0"/>
        </w:sectPr>
      </w:pPr>
    </w:p>
    <w:bookmarkStart w:id="93" w:name="page94"/>
    <w:bookmarkEnd w:id="93"/>
    <w:p>
      <w:pPr>
        <w:jc w:val="both"/>
        <w:spacing w:after="0" w:line="279" w:lineRule="auto"/>
        <w:rPr>
          <w:sz w:val="20"/>
          <w:szCs w:val="20"/>
          <w:color w:val="auto"/>
        </w:rPr>
      </w:pPr>
      <w:r>
        <w:rPr>
          <w:rFonts w:ascii="Arial" w:cs="Arial" w:eastAsia="Arial" w:hAnsi="Arial"/>
          <w:sz w:val="13"/>
          <w:szCs w:val="13"/>
          <w:color w:val="auto"/>
        </w:rPr>
        <w:t>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Participant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Award Agreement until the end of the applicable stand-off period. The Company’s underwriters shall be beneficiaries of the agreement set forth in this Section.</w:t>
      </w:r>
    </w:p>
    <w:p>
      <w:pPr>
        <w:spacing w:after="0" w:line="11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3"/>
          <w:szCs w:val="13"/>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provisions remain in effect at the time of the transfer.</w:t>
      </w:r>
    </w:p>
    <w:p>
      <w:pPr>
        <w:spacing w:after="0" w:line="106" w:lineRule="exact"/>
        <w:rPr>
          <w:sz w:val="20"/>
          <w:szCs w:val="20"/>
          <w:color w:val="auto"/>
        </w:rPr>
      </w:pPr>
    </w:p>
    <w:p>
      <w:pPr>
        <w:ind w:firstLine="424"/>
        <w:spacing w:after="0" w:line="287" w:lineRule="auto"/>
        <w:tabs>
          <w:tab w:leader="none" w:pos="775"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Plan Governs</w:t>
      </w:r>
      <w:r>
        <w:rPr>
          <w:rFonts w:ascii="Arial" w:cs="Arial" w:eastAsia="Arial" w:hAnsi="Arial"/>
          <w:sz w:val="14"/>
          <w:szCs w:val="14"/>
          <w:color w:val="auto"/>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01" w:lineRule="exact"/>
        <w:rPr>
          <w:rFonts w:ascii="Arial" w:cs="Arial" w:eastAsia="Arial" w:hAnsi="Arial"/>
          <w:sz w:val="14"/>
          <w:szCs w:val="14"/>
          <w:color w:val="auto"/>
        </w:rPr>
      </w:pPr>
    </w:p>
    <w:p>
      <w:pPr>
        <w:jc w:val="both"/>
        <w:ind w:firstLine="424"/>
        <w:spacing w:after="0" w:line="271" w:lineRule="auto"/>
        <w:tabs>
          <w:tab w:leader="none" w:pos="82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Administrator Authority</w:t>
      </w:r>
      <w:r>
        <w:rPr>
          <w:rFonts w:ascii="Arial" w:cs="Arial" w:eastAsia="Arial" w:hAnsi="Arial"/>
          <w:sz w:val="14"/>
          <w:szCs w:val="14"/>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Restricted Stock Units have vested). All actions taken, and all interpretations and determinations made, by the Administrator in good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80"/>
          </w:cols>
          <w:pgMar w:left="220" w:top="296" w:right="199" w:bottom="1440" w:gutter="0" w:footer="0" w:header="0"/>
        </w:sectPr>
      </w:pPr>
    </w:p>
    <w:bookmarkStart w:id="94" w:name="page95"/>
    <w:bookmarkEnd w:id="94"/>
    <w:p>
      <w:pPr>
        <w:spacing w:after="0" w:line="287" w:lineRule="auto"/>
        <w:rPr>
          <w:sz w:val="20"/>
          <w:szCs w:val="20"/>
          <w:color w:val="auto"/>
        </w:rPr>
      </w:pPr>
      <w:r>
        <w:rPr>
          <w:rFonts w:ascii="Arial" w:cs="Arial" w:eastAsia="Arial" w:hAnsi="Arial"/>
          <w:sz w:val="14"/>
          <w:szCs w:val="14"/>
          <w:color w:val="auto"/>
        </w:rPr>
        <w:t>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01" w:lineRule="exact"/>
        <w:rPr>
          <w:sz w:val="20"/>
          <w:szCs w:val="20"/>
          <w:color w:val="auto"/>
        </w:rPr>
      </w:pPr>
    </w:p>
    <w:p>
      <w:pPr>
        <w:jc w:val="both"/>
        <w:ind w:firstLine="424"/>
        <w:spacing w:after="0" w:line="263" w:lineRule="auto"/>
        <w:tabs>
          <w:tab w:leader="none" w:pos="775"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 Translation</w:t>
      </w:r>
      <w:r>
        <w:rPr>
          <w:rFonts w:ascii="Arial" w:cs="Arial" w:eastAsia="Arial" w:hAnsi="Arial"/>
          <w:sz w:val="14"/>
          <w:szCs w:val="14"/>
          <w:color w:val="auto"/>
        </w:rPr>
        <w:t>. 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17" w:lineRule="exact"/>
        <w:rPr>
          <w:rFonts w:ascii="Arial" w:cs="Arial" w:eastAsia="Arial" w:hAnsi="Arial"/>
          <w:sz w:val="14"/>
          <w:szCs w:val="14"/>
          <w:color w:val="auto"/>
        </w:rPr>
      </w:pPr>
    </w:p>
    <w:p>
      <w:pPr>
        <w:ind w:firstLine="424"/>
        <w:spacing w:after="0" w:line="287" w:lineRule="auto"/>
        <w:tabs>
          <w:tab w:leader="none" w:pos="793"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Translation</w:t>
      </w:r>
      <w:r>
        <w:rPr>
          <w:rFonts w:ascii="Arial" w:cs="Arial" w:eastAsia="Arial" w:hAnsi="Arial"/>
          <w:sz w:val="14"/>
          <w:szCs w:val="14"/>
          <w:color w:val="auto"/>
        </w:rPr>
        <w:t>. If Participant has received this Award Agreement, including appendices, or any other document related to the Plan translated into a language other than English, and the meaning of the translated version is different than the English version, the English version will control.</w:t>
      </w:r>
    </w:p>
    <w:p>
      <w:pPr>
        <w:spacing w:after="0" w:line="101" w:lineRule="exact"/>
        <w:rPr>
          <w:rFonts w:ascii="Arial" w:cs="Arial" w:eastAsia="Arial" w:hAnsi="Arial"/>
          <w:sz w:val="14"/>
          <w:szCs w:val="14"/>
          <w:color w:val="auto"/>
        </w:rPr>
      </w:pPr>
    </w:p>
    <w:p>
      <w:pPr>
        <w:ind w:left="740" w:hanging="316"/>
        <w:spacing w:after="0"/>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Award Agreement.</w:t>
      </w:r>
    </w:p>
    <w:p>
      <w:pPr>
        <w:spacing w:after="0" w:line="154" w:lineRule="exact"/>
        <w:rPr>
          <w:sz w:val="20"/>
          <w:szCs w:val="20"/>
          <w:color w:val="auto"/>
        </w:rPr>
      </w:pPr>
    </w:p>
    <w:p>
      <w:pPr>
        <w:ind w:firstLine="424"/>
        <w:spacing w:after="0" w:line="300" w:lineRule="auto"/>
        <w:tabs>
          <w:tab w:leader="none" w:pos="757"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Agreement Severable</w:t>
      </w:r>
      <w:r>
        <w:rPr>
          <w:rFonts w:ascii="Arial" w:cs="Arial" w:eastAsia="Arial" w:hAnsi="Arial"/>
          <w:sz w:val="14"/>
          <w:szCs w:val="14"/>
          <w:color w:val="auto"/>
        </w:rPr>
        <w:t>. If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92" w:lineRule="exact"/>
        <w:rPr>
          <w:rFonts w:ascii="Arial" w:cs="Arial" w:eastAsia="Arial" w:hAnsi="Arial"/>
          <w:sz w:val="14"/>
          <w:szCs w:val="14"/>
          <w:color w:val="auto"/>
        </w:rPr>
      </w:pPr>
    </w:p>
    <w:p>
      <w:pPr>
        <w:jc w:val="both"/>
        <w:ind w:firstLine="424"/>
        <w:spacing w:after="0" w:line="273" w:lineRule="auto"/>
        <w:tabs>
          <w:tab w:leader="none" w:pos="757"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Modifications to the Award Agreement</w:t>
      </w:r>
      <w:r>
        <w:rPr>
          <w:rFonts w:ascii="Arial" w:cs="Arial" w:eastAsia="Arial" w:hAnsi="Arial"/>
          <w:sz w:val="14"/>
          <w:szCs w:val="14"/>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Code Section 409A in connection to this Award of Restricted Stock Units.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296" w:right="199" w:bottom="1440" w:gutter="0" w:footer="0" w:header="0"/>
        </w:sectPr>
      </w:pPr>
    </w:p>
    <w:bookmarkStart w:id="95" w:name="page96"/>
    <w:bookmarkEnd w:id="95"/>
    <w:p>
      <w:pPr>
        <w:jc w:val="both"/>
        <w:ind w:firstLine="424"/>
        <w:spacing w:after="0" w:line="292" w:lineRule="auto"/>
        <w:tabs>
          <w:tab w:leader="none" w:pos="766"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Participant hereby explicitly and unambiguously consents to the collection, use and transfer, in electronic or other form, of Participant’s Personal Data (as described</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Restricted Stock Unit.</w:t>
      </w:r>
    </w:p>
    <w:p>
      <w:pPr>
        <w:spacing w:after="0" w:line="101" w:lineRule="exact"/>
        <w:rPr>
          <w:sz w:val="20"/>
          <w:szCs w:val="20"/>
          <w:color w:val="auto"/>
        </w:rPr>
      </w:pPr>
    </w:p>
    <w:p>
      <w:pPr>
        <w:jc w:val="both"/>
        <w:ind w:firstLine="432"/>
        <w:spacing w:after="0" w:line="310" w:lineRule="auto"/>
        <w:rPr>
          <w:sz w:val="20"/>
          <w:szCs w:val="20"/>
          <w:color w:val="auto"/>
        </w:rPr>
      </w:pPr>
      <w:r>
        <w:rPr>
          <w:rFonts w:ascii="Arial" w:cs="Arial" w:eastAsia="Arial" w:hAnsi="Arial"/>
          <w:sz w:val="12"/>
          <w:szCs w:val="12"/>
          <w:b w:val="1"/>
          <w:bCs w:val="1"/>
          <w:i w:val="1"/>
          <w:iCs w:val="1"/>
          <w:color w:val="auto"/>
        </w:rPr>
        <w:t>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Paretn, Subsidiary, or affiliate, details of all Restricted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w:t>
      </w:r>
    </w:p>
    <w:p>
      <w:pPr>
        <w:spacing w:after="0" w:line="94" w:lineRule="exact"/>
        <w:rPr>
          <w:sz w:val="20"/>
          <w:szCs w:val="20"/>
          <w:color w:val="auto"/>
        </w:rPr>
      </w:pPr>
    </w:p>
    <w:p>
      <w:pPr>
        <w:jc w:val="both"/>
        <w:ind w:right="20" w:firstLine="865"/>
        <w:spacing w:after="0" w:line="287" w:lineRule="auto"/>
        <w:rPr>
          <w:sz w:val="20"/>
          <w:szCs w:val="20"/>
          <w:color w:val="auto"/>
        </w:rPr>
      </w:pPr>
      <w:r>
        <w:rPr>
          <w:rFonts w:ascii="Arial" w:cs="Arial" w:eastAsia="Arial" w:hAnsi="Arial"/>
          <w:sz w:val="14"/>
          <w:szCs w:val="14"/>
          <w:b w:val="1"/>
          <w:bCs w:val="1"/>
          <w:i w:val="1"/>
          <w:iCs w:val="1"/>
          <w:color w:val="auto"/>
        </w:rPr>
        <w:t>Participant should also refer to any data privacy policy implemented by the Company (which will be available to Participant separately and may be updated from time to time) for more information regarding the collection, use, storage, and transfer of Participant’s Personal Data.</w:t>
      </w:r>
    </w:p>
    <w:p>
      <w:pPr>
        <w:spacing w:after="0" w:line="101" w:lineRule="exact"/>
        <w:rPr>
          <w:sz w:val="20"/>
          <w:szCs w:val="20"/>
          <w:color w:val="auto"/>
        </w:rPr>
      </w:pPr>
    </w:p>
    <w:p>
      <w:pPr>
        <w:jc w:val="both"/>
        <w:ind w:firstLine="424"/>
        <w:spacing w:after="0" w:line="287" w:lineRule="auto"/>
        <w:tabs>
          <w:tab w:leader="none" w:pos="757" w:val="left"/>
        </w:tabs>
        <w:numPr>
          <w:ilvl w:val="0"/>
          <w:numId w:val="49"/>
        </w:numPr>
        <w:rPr>
          <w:rFonts w:ascii="Arial" w:cs="Arial" w:eastAsia="Arial" w:hAnsi="Arial"/>
          <w:sz w:val="13"/>
          <w:szCs w:val="13"/>
          <w:color w:val="auto"/>
        </w:rPr>
      </w:pPr>
      <w:r>
        <w:rPr>
          <w:rFonts w:ascii="Arial" w:cs="Arial" w:eastAsia="Arial" w:hAnsi="Arial"/>
          <w:sz w:val="13"/>
          <w:szCs w:val="13"/>
          <w:u w:val="single" w:color="auto"/>
          <w:color w:val="auto"/>
        </w:rPr>
        <w:t>Foreign Exchange Fluctuations and Restrictions</w:t>
      </w:r>
      <w:r>
        <w:rPr>
          <w:rFonts w:ascii="Arial" w:cs="Arial" w:eastAsia="Arial" w:hAnsi="Arial"/>
          <w:sz w:val="13"/>
          <w:szCs w:val="13"/>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05" w:lineRule="exact"/>
        <w:rPr>
          <w:rFonts w:ascii="Arial" w:cs="Arial" w:eastAsia="Arial" w:hAnsi="Arial"/>
          <w:sz w:val="13"/>
          <w:szCs w:val="13"/>
          <w:color w:val="auto"/>
        </w:rPr>
      </w:pPr>
    </w:p>
    <w:p>
      <w:pPr>
        <w:ind w:right="20" w:firstLine="424"/>
        <w:spacing w:after="0" w:line="287" w:lineRule="auto"/>
        <w:tabs>
          <w:tab w:leader="none" w:pos="784"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Amendment, Suspension or Termination of the Plan</w:t>
      </w:r>
      <w:r>
        <w:rPr>
          <w:rFonts w:ascii="Arial" w:cs="Arial" w:eastAsia="Arial" w:hAnsi="Arial"/>
          <w:sz w:val="14"/>
          <w:szCs w:val="14"/>
          <w:color w:val="auto"/>
        </w:rPr>
        <w:t>. By accepting this Award, Participant expressly warrants that he or she has received an Award of Restricted Stock Units under the Plan, and has received, read and understood a description of the Plan. Participant understands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80"/>
          </w:cols>
          <w:pgMar w:left="220" w:top="296" w:right="19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that the Plan is discretionary in nature and may be amended, suspended or terminated by the Company at any time.</w:t>
      </w:r>
    </w:p>
    <w:p>
      <w:pPr>
        <w:spacing w:after="0" w:line="154" w:lineRule="exact"/>
        <w:rPr>
          <w:sz w:val="20"/>
          <w:szCs w:val="20"/>
          <w:color w:val="auto"/>
        </w:rPr>
      </w:pPr>
    </w:p>
    <w:p>
      <w:pPr>
        <w:jc w:val="both"/>
        <w:ind w:firstLine="424"/>
        <w:spacing w:after="0" w:line="301" w:lineRule="auto"/>
        <w:tabs>
          <w:tab w:leader="none" w:pos="757"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Governing Law and Venue</w:t>
      </w:r>
      <w:r>
        <w:rPr>
          <w:rFonts w:ascii="Arial" w:cs="Arial" w:eastAsia="Arial" w:hAnsi="Arial"/>
          <w:sz w:val="13"/>
          <w:szCs w:val="13"/>
          <w:color w:val="auto"/>
        </w:rPr>
        <w:t>. This Award Agreement will be governed by the laws of the State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80"/>
          </w:cols>
          <w:pgMar w:left="220" w:top="296" w:right="19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Country-Specific Addendum</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This Addendum includes additional country-specific notices, disclaimers, and/or terms and conditions that apply to individuals who are working or residing in the countries listed below, if any, and that may be material to Participant’s participation in the Plan. Such notices, disclaimers, and/or terms and conditions may also apply, as from the date of grant, if Participant moves to or otherwise is or becomes subject to the Applicable Laws or company policies of any country listed below. However, because foreign exchange regulations and other local laws are subject to frequent change, Participant is advised to seek advice from his or her own personal legal and tax advisor prior to accepting the Restricted Stock Units or holding or selling Shares acquired under the Plan. The Company is not providing any tax, legal or financial advice, nor is the Company making any recommendations regarding Participant’s acceptance of the Restricted Stock Units or participation in the Plan. Unless otherwise noted below, capitalized terms shall have the same meaning assigned to them under the Plan, the Notice of Restricted Stock Unit Grant and the Award Agreement. This Addendum forms part of the Award Agreement and should be read in conjunction with the Award Agreement and the Plan.</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 xml:space="preserve">Securities Law Notice: </w:t>
      </w:r>
      <w:r>
        <w:rPr>
          <w:rFonts w:ascii="Arial" w:cs="Arial" w:eastAsia="Arial" w:hAnsi="Arial"/>
          <w:sz w:val="14"/>
          <w:szCs w:val="14"/>
          <w:color w:val="auto"/>
        </w:rPr>
        <w:t>Unless otherwise noted, neither the Company nor the Shares are registered with any local stock exchange or under the control of any local securities regulator outside the</w:t>
      </w:r>
      <w:r>
        <w:rPr>
          <w:rFonts w:ascii="Arial" w:cs="Arial" w:eastAsia="Arial" w:hAnsi="Arial"/>
          <w:sz w:val="14"/>
          <w:szCs w:val="14"/>
          <w:b w:val="1"/>
          <w:bCs w:val="1"/>
          <w:color w:val="auto"/>
        </w:rPr>
        <w:t xml:space="preserve"> </w:t>
      </w:r>
      <w:r>
        <w:rPr>
          <w:rFonts w:ascii="Arial" w:cs="Arial" w:eastAsia="Arial" w:hAnsi="Arial"/>
          <w:sz w:val="14"/>
          <w:szCs w:val="14"/>
          <w:color w:val="auto"/>
        </w:rPr>
        <w:t>United States. The Award Agreement (of which this Addendum is a part), the Notice of Restricted Stock Unit Grant,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923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80"/>
          </w:cols>
          <w:pgMar w:left="220" w:top="725" w:right="199" w:bottom="1440" w:gutter="0" w:footer="0" w:header="0"/>
        </w:sectPr>
      </w:pPr>
    </w:p>
    <w:bookmarkStart w:id="98" w:name="page99"/>
    <w:bookmarkEnd w:id="98"/>
    <w:p>
      <w:pPr>
        <w:jc w:val="right"/>
        <w:spacing w:after="0"/>
        <w:rPr>
          <w:sz w:val="20"/>
          <w:szCs w:val="20"/>
          <w:color w:val="auto"/>
        </w:rPr>
      </w:pPr>
      <w:r>
        <w:rPr>
          <w:rFonts w:ascii="Arial" w:cs="Arial" w:eastAsia="Arial" w:hAnsi="Arial"/>
          <w:sz w:val="12"/>
          <w:szCs w:val="12"/>
          <w:b w:val="1"/>
          <w:bCs w:val="1"/>
          <w:color w:val="auto"/>
        </w:rPr>
        <w:t>Exhibit 31.1</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EXCHANGE ACT RULES 13a-14(a) AND 15d-14(a), AS ADOPTED PURSUANT TO SECTION 302 OF THE SARBANES-OXLEY ACT OF 2002</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Ethan Brown, certify that:</w:t>
      </w:r>
    </w:p>
    <w:p>
      <w:pPr>
        <w:spacing w:after="0" w:line="42" w:lineRule="exact"/>
        <w:rPr>
          <w:sz w:val="20"/>
          <w:szCs w:val="20"/>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Beyond Meat, Inc.;</w:t>
      </w:r>
    </w:p>
    <w:p>
      <w:pPr>
        <w:spacing w:after="0" w:line="69" w:lineRule="exact"/>
        <w:rPr>
          <w:rFonts w:ascii="Arial" w:cs="Arial" w:eastAsia="Arial" w:hAnsi="Arial"/>
          <w:sz w:val="12"/>
          <w:szCs w:val="12"/>
          <w:color w:val="auto"/>
        </w:rPr>
      </w:pPr>
    </w:p>
    <w:p>
      <w:pPr>
        <w:ind w:left="208" w:right="40" w:hanging="208"/>
        <w:spacing w:after="0" w:line="353"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2"/>
          <w:szCs w:val="12"/>
          <w:color w:val="auto"/>
        </w:rPr>
      </w:pPr>
    </w:p>
    <w:p>
      <w:pPr>
        <w:ind w:left="208" w:right="300" w:hanging="208"/>
        <w:spacing w:after="0" w:line="353"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2"/>
          <w:szCs w:val="12"/>
          <w:color w:val="auto"/>
        </w:rPr>
      </w:pPr>
    </w:p>
    <w:p>
      <w:pPr>
        <w:ind w:left="208" w:right="200" w:hanging="208"/>
        <w:spacing w:after="0" w:line="353"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for the registrant and have:</w:t>
      </w:r>
    </w:p>
    <w:p>
      <w:pPr>
        <w:spacing w:after="0" w:line="8" w:lineRule="exact"/>
        <w:rPr>
          <w:rFonts w:ascii="Arial" w:cs="Arial" w:eastAsia="Arial" w:hAnsi="Arial"/>
          <w:sz w:val="12"/>
          <w:szCs w:val="12"/>
          <w:color w:val="auto"/>
        </w:rPr>
      </w:pPr>
    </w:p>
    <w:p>
      <w:pPr>
        <w:ind w:left="428" w:right="360" w:hanging="212"/>
        <w:spacing w:after="0" w:line="353" w:lineRule="auto"/>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2"/>
          <w:szCs w:val="12"/>
          <w:color w:val="auto"/>
        </w:rPr>
      </w:pPr>
    </w:p>
    <w:p>
      <w:pPr>
        <w:ind w:left="428" w:hanging="212"/>
        <w:spacing w:after="0"/>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[paragraph omitted in accordance with Exchange Act Rule 13a-14(a)];</w:t>
      </w:r>
    </w:p>
    <w:p>
      <w:pPr>
        <w:spacing w:after="0" w:line="69" w:lineRule="exact"/>
        <w:rPr>
          <w:rFonts w:ascii="Arial" w:cs="Arial" w:eastAsia="Arial" w:hAnsi="Arial"/>
          <w:sz w:val="12"/>
          <w:szCs w:val="12"/>
          <w:color w:val="auto"/>
        </w:rPr>
      </w:pPr>
    </w:p>
    <w:p>
      <w:pPr>
        <w:ind w:left="428" w:right="120" w:hanging="212"/>
        <w:spacing w:after="0" w:line="353" w:lineRule="auto"/>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2"/>
          <w:szCs w:val="12"/>
          <w:color w:val="auto"/>
        </w:rPr>
      </w:pPr>
    </w:p>
    <w:p>
      <w:pPr>
        <w:ind w:left="428" w:right="40" w:hanging="212"/>
        <w:spacing w:after="0" w:line="353" w:lineRule="auto"/>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2"/>
          <w:szCs w:val="12"/>
          <w:color w:val="auto"/>
        </w:rPr>
      </w:pPr>
    </w:p>
    <w:p>
      <w:pPr>
        <w:ind w:left="208" w:right="80" w:hanging="208"/>
        <w:spacing w:after="0" w:line="353"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2"/>
          <w:szCs w:val="12"/>
          <w:color w:val="auto"/>
        </w:rPr>
      </w:pPr>
    </w:p>
    <w:p>
      <w:pPr>
        <w:ind w:left="428" w:right="60" w:hanging="212"/>
        <w:spacing w:after="0" w:line="353" w:lineRule="auto"/>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2"/>
          <w:szCs w:val="12"/>
          <w:color w:val="auto"/>
        </w:rPr>
      </w:pPr>
    </w:p>
    <w:p>
      <w:pPr>
        <w:ind w:left="428" w:hanging="212"/>
        <w:spacing w:after="0"/>
        <w:tabs>
          <w:tab w:leader="none" w:pos="428"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2" w:lineRule="exact"/>
        <w:rPr>
          <w:sz w:val="20"/>
          <w:szCs w:val="20"/>
          <w:color w:val="auto"/>
        </w:rPr>
      </w:pPr>
    </w:p>
    <w:tbl>
      <w:tblPr>
        <w:tblLayout w:type="fixed"/>
        <w:tblInd w:w="28"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July 29, 2019</w:t>
            </w:r>
          </w:p>
        </w:tc>
        <w:tc>
          <w:tcPr>
            <w:tcW w:w="4600" w:type="dxa"/>
            <w:vAlign w:val="bottom"/>
          </w:tcPr>
          <w:p>
            <w:pPr>
              <w:ind w:left="4160"/>
              <w:spacing w:after="0"/>
              <w:rPr>
                <w:sz w:val="20"/>
                <w:szCs w:val="20"/>
                <w:color w:val="auto"/>
              </w:rPr>
            </w:pPr>
            <w:r>
              <w:rPr>
                <w:rFonts w:ascii="Arial" w:cs="Arial" w:eastAsia="Arial" w:hAnsi="Arial"/>
                <w:sz w:val="12"/>
                <w:szCs w:val="12"/>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Ethan Brown</w:t>
            </w:r>
          </w:p>
        </w:tc>
      </w:tr>
      <w:tr>
        <w:trPr>
          <w:trHeight w:val="165"/>
        </w:trPr>
        <w:tc>
          <w:tcPr>
            <w:tcW w:w="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rPr>
              <w:t>Ethan Brown</w:t>
            </w:r>
          </w:p>
        </w:tc>
      </w:tr>
      <w:tr>
        <w:trPr>
          <w:trHeight w:val="180"/>
        </w:trPr>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w w:val="99"/>
              </w:rPr>
              <w:t>President and Chief Executive Officer</w:t>
            </w:r>
          </w:p>
        </w:tc>
      </w:tr>
      <w:tr>
        <w:trPr>
          <w:trHeight w:val="180"/>
        </w:trPr>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w w:val="99"/>
              </w:rPr>
              <w:t>(Principal Executive Officer)</w:t>
            </w:r>
          </w:p>
        </w:tc>
      </w:tr>
    </w:tbl>
    <w:p>
      <w:pPr>
        <w:sectPr>
          <w:pgSz w:w="11900" w:h="16838" w:orient="portrait"/>
          <w:cols w:equalWidth="0" w:num="1">
            <w:col w:w="11488"/>
          </w:cols>
          <w:pgMar w:left="212" w:top="431" w:right="199" w:bottom="1440" w:gutter="0" w:footer="0" w:header="0"/>
        </w:sectPr>
      </w:pPr>
    </w:p>
    <w:bookmarkStart w:id="99" w:name="page100"/>
    <w:bookmarkEnd w:id="99"/>
    <w:p>
      <w:pPr>
        <w:jc w:val="right"/>
        <w:spacing w:after="0"/>
        <w:rPr>
          <w:sz w:val="20"/>
          <w:szCs w:val="20"/>
          <w:color w:val="auto"/>
        </w:rPr>
      </w:pPr>
      <w:r>
        <w:rPr>
          <w:rFonts w:ascii="Arial" w:cs="Arial" w:eastAsia="Arial" w:hAnsi="Arial"/>
          <w:sz w:val="12"/>
          <w:szCs w:val="12"/>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EXCHANGE ACT RULES 13a-14(a) AND 15d-14(a), AS ADOPTED PURSUANT TO SECTION 302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Mark J. Nelson, certify that:</w:t>
      </w:r>
    </w:p>
    <w:p>
      <w:pPr>
        <w:spacing w:after="0" w:line="42"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Beyond Meat, Inc.;</w:t>
      </w:r>
    </w:p>
    <w:p>
      <w:pPr>
        <w:spacing w:after="0" w:line="69" w:lineRule="exact"/>
        <w:rPr>
          <w:rFonts w:ascii="Arial" w:cs="Arial" w:eastAsia="Arial" w:hAnsi="Arial"/>
          <w:sz w:val="12"/>
          <w:szCs w:val="12"/>
          <w:color w:val="auto"/>
        </w:rPr>
      </w:pPr>
    </w:p>
    <w:p>
      <w:pPr>
        <w:ind w:left="420" w:right="120" w:hanging="212"/>
        <w:spacing w:after="0" w:line="360" w:lineRule="auto"/>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20" w:right="100" w:hanging="212"/>
        <w:spacing w:after="0" w:line="360" w:lineRule="auto"/>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20" w:right="520" w:hanging="212"/>
        <w:spacing w:after="0" w:line="360" w:lineRule="auto"/>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for the registrant and have:</w:t>
      </w:r>
    </w:p>
    <w:p>
      <w:pPr>
        <w:ind w:left="860" w:right="500" w:hanging="219"/>
        <w:spacing w:after="0" w:line="360" w:lineRule="auto"/>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0" w:hanging="219"/>
        <w:spacing w:after="0"/>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[paragraph omitted in accordance with Exchange Act Rule 13a-14(a)];</w:t>
      </w:r>
    </w:p>
    <w:p>
      <w:pPr>
        <w:spacing w:after="0" w:line="69" w:lineRule="exact"/>
        <w:rPr>
          <w:rFonts w:ascii="Arial" w:cs="Arial" w:eastAsia="Arial" w:hAnsi="Arial"/>
          <w:sz w:val="12"/>
          <w:szCs w:val="12"/>
          <w:color w:val="auto"/>
        </w:rPr>
      </w:pPr>
    </w:p>
    <w:p>
      <w:pPr>
        <w:ind w:left="860" w:right="120" w:hanging="219"/>
        <w:spacing w:after="0" w:line="360" w:lineRule="auto"/>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200" w:hanging="219"/>
        <w:spacing w:after="0" w:line="360" w:lineRule="auto"/>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20" w:right="480" w:hanging="212"/>
        <w:spacing w:after="0" w:line="360" w:lineRule="auto"/>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60" w:right="120" w:hanging="219"/>
        <w:spacing w:after="0" w:line="360" w:lineRule="auto"/>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hanging="219"/>
        <w:spacing w:after="0"/>
        <w:tabs>
          <w:tab w:leader="none" w:pos="86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July 29, 2019</w:t>
            </w:r>
          </w:p>
        </w:tc>
        <w:tc>
          <w:tcPr>
            <w:tcW w:w="4600" w:type="dxa"/>
            <w:vAlign w:val="bottom"/>
          </w:tcPr>
          <w:p>
            <w:pPr>
              <w:ind w:left="4160"/>
              <w:spacing w:after="0"/>
              <w:rPr>
                <w:sz w:val="20"/>
                <w:szCs w:val="20"/>
                <w:color w:val="auto"/>
              </w:rPr>
            </w:pPr>
            <w:r>
              <w:rPr>
                <w:rFonts w:ascii="Arial" w:cs="Arial" w:eastAsia="Arial" w:hAnsi="Arial"/>
                <w:sz w:val="12"/>
                <w:szCs w:val="12"/>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Mark J. Nelson</w:t>
            </w:r>
          </w:p>
        </w:tc>
      </w:tr>
      <w:tr>
        <w:trPr>
          <w:trHeight w:val="165"/>
        </w:trPr>
        <w:tc>
          <w:tcPr>
            <w:tcW w:w="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w w:val="99"/>
              </w:rPr>
              <w:t>Mark J. Nelson</w:t>
            </w:r>
          </w:p>
        </w:tc>
      </w:tr>
      <w:tr>
        <w:trPr>
          <w:trHeight w:val="180"/>
        </w:trPr>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w w:val="99"/>
              </w:rPr>
              <w:t>Chief Financial Officer and Treasurer</w:t>
            </w:r>
          </w:p>
        </w:tc>
      </w:tr>
      <w:tr>
        <w:trPr>
          <w:trHeight w:val="180"/>
        </w:trPr>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140" w:type="dxa"/>
            <w:vAlign w:val="bottom"/>
          </w:tcPr>
          <w:p>
            <w:pPr>
              <w:jc w:val="center"/>
              <w:spacing w:after="0"/>
              <w:rPr>
                <w:sz w:val="20"/>
                <w:szCs w:val="20"/>
                <w:color w:val="auto"/>
              </w:rPr>
            </w:pPr>
            <w:r>
              <w:rPr>
                <w:rFonts w:ascii="Arial" w:cs="Arial" w:eastAsia="Arial" w:hAnsi="Arial"/>
                <w:sz w:val="12"/>
                <w:szCs w:val="12"/>
                <w:color w:val="auto"/>
                <w:w w:val="99"/>
              </w:rPr>
              <w:t>(Principal Financial Officer)</w:t>
            </w:r>
          </w:p>
        </w:tc>
      </w:tr>
    </w:tbl>
    <w:p>
      <w:pPr>
        <w:sectPr>
          <w:pgSz w:w="11900" w:h="16838" w:orient="portrait"/>
          <w:cols w:equalWidth="0" w:num="1">
            <w:col w:w="11480"/>
          </w:cols>
          <w:pgMar w:left="220" w:top="431" w:right="1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2"/>
          <w:szCs w:val="12"/>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9" w:lineRule="exact"/>
        <w:rPr>
          <w:sz w:val="20"/>
          <w:szCs w:val="20"/>
          <w:color w:val="auto"/>
        </w:rPr>
      </w:pPr>
    </w:p>
    <w:p>
      <w:pPr>
        <w:ind w:right="80" w:firstLine="432"/>
        <w:spacing w:after="0" w:line="353" w:lineRule="auto"/>
        <w:rPr>
          <w:sz w:val="20"/>
          <w:szCs w:val="20"/>
          <w:color w:val="auto"/>
        </w:rPr>
      </w:pPr>
      <w:r>
        <w:rPr>
          <w:rFonts w:ascii="Arial" w:cs="Arial" w:eastAsia="Arial" w:hAnsi="Arial"/>
          <w:sz w:val="12"/>
          <w:szCs w:val="12"/>
          <w:color w:val="auto"/>
        </w:rPr>
        <w:t>I, Ethan Brown, President and Chief Executive Officer of Beyond Meat, Inc. (the “Company”), do hereby certify, pursuant to 18 U.S.C. Section 1350, as adopted pursuant to Section 906 of the Sarbanes-Oxley Act of 2002, that, to my knowledge:</w:t>
      </w:r>
    </w:p>
    <w:p>
      <w:pPr>
        <w:spacing w:after="0" w:line="8" w:lineRule="exact"/>
        <w:rPr>
          <w:sz w:val="20"/>
          <w:szCs w:val="20"/>
          <w:color w:val="auto"/>
        </w:rPr>
      </w:pPr>
    </w:p>
    <w:p>
      <w:pPr>
        <w:ind w:left="640" w:right="400" w:hanging="216"/>
        <w:spacing w:after="0" w:line="353" w:lineRule="auto"/>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accompanying Quarterly Report on Form 10-Q of the Company for the quarter ended June 29, 2019 (the “Report”), as filed with the Securities and Exchange Commission, fully complies with the requirements of Section 13(a) or Section 15(d), as applicable, of the Securities Exchange Act of 1934, as amended (the "Exchange Act"); and</w:t>
      </w:r>
    </w:p>
    <w:p>
      <w:pPr>
        <w:spacing w:after="0" w:line="8" w:lineRule="exact"/>
        <w:rPr>
          <w:rFonts w:ascii="Arial" w:cs="Arial" w:eastAsia="Arial" w:hAnsi="Arial"/>
          <w:sz w:val="12"/>
          <w:szCs w:val="12"/>
          <w:color w:val="auto"/>
        </w:rPr>
      </w:pPr>
    </w:p>
    <w:p>
      <w:pPr>
        <w:ind w:left="640" w:hanging="216"/>
        <w:spacing w:after="0"/>
        <w:tabs>
          <w:tab w:leader="none" w:pos="6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Arial" w:cs="Arial" w:eastAsia="Arial" w:hAnsi="Arial"/>
                <w:sz w:val="12"/>
                <w:szCs w:val="12"/>
                <w:color w:val="auto"/>
              </w:rPr>
              <w:t>Date: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July 29, 2019</w:t>
            </w:r>
          </w:p>
        </w:tc>
        <w:tc>
          <w:tcPr>
            <w:tcW w:w="4480" w:type="dxa"/>
            <w:vAlign w:val="bottom"/>
          </w:tcPr>
          <w:p>
            <w:pPr>
              <w:ind w:left="4040"/>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Ethan Brown</w:t>
            </w:r>
          </w:p>
        </w:tc>
      </w:tr>
      <w:tr>
        <w:trPr>
          <w:trHeight w:val="156"/>
        </w:trPr>
        <w:tc>
          <w:tcPr>
            <w:tcW w:w="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rPr>
              <w:t>Ethan Brown</w:t>
            </w:r>
          </w:p>
        </w:tc>
      </w:tr>
      <w:tr>
        <w:trPr>
          <w:trHeight w:val="180"/>
        </w:trPr>
        <w:tc>
          <w:tcPr>
            <w:tcW w:w="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w w:val="99"/>
              </w:rPr>
              <w:t>President and Chief Executive Officer</w:t>
            </w:r>
          </w:p>
        </w:tc>
      </w:tr>
      <w:tr>
        <w:trPr>
          <w:trHeight w:val="180"/>
        </w:trPr>
        <w:tc>
          <w:tcPr>
            <w:tcW w:w="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w w:val="99"/>
              </w:rPr>
              <w:t>(Principal Executive Officer)</w:t>
            </w:r>
          </w:p>
        </w:tc>
      </w:tr>
    </w:tbl>
    <w:p>
      <w:pPr>
        <w:spacing w:after="0" w:line="369" w:lineRule="exact"/>
        <w:rPr>
          <w:sz w:val="20"/>
          <w:szCs w:val="20"/>
          <w:color w:val="auto"/>
        </w:rPr>
      </w:pPr>
    </w:p>
    <w:p>
      <w:pPr>
        <w:ind w:right="140" w:firstLine="432"/>
        <w:spacing w:after="0" w:line="371" w:lineRule="auto"/>
        <w:rPr>
          <w:sz w:val="20"/>
          <w:szCs w:val="20"/>
          <w:color w:val="auto"/>
        </w:rPr>
      </w:pPr>
      <w:r>
        <w:rPr>
          <w:rFonts w:ascii="Arial" w:cs="Arial" w:eastAsia="Arial" w:hAnsi="Arial"/>
          <w:sz w:val="12"/>
          <w:szCs w:val="12"/>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80"/>
          </w:cols>
          <w:pgMar w:left="220" w:top="431" w:right="1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Mark J. Nelson, Chief Financial Officer and Treasurer of Beyond Meat, Inc. (the “Company”), do hereby certify, pursuant to 18 U.S.C. Section 1350, as adopted pursuant to Section 906 of the Sarbanes-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Oxley Act of 2002, that, to my knowledge:</w:t>
      </w:r>
    </w:p>
    <w:p>
      <w:pPr>
        <w:spacing w:after="0" w:line="77" w:lineRule="exact"/>
        <w:rPr>
          <w:sz w:val="20"/>
          <w:szCs w:val="20"/>
          <w:color w:val="auto"/>
        </w:rPr>
      </w:pPr>
    </w:p>
    <w:p>
      <w:pPr>
        <w:ind w:left="640" w:right="400" w:hanging="216"/>
        <w:spacing w:after="0" w:line="360" w:lineRule="auto"/>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accompanying Quarterly Report on Form 10-Q of the Company for the quarter ended June 29, 2019 (the “Report”), as filed with the Securities and Exchange Commission, fully complies with the requirements of Section 13(a) or Section 15(d), as applicable, of the Securities Exchange Act of 1934, as amended (the "Exchange Act"); and</w:t>
      </w:r>
    </w:p>
    <w:p>
      <w:pPr>
        <w:ind w:left="640" w:hanging="216"/>
        <w:spacing w:after="0"/>
        <w:tabs>
          <w:tab w:leader="none" w:pos="6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for the periods presented therein.</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Arial" w:cs="Arial" w:eastAsia="Arial" w:hAnsi="Arial"/>
                <w:sz w:val="12"/>
                <w:szCs w:val="12"/>
                <w:color w:val="auto"/>
              </w:rPr>
              <w:t>Date:</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July 29, 2019</w:t>
            </w:r>
          </w:p>
        </w:tc>
        <w:tc>
          <w:tcPr>
            <w:tcW w:w="4480" w:type="dxa"/>
            <w:vAlign w:val="bottom"/>
          </w:tcPr>
          <w:p>
            <w:pPr>
              <w:ind w:left="4040"/>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Mark J. Nelson</w:t>
            </w:r>
          </w:p>
        </w:tc>
      </w:tr>
      <w:tr>
        <w:trPr>
          <w:trHeight w:val="156"/>
        </w:trPr>
        <w:tc>
          <w:tcPr>
            <w:tcW w:w="7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w w:val="99"/>
              </w:rPr>
              <w:t>Mark J. Nelson</w:t>
            </w:r>
          </w:p>
        </w:tc>
      </w:tr>
      <w:tr>
        <w:trPr>
          <w:trHeight w:val="180"/>
        </w:trPr>
        <w:tc>
          <w:tcPr>
            <w:tcW w:w="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w w:val="99"/>
              </w:rPr>
              <w:t>Chief Financial Officer and Treasurer</w:t>
            </w:r>
          </w:p>
        </w:tc>
      </w:tr>
      <w:tr>
        <w:trPr>
          <w:trHeight w:val="180"/>
        </w:trPr>
        <w:tc>
          <w:tcPr>
            <w:tcW w:w="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2"/>
                <w:szCs w:val="12"/>
                <w:color w:val="auto"/>
                <w:w w:val="99"/>
              </w:rPr>
              <w:t>(Principal Financial Officer)</w:t>
            </w:r>
          </w:p>
        </w:tc>
      </w:tr>
    </w:tbl>
    <w:p>
      <w:pPr>
        <w:spacing w:after="0" w:line="369" w:lineRule="exact"/>
        <w:rPr>
          <w:sz w:val="20"/>
          <w:szCs w:val="20"/>
          <w:color w:val="auto"/>
        </w:rPr>
      </w:pPr>
    </w:p>
    <w:p>
      <w:pPr>
        <w:ind w:right="140" w:firstLine="432"/>
        <w:spacing w:after="0" w:line="371" w:lineRule="auto"/>
        <w:rPr>
          <w:sz w:val="20"/>
          <w:szCs w:val="20"/>
          <w:color w:val="auto"/>
        </w:rPr>
      </w:pPr>
      <w:r>
        <w:rPr>
          <w:rFonts w:ascii="Arial" w:cs="Arial" w:eastAsia="Arial" w:hAnsi="Arial"/>
          <w:sz w:val="12"/>
          <w:szCs w:val="12"/>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upperLetter"/>
      <w:start w:val="9"/>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2"/>
    </w:lvl>
  </w:abstractNum>
  <w:abstractNum w:abstractNumId="21">
    <w:nsid w:val="5C482A97"/>
    <w:multiLevelType w:val="hybridMultilevel"/>
    <w:lvl w:ilvl="0">
      <w:lvlJc w:val="left"/>
      <w:lvlText w:val="%1."/>
      <w:numFmt w:val="decimal"/>
      <w:start w:val="3"/>
    </w:lvl>
    <w:lvl w:ilvl="1">
      <w:lvlJc w:val="left"/>
      <w:lvlText w:val="(%2)"/>
      <w:numFmt w:val="lowerLetter"/>
      <w:start w:val="1"/>
    </w:lvl>
  </w:abstractNum>
  <w:abstractNum w:abstractNumId="22">
    <w:nsid w:val="2463B9EA"/>
    <w:multiLevelType w:val="hybridMultilevel"/>
    <w:lvl w:ilvl="0">
      <w:lvlJc w:val="left"/>
      <w:lvlText w:val="%1."/>
      <w:numFmt w:val="decimal"/>
      <w:start w:val="5"/>
    </w:lvl>
    <w:lvl w:ilvl="1">
      <w:lvlJc w:val="left"/>
      <w:lvlText w:val="(%2)"/>
      <w:numFmt w:val="lowerLetter"/>
      <w:start w:val="1"/>
    </w:lvl>
  </w:abstractNum>
  <w:abstractNum w:abstractNumId="23">
    <w:nsid w:val="5E884ADC"/>
    <w:multiLevelType w:val="hybridMultilevel"/>
    <w:lvl w:ilvl="0">
      <w:lvlJc w:val="left"/>
      <w:lvlText w:val="(%1)"/>
      <w:numFmt w:val="lowerRoman"/>
      <w:start w:val="1"/>
    </w:lvl>
  </w:abstractNum>
  <w:abstractNum w:abstractNumId="24">
    <w:nsid w:val="51EAD36B"/>
    <w:multiLevelType w:val="hybridMultilevel"/>
    <w:lvl w:ilvl="0">
      <w:lvlJc w:val="left"/>
      <w:lvlText w:val="(%1)"/>
      <w:numFmt w:val="lowerLetter"/>
      <w:start w:val="3"/>
    </w:lvl>
  </w:abstractNum>
  <w:abstractNum w:abstractNumId="25">
    <w:nsid w:val="2D517796"/>
    <w:multiLevelType w:val="hybridMultilevel"/>
    <w:lvl w:ilvl="0">
      <w:lvlJc w:val="left"/>
      <w:lvlText w:val="%1"/>
      <w:numFmt w:val="decimal"/>
      <w:start w:val="1"/>
    </w:lvl>
    <w:lvl w:ilvl="1">
      <w:lvlJc w:val="left"/>
      <w:lvlText w:val="(%2)"/>
      <w:numFmt w:val="lowerLetter"/>
      <w:start w:val="4"/>
    </w:lvl>
  </w:abstractNum>
  <w:abstractNum w:abstractNumId="26">
    <w:nsid w:val="580BD78F"/>
    <w:multiLevelType w:val="hybridMultilevel"/>
    <w:lvl w:ilvl="0">
      <w:lvlJc w:val="left"/>
      <w:lvlText w:val="%1."/>
      <w:numFmt w:val="decimal"/>
      <w:start w:val="6"/>
    </w:lvl>
    <w:lvl w:ilvl="1">
      <w:lvlJc w:val="left"/>
      <w:lvlText w:val="%2"/>
      <w:numFmt w:val="lowerLetter"/>
      <w:start w:val="1"/>
    </w:lvl>
  </w:abstractNum>
  <w:abstractNum w:abstractNumId="27">
    <w:nsid w:val="153EA438"/>
    <w:multiLevelType w:val="hybridMultilevel"/>
    <w:lvl w:ilvl="0">
      <w:lvlJc w:val="left"/>
      <w:lvlText w:val="%1."/>
      <w:numFmt w:val="decimal"/>
      <w:start w:val="8"/>
    </w:lvl>
    <w:lvl w:ilvl="1">
      <w:lvlJc w:val="left"/>
      <w:lvlText w:val="(%2)"/>
      <w:numFmt w:val="lowerLetter"/>
      <w:start w:val="1"/>
    </w:lvl>
  </w:abstractNum>
  <w:abstractNum w:abstractNumId="28">
    <w:nsid w:val="3855585C"/>
    <w:multiLevelType w:val="hybridMultilevel"/>
    <w:lvl w:ilvl="0">
      <w:lvlJc w:val="left"/>
      <w:lvlText w:val="%1"/>
      <w:numFmt w:val="decimal"/>
      <w:start w:val="1"/>
    </w:lvl>
    <w:lvl w:ilvl="1">
      <w:lvlJc w:val="left"/>
      <w:lvlText w:val="(%2)"/>
      <w:numFmt w:val="lowerLetter"/>
      <w:start w:val="10"/>
    </w:lvl>
  </w:abstractNum>
  <w:abstractNum w:abstractNumId="29">
    <w:nsid w:val="70A64E2A"/>
    <w:multiLevelType w:val="hybridMultilevel"/>
    <w:lvl w:ilvl="0">
      <w:lvlJc w:val="left"/>
      <w:lvlText w:val="%1."/>
      <w:numFmt w:val="decimal"/>
      <w:start w:val="9"/>
    </w:lvl>
    <w:lvl w:ilvl="1">
      <w:lvlJc w:val="left"/>
      <w:lvlText w:val="%2"/>
      <w:numFmt w:val="lowerLetter"/>
      <w:start w:val="1"/>
    </w:lvl>
  </w:abstractNum>
  <w:abstractNum w:abstractNumId="30">
    <w:nsid w:val="6A2342EC"/>
    <w:multiLevelType w:val="hybridMultilevel"/>
    <w:lvl w:ilvl="0">
      <w:lvlJc w:val="left"/>
      <w:lvlText w:val="%1."/>
      <w:numFmt w:val="decimal"/>
      <w:start w:val="11"/>
    </w:lvl>
  </w:abstractNum>
  <w:abstractNum w:abstractNumId="31">
    <w:nsid w:val="2A487CB0"/>
    <w:multiLevelType w:val="hybridMultilevel"/>
    <w:lvl w:ilvl="0">
      <w:lvlJc w:val="left"/>
      <w:lvlText w:val="%1."/>
      <w:numFmt w:val="decimal"/>
      <w:start w:val="16"/>
    </w:lvl>
  </w:abstractNum>
  <w:abstractNum w:abstractNumId="32">
    <w:nsid w:val="1D4ED43B"/>
    <w:multiLevelType w:val="hybridMultilevel"/>
    <w:lvl w:ilvl="0">
      <w:lvlJc w:val="left"/>
      <w:lvlText w:val="%1."/>
      <w:numFmt w:val="decimal"/>
      <w:start w:val="17"/>
    </w:lvl>
  </w:abstractNum>
  <w:abstractNum w:abstractNumId="33">
    <w:nsid w:val="725A06FB"/>
    <w:multiLevelType w:val="hybridMultilevel"/>
    <w:lvl w:ilvl="0">
      <w:lvlJc w:val="left"/>
      <w:lvlText w:val="%1."/>
      <w:numFmt w:val="decimal"/>
      <w:start w:val="2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6"/>
    </w:lvl>
  </w:abstractNum>
  <w:abstractNum w:abstractNumId="36">
    <w:nsid w:val="7A6D8D3C"/>
    <w:multiLevelType w:val="hybridMultilevel"/>
    <w:lvl w:ilvl="0">
      <w:lvlJc w:val="left"/>
      <w:lvlText w:val="%1."/>
      <w:numFmt w:val="upperLetter"/>
      <w:start w:val="9"/>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5"/>
    </w:lvl>
  </w:abstractNum>
  <w:abstractNum w:abstractNumId="39">
    <w:nsid w:val="6DE91B18"/>
    <w:multiLevelType w:val="hybridMultilevel"/>
    <w:lvl w:ilvl="0">
      <w:lvlJc w:val="left"/>
      <w:lvlText w:val="%1."/>
      <w:numFmt w:val="decimal"/>
      <w:start w:val="8"/>
    </w:lvl>
  </w:abstractNum>
  <w:abstractNum w:abstractNumId="40">
    <w:nsid w:val="38437FDB"/>
    <w:multiLevelType w:val="hybridMultilevel"/>
    <w:lvl w:ilvl="0">
      <w:lvlJc w:val="left"/>
      <w:lvlText w:val="%1."/>
      <w:numFmt w:val="decimal"/>
      <w:start w:val="9"/>
    </w:lvl>
  </w:abstractNum>
  <w:abstractNum w:abstractNumId="41">
    <w:nsid w:val="7644A45C"/>
    <w:multiLevelType w:val="hybridMultilevel"/>
    <w:lvl w:ilvl="0">
      <w:lvlJc w:val="left"/>
      <w:lvlText w:val="%1."/>
      <w:numFmt w:val="decimal"/>
      <w:start w:val="10"/>
    </w:lvl>
  </w:abstractNum>
  <w:abstractNum w:abstractNumId="42">
    <w:nsid w:val="32FFF902"/>
    <w:multiLevelType w:val="hybridMultilevel"/>
    <w:lvl w:ilvl="0">
      <w:lvlJc w:val="left"/>
      <w:lvlText w:val="%1."/>
      <w:numFmt w:val="decimal"/>
      <w:start w:val="12"/>
    </w:lvl>
  </w:abstractNum>
  <w:abstractNum w:abstractNumId="43">
    <w:nsid w:val="684A481A"/>
    <w:multiLevelType w:val="hybridMultilevel"/>
    <w:lvl w:ilvl="0">
      <w:lvlJc w:val="left"/>
      <w:lvlText w:val="%1."/>
      <w:numFmt w:val="decimal"/>
      <w:start w:val="14"/>
    </w:lvl>
  </w:abstractNum>
  <w:abstractNum w:abstractNumId="44">
    <w:nsid w:val="579478FE"/>
    <w:multiLevelType w:val="hybridMultilevel"/>
    <w:lvl w:ilvl="0">
      <w:lvlJc w:val="left"/>
      <w:lvlText w:val="%1."/>
      <w:numFmt w:val="decimal"/>
      <w:start w:val="15"/>
    </w:lvl>
  </w:abstractNum>
  <w:abstractNum w:abstractNumId="45">
    <w:nsid w:val="749ABB43"/>
    <w:multiLevelType w:val="hybridMultilevel"/>
    <w:lvl w:ilvl="0">
      <w:lvlJc w:val="left"/>
      <w:lvlText w:val="%1."/>
      <w:numFmt w:val="decimal"/>
      <w:start w:val="17"/>
    </w:lvl>
  </w:abstractNum>
  <w:abstractNum w:abstractNumId="46">
    <w:nsid w:val="3DC240FB"/>
    <w:multiLevelType w:val="hybridMultilevel"/>
    <w:lvl w:ilvl="0">
      <w:lvlJc w:val="left"/>
      <w:lvlText w:val="%1."/>
      <w:numFmt w:val="decimal"/>
      <w:start w:val="19"/>
    </w:lvl>
  </w:abstractNum>
  <w:abstractNum w:abstractNumId="47">
    <w:nsid w:val="1BA026FA"/>
    <w:multiLevelType w:val="hybridMultilevel"/>
    <w:lvl w:ilvl="0">
      <w:lvlJc w:val="left"/>
      <w:lvlText w:val="%1."/>
      <w:numFmt w:val="decimal"/>
      <w:start w:val="21"/>
    </w:lvl>
  </w:abstractNum>
  <w:abstractNum w:abstractNumId="48">
    <w:nsid w:val="79A1DEAA"/>
    <w:multiLevelType w:val="hybridMultilevel"/>
    <w:lvl w:ilvl="0">
      <w:lvlJc w:val="left"/>
      <w:lvlText w:val="%1."/>
      <w:numFmt w:val="decimal"/>
      <w:start w:val="22"/>
    </w:lvl>
  </w:abstractNum>
  <w:abstractNum w:abstractNumId="49">
    <w:nsid w:val="75C6C33A"/>
    <w:multiLevelType w:val="hybridMultilevel"/>
    <w:lvl w:ilvl="0">
      <w:lvlJc w:val="left"/>
      <w:lvlText w:val="%1."/>
      <w:numFmt w:val="decimal"/>
      <w:start w:val="2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32" Type="http://schemas.openxmlformats.org/officeDocument/2006/relationships/hyperlink" Target="http://www.sec.gov/Archives/edgar/data/1655210/000165521019000053/byndarcert_incorpex-31.htm" TargetMode="External"/><Relationship Id="rId33" Type="http://schemas.openxmlformats.org/officeDocument/2006/relationships/hyperlink" Target="http://www.sec.gov/Archives/edgar/data/1655210/000165521019000053/byndarbylawsex-32.htm" TargetMode="External"/><Relationship Id="rId34" Type="http://schemas.openxmlformats.org/officeDocument/2006/relationships/hyperlink" Target="http://www.sec.gov/Archives/edgar/data/1655210/000162828019003500/exhibit41-sx1a3.htm" TargetMode="External"/><Relationship Id="rId35" Type="http://schemas.openxmlformats.org/officeDocument/2006/relationships/hyperlink" Target="http://www.sec.gov/Archives/edgar/data/1655210/000162828018014471/exhibit42by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2019-12-28T09:38:50Z</dcterms:created>
  <dcterms:modified xsi:type="dcterms:W3CDTF">2019-12-28T09:38:50Z</dcterms:modified>
</cp:coreProperties>
</file>