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Beyond Meat,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957,442.00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957,442.00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957,442.00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957,442.00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957,442.00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957,442.00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957,442.00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957,442.00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957,442.00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Beyond Meat,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888 N. Douglas Street, Suite 100, El Segundo, California 90245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The percent of class was calculated based on 18,291,409 shares of Common Stock outstanding, which is the sum of (i) 515,818,978 shares of Common Stock outstanding as of August 5, 2026, as reported in the issuer's Form 10-Q filed with the SEC on August 6, 2026, as adjusted for the 1-for-30 reverse stock split which became effective at 11:59 p.m. Eastern Time on August 13, 2026, and (ii) 1,097,444 shares of Common Stock issued in connection with the initial settlement of the privately negotiated exchange agreements of the issuer's 0% convertible notes, as reported in the issuer's Form 8-K filed with the SEC on September 23, 2026.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September 25, 2026, by and among Millennium Management LLC, Millennium Group Management LLC and Israel A. Englander.</w:t>
            </w:r>
          </w:p>
        </w:tc>
      </w:tr>
    </w:tbl>
    <w:p>
      <w:pPr>
        <w:pStyle w:val="TextBody"/>
        <w:bidi w:val="0"/>
        <w:jc w:val="left"/>
        <w:rPr/>
      </w:pPr>
      <w:bookmarkStart w:id="24" w:name="tm2626495d1_ex-i.htm"/>
      <w:bookmarkStart w:id="25" w:name="kstm2626495d1_exi"/>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Beyond Meat,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25, 2026</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1468</Words>
  <Characters>7566</Characters>
  <CharactersWithSpaces>9032</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