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21"/>
          <w:szCs w:val="21"/>
          <w:color w:val="auto"/>
        </w:rPr>
        <w:t>April 29, 2019</w:t>
      </w: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53" w:lineRule="exact"/>
        <w:rPr>
          <w:sz w:val="24"/>
          <w:szCs w:val="24"/>
          <w:color w:val="auto"/>
        </w:rPr>
      </w:pPr>
    </w:p>
    <w:p>
      <w:pPr>
        <w:spacing w:after="0"/>
        <w:rPr>
          <w:sz w:val="20"/>
          <w:szCs w:val="20"/>
          <w:color w:val="auto"/>
        </w:rPr>
      </w:pPr>
      <w:r>
        <w:rPr>
          <w:rFonts w:ascii="Arial" w:cs="Arial" w:eastAsia="Arial" w:hAnsi="Arial"/>
          <w:sz w:val="21"/>
          <w:szCs w:val="21"/>
          <w:color w:val="auto"/>
        </w:rPr>
        <w:t>100 F Street, N.E.</w:t>
      </w:r>
    </w:p>
    <w:p>
      <w:pPr>
        <w:spacing w:after="0" w:line="1" w:lineRule="exact"/>
        <w:rPr>
          <w:sz w:val="24"/>
          <w:szCs w:val="24"/>
          <w:color w:val="auto"/>
        </w:rPr>
      </w:pPr>
    </w:p>
    <w:p>
      <w:pPr>
        <w:spacing w:after="0"/>
        <w:rPr>
          <w:sz w:val="20"/>
          <w:szCs w:val="20"/>
          <w:color w:val="auto"/>
        </w:rPr>
      </w:pPr>
      <w:r>
        <w:rPr>
          <w:rFonts w:ascii="Arial" w:cs="Arial" w:eastAsia="Arial" w:hAnsi="Arial"/>
          <w:sz w:val="21"/>
          <w:szCs w:val="21"/>
          <w:color w:val="auto"/>
        </w:rPr>
        <w:t>Washington, D.C. 20549</w:t>
      </w:r>
    </w:p>
    <w:p>
      <w:pPr>
        <w:sectPr>
          <w:pgSz w:w="12240" w:h="15840" w:orient="portrait"/>
          <w:cols w:equalWidth="0" w:num="1">
            <w:col w:w="11860"/>
          </w:cols>
          <w:pgMar w:left="120" w:top="351" w:right="260" w:bottom="1440" w:gutter="0" w:footer="0" w:header="0"/>
        </w:sectPr>
      </w:pPr>
    </w:p>
    <w:p>
      <w:pPr>
        <w:spacing w:after="0" w:line="200" w:lineRule="exact"/>
        <w:rPr>
          <w:sz w:val="24"/>
          <w:szCs w:val="24"/>
          <w:color w:val="auto"/>
        </w:rPr>
      </w:pPr>
    </w:p>
    <w:p>
      <w:pPr>
        <w:spacing w:after="0" w:line="239" w:lineRule="exact"/>
        <w:rPr>
          <w:sz w:val="24"/>
          <w:szCs w:val="24"/>
          <w:color w:val="auto"/>
        </w:rPr>
      </w:pPr>
    </w:p>
    <w:p>
      <w:pPr>
        <w:ind w:left="680"/>
        <w:spacing w:after="0"/>
        <w:rPr>
          <w:sz w:val="20"/>
          <w:szCs w:val="20"/>
          <w:color w:val="auto"/>
        </w:rPr>
      </w:pPr>
      <w:r>
        <w:rPr>
          <w:rFonts w:ascii="Arial" w:cs="Arial" w:eastAsia="Arial" w:hAnsi="Arial"/>
          <w:sz w:val="17"/>
          <w:szCs w:val="17"/>
          <w:color w:val="auto"/>
        </w:rPr>
        <w:t>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21"/>
          <w:szCs w:val="21"/>
          <w:color w:val="auto"/>
        </w:rPr>
        <w:t>Beyond Meat (the â€œCompanyâ€ )</w:t>
      </w:r>
    </w:p>
    <w:p>
      <w:pPr>
        <w:spacing w:after="0" w:line="19" w:lineRule="exact"/>
        <w:rPr>
          <w:sz w:val="24"/>
          <w:szCs w:val="24"/>
          <w:color w:val="auto"/>
        </w:rPr>
      </w:pPr>
    </w:p>
    <w:p>
      <w:pPr>
        <w:spacing w:after="0"/>
        <w:rPr>
          <w:sz w:val="20"/>
          <w:szCs w:val="20"/>
          <w:color w:val="auto"/>
        </w:rPr>
      </w:pPr>
      <w:r>
        <w:rPr>
          <w:rFonts w:ascii="Arial" w:cs="Arial" w:eastAsia="Arial" w:hAnsi="Arial"/>
          <w:sz w:val="19"/>
          <w:szCs w:val="19"/>
          <w:color w:val="auto"/>
        </w:rPr>
        <w:t>Registration Statement on Form S-1 (File No. 333-228453)</w:t>
      </w:r>
    </w:p>
    <w:p>
      <w:pPr>
        <w:spacing w:after="0" w:line="200" w:lineRule="exact"/>
        <w:rPr>
          <w:sz w:val="24"/>
          <w:szCs w:val="24"/>
          <w:color w:val="auto"/>
        </w:rPr>
      </w:pPr>
    </w:p>
    <w:p>
      <w:pPr>
        <w:sectPr>
          <w:pgSz w:w="12240" w:h="15840" w:orient="portrait"/>
          <w:cols w:equalWidth="0" w:num="2">
            <w:col w:w="960" w:space="400"/>
            <w:col w:w="10500"/>
          </w:cols>
          <w:pgMar w:left="120" w:top="351" w:right="260" w:bottom="144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21"/>
          <w:szCs w:val="21"/>
          <w:color w:val="auto"/>
        </w:rPr>
        <w:t>Ladies and Gentlemen:</w:t>
      </w:r>
    </w:p>
    <w:p>
      <w:pPr>
        <w:spacing w:after="0" w:line="229" w:lineRule="exact"/>
        <w:rPr>
          <w:sz w:val="24"/>
          <w:szCs w:val="24"/>
          <w:color w:val="auto"/>
        </w:rPr>
      </w:pPr>
    </w:p>
    <w:p>
      <w:pPr>
        <w:ind w:right="400" w:firstLine="685"/>
        <w:spacing w:after="0" w:line="292" w:lineRule="auto"/>
        <w:rPr>
          <w:sz w:val="20"/>
          <w:szCs w:val="20"/>
          <w:color w:val="auto"/>
        </w:rPr>
      </w:pPr>
      <w:r>
        <w:rPr>
          <w:rFonts w:ascii="Arial" w:cs="Arial" w:eastAsia="Arial" w:hAnsi="Arial"/>
          <w:sz w:val="19"/>
          <w:szCs w:val="19"/>
          <w:color w:val="auto"/>
        </w:rPr>
        <w:t>As representatives of the several underwriters of the Company's proposed public offering of common stock, we hereby join the Companyâ€™s request that the effective date of the above-referenced Registration Statement be accelerated so that the above-referenced Registration Statement will be declared effective at 4:00 pm (ET) on May 1, 2019, or as soon thereafter as is practicable.</w:t>
      </w:r>
    </w:p>
    <w:p>
      <w:pPr>
        <w:spacing w:after="0" w:line="158" w:lineRule="exact"/>
        <w:rPr>
          <w:sz w:val="24"/>
          <w:szCs w:val="24"/>
          <w:color w:val="auto"/>
        </w:rPr>
      </w:pPr>
    </w:p>
    <w:p>
      <w:pPr>
        <w:ind w:firstLine="685"/>
        <w:spacing w:after="0" w:line="253" w:lineRule="auto"/>
        <w:rPr>
          <w:sz w:val="20"/>
          <w:szCs w:val="20"/>
          <w:color w:val="auto"/>
        </w:rPr>
      </w:pPr>
      <w:r>
        <w:rPr>
          <w:rFonts w:ascii="Arial" w:cs="Arial" w:eastAsia="Arial" w:hAnsi="Arial"/>
          <w:sz w:val="21"/>
          <w:szCs w:val="21"/>
          <w:color w:val="auto"/>
        </w:rPr>
        <w:t>Pursuant to Rule 460 of the General Rules and Regulations of the Securities and Exchange Commission under the Securities Act of 1933, as amended, we wish to advise you that we have effected the following distribution of the Companyâ€™s Preliminary Prospectus dated April 22, 2019, through the date hereof:</w:t>
      </w:r>
    </w:p>
    <w:p>
      <w:pPr>
        <w:spacing w:after="0" w:line="192" w:lineRule="exact"/>
        <w:rPr>
          <w:sz w:val="24"/>
          <w:szCs w:val="24"/>
          <w:color w:val="auto"/>
        </w:rPr>
      </w:pPr>
    </w:p>
    <w:p>
      <w:pPr>
        <w:ind w:left="680"/>
        <w:spacing w:after="0"/>
        <w:rPr>
          <w:sz w:val="20"/>
          <w:szCs w:val="20"/>
          <w:color w:val="auto"/>
        </w:rPr>
      </w:pPr>
      <w:r>
        <w:rPr>
          <w:rFonts w:ascii="Arial" w:cs="Arial" w:eastAsia="Arial" w:hAnsi="Arial"/>
          <w:sz w:val="21"/>
          <w:szCs w:val="21"/>
          <w:u w:val="single" w:color="auto"/>
          <w:color w:val="auto"/>
        </w:rPr>
        <w:t>Preliminary Prospectus dated April 22, 2019:</w:t>
      </w:r>
    </w:p>
    <w:p>
      <w:pPr>
        <w:spacing w:after="0" w:line="229" w:lineRule="exact"/>
        <w:rPr>
          <w:sz w:val="24"/>
          <w:szCs w:val="24"/>
          <w:color w:val="auto"/>
        </w:rPr>
      </w:pPr>
    </w:p>
    <w:p>
      <w:pPr>
        <w:ind w:left="680"/>
        <w:spacing w:after="0"/>
        <w:rPr>
          <w:sz w:val="20"/>
          <w:szCs w:val="20"/>
          <w:color w:val="auto"/>
        </w:rPr>
      </w:pPr>
      <w:r>
        <w:rPr>
          <w:rFonts w:ascii="Arial" w:cs="Arial" w:eastAsia="Arial" w:hAnsi="Arial"/>
          <w:sz w:val="21"/>
          <w:szCs w:val="21"/>
          <w:color w:val="auto"/>
        </w:rPr>
        <w:t>2,485 copies to prospective underwriters, institutional investors, dealers and others</w:t>
      </w:r>
    </w:p>
    <w:p>
      <w:pPr>
        <w:spacing w:after="0" w:line="229" w:lineRule="exact"/>
        <w:rPr>
          <w:sz w:val="24"/>
          <w:szCs w:val="24"/>
          <w:color w:val="auto"/>
        </w:rPr>
      </w:pPr>
    </w:p>
    <w:p>
      <w:pPr>
        <w:ind w:firstLine="685"/>
        <w:spacing w:after="0" w:line="253" w:lineRule="auto"/>
        <w:rPr>
          <w:sz w:val="20"/>
          <w:szCs w:val="20"/>
          <w:color w:val="auto"/>
        </w:rPr>
      </w:pPr>
      <w:r>
        <w:rPr>
          <w:rFonts w:ascii="Arial" w:cs="Arial" w:eastAsia="Arial" w:hAnsi="Arial"/>
          <w:sz w:val="21"/>
          <w:szCs w:val="21"/>
          <w:color w:val="auto"/>
        </w:rPr>
        <w:t>The undersigned advise that they have complied and will continue to comply, and that they have been informed by the participating underwriters and dealers that they have complied with and will continue to comply, with the requirements of Rule 15c2-8 under the Securities Exchange Act of 1934, as amended.</w:t>
      </w:r>
    </w:p>
    <w:p>
      <w:pPr>
        <w:spacing w:after="0" w:line="200" w:lineRule="exact"/>
        <w:rPr>
          <w:sz w:val="24"/>
          <w:szCs w:val="24"/>
          <w:color w:val="auto"/>
        </w:rPr>
      </w:pPr>
    </w:p>
    <w:p>
      <w:pPr>
        <w:spacing w:after="0" w:line="220" w:lineRule="exact"/>
        <w:rPr>
          <w:sz w:val="24"/>
          <w:szCs w:val="24"/>
          <w:color w:val="auto"/>
        </w:rPr>
      </w:pPr>
    </w:p>
    <w:p>
      <w:pPr>
        <w:jc w:val="center"/>
        <w:ind w:right="-139"/>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Remainder of Page Intentionally Left Blank</w:t>
      </w:r>
      <w:r>
        <w:rPr>
          <w:rFonts w:ascii="Arial" w:cs="Arial" w:eastAsia="Arial" w:hAnsi="Arial"/>
          <w:sz w:val="21"/>
          <w:szCs w:val="21"/>
          <w:color w:val="auto"/>
        </w:rPr>
        <w:t>]</w:t>
      </w:r>
    </w:p>
    <w:p>
      <w:pPr>
        <w:sectPr>
          <w:pgSz w:w="12240" w:h="15840" w:orient="portrait"/>
          <w:cols w:equalWidth="0" w:num="1">
            <w:col w:w="11860"/>
          </w:cols>
          <w:pgMar w:left="120" w:top="351" w:right="260" w:bottom="1440" w:gutter="0" w:footer="0" w:header="0"/>
          <w:type w:val="continuous"/>
        </w:sectPr>
      </w:pPr>
    </w:p>
    <w:bookmarkStart w:id="1" w:name="page2"/>
    <w:bookmarkEnd w:id="1"/>
    <w:p>
      <w:pPr>
        <w:spacing w:after="0"/>
        <w:rPr>
          <w:sz w:val="20"/>
          <w:szCs w:val="20"/>
          <w:color w:val="auto"/>
        </w:rPr>
      </w:pPr>
      <w:r>
        <w:rPr>
          <w:rFonts w:ascii="Arial" w:cs="Arial" w:eastAsia="Arial" w:hAnsi="Arial"/>
          <w:sz w:val="21"/>
          <w:szCs w:val="21"/>
          <w:color w:val="auto"/>
        </w:rPr>
        <w:t>Very truly yours,</w:t>
      </w:r>
    </w:p>
    <w:p>
      <w:pPr>
        <w:spacing w:after="0" w:line="400" w:lineRule="exact"/>
        <w:rPr>
          <w:sz w:val="20"/>
          <w:szCs w:val="20"/>
          <w:color w:val="auto"/>
        </w:rPr>
      </w:pPr>
    </w:p>
    <w:p>
      <w:pPr>
        <w:spacing w:after="0"/>
        <w:rPr>
          <w:sz w:val="20"/>
          <w:szCs w:val="20"/>
          <w:color w:val="auto"/>
        </w:rPr>
      </w:pPr>
      <w:r>
        <w:rPr>
          <w:rFonts w:ascii="Arial" w:cs="Arial" w:eastAsia="Arial" w:hAnsi="Arial"/>
          <w:sz w:val="21"/>
          <w:szCs w:val="21"/>
          <w:color w:val="auto"/>
        </w:rPr>
        <w:t>As Representatives of the several Underwriters</w:t>
      </w:r>
    </w:p>
    <w:p>
      <w:pPr>
        <w:spacing w:after="0" w:line="400" w:lineRule="exact"/>
        <w:rPr>
          <w:sz w:val="20"/>
          <w:szCs w:val="20"/>
          <w:color w:val="auto"/>
        </w:rPr>
      </w:pPr>
    </w:p>
    <w:p>
      <w:pPr>
        <w:spacing w:after="0"/>
        <w:rPr>
          <w:sz w:val="20"/>
          <w:szCs w:val="20"/>
          <w:color w:val="auto"/>
        </w:rPr>
      </w:pPr>
      <w:r>
        <w:rPr>
          <w:rFonts w:ascii="Arial" w:cs="Arial" w:eastAsia="Arial" w:hAnsi="Arial"/>
          <w:sz w:val="21"/>
          <w:szCs w:val="21"/>
          <w:color w:val="auto"/>
        </w:rPr>
        <w:t>GOLDMAN SACHS &amp; CO. LLC</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560" w:val="left"/>
        </w:tabs>
        <w:rPr>
          <w:sz w:val="20"/>
          <w:szCs w:val="20"/>
          <w:color w:val="auto"/>
        </w:rPr>
      </w:pPr>
      <w:r>
        <w:rPr>
          <w:rFonts w:ascii="Arial" w:cs="Arial" w:eastAsia="Arial" w:hAnsi="Arial"/>
          <w:sz w:val="21"/>
          <w:szCs w:val="21"/>
          <w:color w:val="auto"/>
        </w:rPr>
        <w:t>By:</w:t>
        <w:tab/>
        <w:t>/s/ Lindsay Drucker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30480</wp:posOffset>
            </wp:positionV>
            <wp:extent cx="32512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51200" cy="8890"/>
                    </a:xfrm>
                    <a:prstGeom prst="rect">
                      <a:avLst/>
                    </a:prstGeom>
                    <a:noFill/>
                  </pic:spPr>
                </pic:pic>
              </a:graphicData>
            </a:graphic>
          </wp:anchor>
        </w:drawing>
      </w:r>
    </w:p>
    <w:p>
      <w:pPr>
        <w:spacing w:after="0" w:line="52" w:lineRule="exact"/>
        <w:rPr>
          <w:sz w:val="20"/>
          <w:szCs w:val="20"/>
          <w:color w:val="auto"/>
        </w:rPr>
      </w:pPr>
    </w:p>
    <w:p>
      <w:pPr>
        <w:ind w:left="580"/>
        <w:spacing w:after="0"/>
        <w:rPr>
          <w:sz w:val="20"/>
          <w:szCs w:val="20"/>
          <w:color w:val="auto"/>
        </w:rPr>
      </w:pPr>
      <w:r>
        <w:rPr>
          <w:rFonts w:ascii="Arial" w:cs="Arial" w:eastAsia="Arial" w:hAnsi="Arial"/>
          <w:sz w:val="21"/>
          <w:szCs w:val="21"/>
          <w:color w:val="auto"/>
        </w:rPr>
        <w:t>Name: Lindsay Drucker Mann</w:t>
      </w:r>
    </w:p>
    <w:p>
      <w:pPr>
        <w:spacing w:after="0" w:line="58"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1"/>
          <w:szCs w:val="21"/>
          <w:color w:val="auto"/>
        </w:rPr>
        <w:t>J.P. MORGAN SECURITIES LLC</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560" w:val="left"/>
        </w:tabs>
        <w:rPr>
          <w:sz w:val="20"/>
          <w:szCs w:val="20"/>
          <w:color w:val="auto"/>
        </w:rPr>
      </w:pPr>
      <w:r>
        <w:rPr>
          <w:rFonts w:ascii="Arial" w:cs="Arial" w:eastAsia="Arial" w:hAnsi="Arial"/>
          <w:sz w:val="21"/>
          <w:szCs w:val="21"/>
          <w:color w:val="auto"/>
        </w:rPr>
        <w:t>By:</w:t>
        <w:tab/>
        <w:t>/s/ Jason Fournier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30480</wp:posOffset>
            </wp:positionV>
            <wp:extent cx="32512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51200" cy="8890"/>
                    </a:xfrm>
                    <a:prstGeom prst="rect">
                      <a:avLst/>
                    </a:prstGeom>
                    <a:noFill/>
                  </pic:spPr>
                </pic:pic>
              </a:graphicData>
            </a:graphic>
          </wp:anchor>
        </w:drawing>
      </w:r>
    </w:p>
    <w:p>
      <w:pPr>
        <w:spacing w:after="0" w:line="52" w:lineRule="exact"/>
        <w:rPr>
          <w:sz w:val="20"/>
          <w:szCs w:val="20"/>
          <w:color w:val="auto"/>
        </w:rPr>
      </w:pPr>
    </w:p>
    <w:p>
      <w:pPr>
        <w:ind w:left="580"/>
        <w:spacing w:after="0"/>
        <w:rPr>
          <w:sz w:val="20"/>
          <w:szCs w:val="20"/>
          <w:color w:val="auto"/>
        </w:rPr>
      </w:pPr>
      <w:r>
        <w:rPr>
          <w:rFonts w:ascii="Arial" w:cs="Arial" w:eastAsia="Arial" w:hAnsi="Arial"/>
          <w:sz w:val="21"/>
          <w:szCs w:val="21"/>
          <w:color w:val="auto"/>
        </w:rPr>
        <w:t>Name: Jason Fournier</w:t>
      </w:r>
    </w:p>
    <w:p>
      <w:pPr>
        <w:spacing w:after="0" w:line="58"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1"/>
          <w:szCs w:val="21"/>
          <w:color w:val="auto"/>
        </w:rPr>
        <w:t>CREDIT SUISSE SECURITIES (USA) LLC</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560" w:val="left"/>
        </w:tabs>
        <w:rPr>
          <w:sz w:val="20"/>
          <w:szCs w:val="20"/>
          <w:color w:val="auto"/>
        </w:rPr>
      </w:pPr>
      <w:r>
        <w:rPr>
          <w:rFonts w:ascii="Arial" w:cs="Arial" w:eastAsia="Arial" w:hAnsi="Arial"/>
          <w:sz w:val="21"/>
          <w:szCs w:val="21"/>
          <w:color w:val="auto"/>
        </w:rPr>
        <w:t>By:</w:t>
        <w:tab/>
        <w:t>/s/ Justin Sterling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30480</wp:posOffset>
            </wp:positionV>
            <wp:extent cx="3251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1200" cy="8890"/>
                    </a:xfrm>
                    <a:prstGeom prst="rect">
                      <a:avLst/>
                    </a:prstGeom>
                    <a:noFill/>
                  </pic:spPr>
                </pic:pic>
              </a:graphicData>
            </a:graphic>
          </wp:anchor>
        </w:drawing>
      </w:r>
    </w:p>
    <w:p>
      <w:pPr>
        <w:spacing w:after="0" w:line="52" w:lineRule="exact"/>
        <w:rPr>
          <w:sz w:val="20"/>
          <w:szCs w:val="20"/>
          <w:color w:val="auto"/>
        </w:rPr>
      </w:pPr>
    </w:p>
    <w:p>
      <w:pPr>
        <w:ind w:left="580"/>
        <w:spacing w:after="0"/>
        <w:rPr>
          <w:sz w:val="20"/>
          <w:szCs w:val="20"/>
          <w:color w:val="auto"/>
        </w:rPr>
      </w:pPr>
      <w:r>
        <w:rPr>
          <w:rFonts w:ascii="Arial" w:cs="Arial" w:eastAsia="Arial" w:hAnsi="Arial"/>
          <w:sz w:val="21"/>
          <w:szCs w:val="21"/>
          <w:color w:val="auto"/>
        </w:rPr>
        <w:t>Name: Justin Sterling</w:t>
      </w:r>
    </w:p>
    <w:p>
      <w:pPr>
        <w:spacing w:after="0" w:line="58"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20"/>
          <w:szCs w:val="20"/>
          <w:color w:val="auto"/>
        </w:rPr>
        <w:t>Director</w:t>
      </w:r>
    </w:p>
    <w:p>
      <w:pPr>
        <w:spacing w:after="0" w:line="291" w:lineRule="exact"/>
        <w:rPr>
          <w:sz w:val="20"/>
          <w:szCs w:val="20"/>
          <w:color w:val="auto"/>
        </w:rPr>
      </w:pPr>
    </w:p>
    <w:p>
      <w:pPr>
        <w:jc w:val="right"/>
        <w:ind w:right="2440"/>
        <w:spacing w:after="0"/>
        <w:rPr>
          <w:sz w:val="20"/>
          <w:szCs w:val="20"/>
          <w:color w:val="auto"/>
        </w:rPr>
      </w:pPr>
      <w:r>
        <w:rPr>
          <w:rFonts w:ascii="Arial" w:cs="Arial" w:eastAsia="Arial" w:hAnsi="Arial"/>
          <w:sz w:val="19"/>
          <w:szCs w:val="19"/>
          <w:i w:val="1"/>
          <w:iCs w:val="1"/>
          <w:color w:val="auto"/>
        </w:rPr>
        <w:t>[Signature Page to Acceleration Request by Underwriters]</w:t>
      </w:r>
    </w:p>
    <w:sectPr>
      <w:pgSz w:w="12240" w:h="15840" w:orient="portrait"/>
      <w:cols w:equalWidth="0" w:num="1">
        <w:col w:w="10660"/>
      </w:cols>
      <w:pgMar w:left="140" w:top="4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2019-12-15T18:22:13Z</dcterms:created>
  <dcterms:modified xsi:type="dcterms:W3CDTF">2019-12-15T18:22:13Z</dcterms:modified>
</cp:coreProperties>
</file>