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3960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396049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Goldman Seth</w:t>
        </w:r>
      </w:hyperlink>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920" w:type="dxa"/>
            <w:vAlign w:val="bottom"/>
          </w:tcPr>
          <w:p>
            <w:pPr>
              <w:spacing w:after="0"/>
              <w:rPr>
                <w:sz w:val="20"/>
                <w:szCs w:val="20"/>
                <w:color w:val="auto"/>
              </w:rPr>
            </w:pPr>
            <w:r>
              <w:rPr>
                <w:rFonts w:ascii="Arial" w:cs="Arial" w:eastAsia="Arial" w:hAnsi="Arial"/>
                <w:sz w:val="9"/>
                <w:szCs w:val="9"/>
                <w:color w:val="auto"/>
              </w:rPr>
              <w:t>(Last)</w:t>
            </w:r>
          </w:p>
        </w:tc>
        <w:tc>
          <w:tcPr>
            <w:tcW w:w="860" w:type="dxa"/>
            <w:vAlign w:val="bottom"/>
          </w:tcPr>
          <w:p>
            <w:pPr>
              <w:ind w:left="1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C/O BEYOND MEAT, INC.</w:t>
            </w: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119 STANDARD STREET</w:t>
            </w: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7"/>
        </w:trPr>
        <w:tc>
          <w:tcPr>
            <w:tcW w:w="960" w:type="dxa"/>
            <w:vAlign w:val="bottom"/>
            <w:gridSpan w:val="2"/>
          </w:tcPr>
          <w:p>
            <w:pPr>
              <w:spacing w:after="0"/>
              <w:rPr>
                <w:sz w:val="20"/>
                <w:szCs w:val="20"/>
                <w:color w:val="auto"/>
              </w:rPr>
            </w:pPr>
            <w:r>
              <w:rPr>
                <w:rFonts w:ascii="Arial" w:cs="Arial" w:eastAsia="Arial" w:hAnsi="Arial"/>
                <w:sz w:val="9"/>
                <w:szCs w:val="9"/>
                <w:color w:val="auto"/>
              </w:rPr>
              <w:t>(Street)</w:t>
            </w: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2"/>
                <w:szCs w:val="12"/>
                <w:color w:val="0000FF"/>
              </w:rPr>
              <w:t>EL SEGUNDO</w:t>
            </w:r>
          </w:p>
        </w:tc>
        <w:tc>
          <w:tcPr>
            <w:tcW w:w="860" w:type="dxa"/>
            <w:vAlign w:val="bottom"/>
          </w:tcPr>
          <w:p>
            <w:pPr>
              <w:ind w:left="180"/>
              <w:spacing w:after="0"/>
              <w:rPr>
                <w:sz w:val="20"/>
                <w:szCs w:val="20"/>
                <w:color w:val="auto"/>
              </w:rPr>
            </w:pPr>
            <w:r>
              <w:rPr>
                <w:rFonts w:ascii="Arial" w:cs="Arial" w:eastAsia="Arial" w:hAnsi="Arial"/>
                <w:sz w:val="12"/>
                <w:szCs w:val="12"/>
                <w:color w:val="0000FF"/>
              </w:rPr>
              <w:t>CA</w:t>
            </w:r>
          </w:p>
        </w:tc>
        <w:tc>
          <w:tcPr>
            <w:tcW w:w="1500" w:type="dxa"/>
            <w:vAlign w:val="bottom"/>
          </w:tcPr>
          <w:p>
            <w:pPr>
              <w:ind w:left="420"/>
              <w:spacing w:after="0"/>
              <w:rPr>
                <w:sz w:val="20"/>
                <w:szCs w:val="20"/>
                <w:color w:val="auto"/>
              </w:rPr>
            </w:pPr>
            <w:r>
              <w:rPr>
                <w:rFonts w:ascii="Arial" w:cs="Arial" w:eastAsia="Arial" w:hAnsi="Arial"/>
                <w:sz w:val="12"/>
                <w:szCs w:val="12"/>
                <w:color w:val="0000FF"/>
              </w:rPr>
              <w:t>90245</w:t>
            </w:r>
          </w:p>
        </w:tc>
      </w:tr>
    </w:tbl>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05/01/2019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BEYOND MEAT,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BYND</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2100" w:type="dxa"/>
            <w:vAlign w:val="bottom"/>
            <w:gridSpan w:val="3"/>
          </w:tcPr>
          <w:p>
            <w:pPr>
              <w:spacing w:after="0"/>
              <w:rPr>
                <w:sz w:val="20"/>
                <w:szCs w:val="20"/>
                <w:color w:val="auto"/>
              </w:rPr>
            </w:pPr>
            <w:r>
              <w:rPr>
                <w:rFonts w:ascii="Arial" w:cs="Arial" w:eastAsia="Arial" w:hAnsi="Arial"/>
                <w:sz w:val="9"/>
                <w:szCs w:val="9"/>
                <w:color w:val="auto"/>
              </w:rPr>
              <w:t>4. Relationship of Reporting Person(s) to Issuer</w:t>
            </w:r>
          </w:p>
        </w:tc>
        <w:tc>
          <w:tcPr>
            <w:tcW w:w="1420" w:type="dxa"/>
            <w:vAlign w:val="bottom"/>
            <w:gridSpan w:val="2"/>
          </w:tcPr>
          <w:p>
            <w:pPr>
              <w:jc w:val="right"/>
              <w:spacing w:after="0"/>
              <w:rPr>
                <w:sz w:val="20"/>
                <w:szCs w:val="20"/>
                <w:color w:val="auto"/>
              </w:rPr>
            </w:pPr>
            <w:r>
              <w:rPr>
                <w:rFonts w:ascii="Arial" w:cs="Arial" w:eastAsia="Arial" w:hAnsi="Arial"/>
                <w:sz w:val="9"/>
                <w:szCs w:val="9"/>
                <w:color w:val="auto"/>
              </w:rPr>
              <w:t>5.</w:t>
            </w:r>
          </w:p>
        </w:tc>
        <w:tc>
          <w:tcPr>
            <w:tcW w:w="2760" w:type="dxa"/>
            <w:vAlign w:val="bottom"/>
            <w:gridSpan w:val="2"/>
          </w:tcPr>
          <w:p>
            <w:pPr>
              <w:jc w:val="center"/>
              <w:ind w:right="495"/>
              <w:spacing w:after="0"/>
              <w:rPr>
                <w:sz w:val="20"/>
                <w:szCs w:val="20"/>
                <w:color w:val="auto"/>
              </w:rPr>
            </w:pPr>
            <w:r>
              <w:rPr>
                <w:rFonts w:ascii="Arial" w:cs="Arial" w:eastAsia="Arial" w:hAnsi="Arial"/>
                <w:sz w:val="9"/>
                <w:szCs w:val="9"/>
                <w:color w:val="auto"/>
                <w:w w:val="99"/>
              </w:rPr>
              <w:t>If Amendment, Date of Original Filed (Month/Day/Year)</w:t>
            </w:r>
          </w:p>
        </w:tc>
        <w:tc>
          <w:tcPr>
            <w:tcW w:w="0" w:type="dxa"/>
            <w:vAlign w:val="bottom"/>
          </w:tcPr>
          <w:p>
            <w:pPr>
              <w:spacing w:after="0"/>
              <w:rPr>
                <w:sz w:val="1"/>
                <w:szCs w:val="1"/>
                <w:color w:val="auto"/>
              </w:rPr>
            </w:pPr>
          </w:p>
        </w:tc>
      </w:tr>
      <w:tr>
        <w:trPr>
          <w:trHeight w:val="108"/>
        </w:trPr>
        <w:tc>
          <w:tcPr>
            <w:tcW w:w="1700" w:type="dxa"/>
            <w:vAlign w:val="bottom"/>
            <w:gridSpan w:val="2"/>
          </w:tcPr>
          <w:p>
            <w:pPr>
              <w:spacing w:after="0"/>
              <w:rPr>
                <w:sz w:val="20"/>
                <w:szCs w:val="20"/>
                <w:color w:val="auto"/>
              </w:rPr>
            </w:pPr>
            <w:r>
              <w:rPr>
                <w:rFonts w:ascii="Arial" w:cs="Arial" w:eastAsia="Arial" w:hAnsi="Arial"/>
                <w:sz w:val="9"/>
                <w:szCs w:val="9"/>
                <w:color w:val="auto"/>
              </w:rPr>
              <w:t>(Check all applicable)</w:t>
            </w: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40" w:type="dxa"/>
            <w:vAlign w:val="bottom"/>
            <w:vMerge w:val="restart"/>
          </w:tcPr>
          <w:p>
            <w:pPr>
              <w:ind w:left="240"/>
              <w:spacing w:after="0" w:line="136" w:lineRule="exact"/>
              <w:rPr>
                <w:sz w:val="20"/>
                <w:szCs w:val="20"/>
                <w:color w:val="auto"/>
              </w:rPr>
            </w:pPr>
            <w:r>
              <w:rPr>
                <w:rFonts w:ascii="Arial" w:cs="Arial" w:eastAsia="Arial" w:hAnsi="Arial"/>
                <w:sz w:val="12"/>
                <w:szCs w:val="12"/>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9"/>
                <w:szCs w:val="9"/>
                <w:color w:val="auto"/>
              </w:rPr>
              <w:t>Director</w:t>
            </w:r>
          </w:p>
        </w:tc>
        <w:tc>
          <w:tcPr>
            <w:tcW w:w="400" w:type="dxa"/>
            <w:vAlign w:val="bottom"/>
          </w:tcPr>
          <w:p>
            <w:pPr>
              <w:spacing w:after="0"/>
              <w:rPr>
                <w:sz w:val="7"/>
                <w:szCs w:val="7"/>
                <w:color w:val="auto"/>
              </w:rPr>
            </w:pPr>
          </w:p>
        </w:tc>
        <w:tc>
          <w:tcPr>
            <w:tcW w:w="1300" w:type="dxa"/>
            <w:vAlign w:val="bottom"/>
            <w:vMerge w:val="restart"/>
          </w:tcPr>
          <w:p>
            <w:pPr>
              <w:ind w:left="100"/>
              <w:spacing w:after="0"/>
              <w:rPr>
                <w:sz w:val="20"/>
                <w:szCs w:val="20"/>
                <w:color w:val="auto"/>
              </w:rPr>
            </w:pPr>
            <w:r>
              <w:rPr>
                <w:rFonts w:ascii="Arial" w:cs="Arial" w:eastAsia="Arial" w:hAnsi="Arial"/>
                <w:sz w:val="9"/>
                <w:szCs w:val="9"/>
                <w:color w:val="auto"/>
              </w:rPr>
              <w:t>10% Owner</w:t>
            </w: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44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2"/>
        </w:trPr>
        <w:tc>
          <w:tcPr>
            <w:tcW w:w="440" w:type="dxa"/>
            <w:vAlign w:val="bottom"/>
          </w:tcPr>
          <w:p>
            <w:pPr>
              <w:spacing w:after="0"/>
              <w:rPr>
                <w:sz w:val="7"/>
                <w:szCs w:val="7"/>
                <w:color w:val="auto"/>
              </w:rPr>
            </w:pPr>
          </w:p>
        </w:tc>
        <w:tc>
          <w:tcPr>
            <w:tcW w:w="1260" w:type="dxa"/>
            <w:vAlign w:val="bottom"/>
            <w:vMerge w:val="restart"/>
          </w:tcPr>
          <w:p>
            <w:pPr>
              <w:ind w:left="100"/>
              <w:spacing w:after="0"/>
              <w:rPr>
                <w:sz w:val="20"/>
                <w:szCs w:val="20"/>
                <w:color w:val="auto"/>
              </w:rPr>
            </w:pPr>
            <w:r>
              <w:rPr>
                <w:rFonts w:ascii="Arial" w:cs="Arial" w:eastAsia="Arial" w:hAnsi="Arial"/>
                <w:sz w:val="9"/>
                <w:szCs w:val="9"/>
                <w:color w:val="auto"/>
              </w:rPr>
              <w:t>Officer (give title below)</w:t>
            </w:r>
          </w:p>
        </w:tc>
        <w:tc>
          <w:tcPr>
            <w:tcW w:w="400" w:type="dxa"/>
            <w:vAlign w:val="bottom"/>
            <w:vMerge w:val="restart"/>
          </w:tcPr>
          <w:p>
            <w:pPr>
              <w:ind w:left="200"/>
              <w:spacing w:after="0"/>
              <w:rPr>
                <w:sz w:val="20"/>
                <w:szCs w:val="20"/>
                <w:color w:val="auto"/>
              </w:rPr>
            </w:pPr>
            <w:r>
              <w:rPr>
                <w:rFonts w:ascii="Arial" w:cs="Arial" w:eastAsia="Arial" w:hAnsi="Arial"/>
                <w:sz w:val="12"/>
                <w:szCs w:val="12"/>
                <w:color w:val="0000FF"/>
              </w:rPr>
              <w:t>X</w:t>
            </w:r>
          </w:p>
        </w:tc>
        <w:tc>
          <w:tcPr>
            <w:tcW w:w="1420" w:type="dxa"/>
            <w:vAlign w:val="bottom"/>
            <w:gridSpan w:val="2"/>
          </w:tcPr>
          <w:p>
            <w:pPr>
              <w:jc w:val="right"/>
              <w:spacing w:after="0" w:line="82" w:lineRule="exact"/>
              <w:rPr>
                <w:sz w:val="20"/>
                <w:szCs w:val="20"/>
                <w:color w:val="auto"/>
              </w:rPr>
            </w:pPr>
            <w:r>
              <w:rPr>
                <w:rFonts w:ascii="Arial" w:cs="Arial" w:eastAsia="Arial" w:hAnsi="Arial"/>
                <w:sz w:val="9"/>
                <w:szCs w:val="9"/>
                <w:color w:val="auto"/>
              </w:rPr>
              <w:t>6.</w:t>
            </w:r>
          </w:p>
        </w:tc>
        <w:tc>
          <w:tcPr>
            <w:tcW w:w="2760" w:type="dxa"/>
            <w:vAlign w:val="bottom"/>
            <w:gridSpan w:val="2"/>
          </w:tcPr>
          <w:p>
            <w:pPr>
              <w:jc w:val="center"/>
              <w:ind w:right="475"/>
              <w:spacing w:after="0" w:line="82" w:lineRule="exact"/>
              <w:rPr>
                <w:sz w:val="20"/>
                <w:szCs w:val="20"/>
                <w:color w:val="auto"/>
              </w:rPr>
            </w:pPr>
            <w:r>
              <w:rPr>
                <w:rFonts w:ascii="Arial" w:cs="Arial" w:eastAsia="Arial" w:hAnsi="Arial"/>
                <w:sz w:val="9"/>
                <w:szCs w:val="9"/>
                <w:color w:val="auto"/>
              </w:rPr>
              <w:t>Individual or Joint/Group Filing (Check Applicable Line)</w:t>
            </w: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420" w:type="dxa"/>
            <w:vAlign w:val="bottom"/>
            <w:gridSpan w:val="2"/>
          </w:tcPr>
          <w:p>
            <w:pPr>
              <w:ind w:left="100"/>
              <w:spacing w:after="0"/>
              <w:rPr>
                <w:sz w:val="20"/>
                <w:szCs w:val="20"/>
                <w:color w:val="auto"/>
              </w:rPr>
            </w:pPr>
            <w:r>
              <w:rPr>
                <w:rFonts w:ascii="Arial" w:cs="Arial" w:eastAsia="Arial" w:hAnsi="Arial"/>
                <w:sz w:val="9"/>
                <w:szCs w:val="9"/>
                <w:color w:val="auto"/>
              </w:rPr>
              <w:t>Other (specify below)</w:t>
            </w:r>
          </w:p>
        </w:tc>
        <w:tc>
          <w:tcPr>
            <w:tcW w:w="280" w:type="dxa"/>
            <w:vAlign w:val="bottom"/>
            <w:vMerge w:val="restart"/>
          </w:tcPr>
          <w:p>
            <w:pPr>
              <w:ind w:left="100"/>
              <w:spacing w:after="0"/>
              <w:rPr>
                <w:sz w:val="20"/>
                <w:szCs w:val="20"/>
                <w:color w:val="auto"/>
              </w:rPr>
            </w:pPr>
            <w:r>
              <w:rPr>
                <w:rFonts w:ascii="Arial" w:cs="Arial" w:eastAsia="Arial" w:hAnsi="Arial"/>
                <w:sz w:val="12"/>
                <w:szCs w:val="12"/>
                <w:color w:val="0000FF"/>
              </w:rPr>
              <w:t>X</w:t>
            </w:r>
          </w:p>
        </w:tc>
        <w:tc>
          <w:tcPr>
            <w:tcW w:w="2480" w:type="dxa"/>
            <w:vAlign w:val="bottom"/>
            <w:vMerge w:val="restart"/>
          </w:tcPr>
          <w:p>
            <w:pPr>
              <w:jc w:val="center"/>
              <w:ind w:right="795"/>
              <w:spacing w:after="0"/>
              <w:rPr>
                <w:sz w:val="20"/>
                <w:szCs w:val="20"/>
                <w:color w:val="auto"/>
              </w:rPr>
            </w:pPr>
            <w:r>
              <w:rPr>
                <w:rFonts w:ascii="Arial" w:cs="Arial" w:eastAsia="Arial" w:hAnsi="Arial"/>
                <w:sz w:val="9"/>
                <w:szCs w:val="9"/>
                <w:color w:val="auto"/>
                <w:w w:val="99"/>
              </w:rPr>
              <w:t>Form filed by One Reporting Person</w:t>
            </w:r>
          </w:p>
        </w:tc>
        <w:tc>
          <w:tcPr>
            <w:tcW w:w="0" w:type="dxa"/>
            <w:vAlign w:val="bottom"/>
          </w:tcPr>
          <w:p>
            <w:pPr>
              <w:spacing w:after="0"/>
              <w:rPr>
                <w:sz w:val="1"/>
                <w:szCs w:val="1"/>
                <w:color w:val="auto"/>
              </w:rPr>
            </w:pPr>
          </w:p>
        </w:tc>
      </w:tr>
      <w:tr>
        <w:trPr>
          <w:trHeight w:val="42"/>
        </w:trPr>
        <w:tc>
          <w:tcPr>
            <w:tcW w:w="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1300" w:type="dxa"/>
        <w:tblCellMar>
          <w:top w:w="0" w:type="dxa"/>
          <w:left w:w="0" w:type="dxa"/>
          <w:bottom w:w="0" w:type="dxa"/>
          <w:right w:w="0" w:type="dxa"/>
        </w:tblCellMar>
      </w:tblPr>
      <w:tr>
        <w:trPr>
          <w:trHeight w:val="140"/>
        </w:trPr>
        <w:tc>
          <w:tcPr>
            <w:tcW w:w="1680" w:type="dxa"/>
            <w:vAlign w:val="bottom"/>
          </w:tcPr>
          <w:p>
            <w:pPr>
              <w:spacing w:after="0"/>
              <w:rPr>
                <w:sz w:val="20"/>
                <w:szCs w:val="20"/>
                <w:color w:val="auto"/>
              </w:rPr>
            </w:pPr>
            <w:r>
              <w:rPr>
                <w:rFonts w:ascii="Arial" w:cs="Arial" w:eastAsia="Arial" w:hAnsi="Arial"/>
                <w:sz w:val="12"/>
                <w:szCs w:val="12"/>
                <w:color w:val="0000FF"/>
              </w:rPr>
              <w:t>Executive Chair</w:t>
            </w:r>
          </w:p>
        </w:tc>
        <w:tc>
          <w:tcPr>
            <w:tcW w:w="2800" w:type="dxa"/>
            <w:vAlign w:val="bottom"/>
            <w:vMerge w:val="restart"/>
          </w:tcPr>
          <w:p>
            <w:pPr>
              <w:ind w:left="920"/>
              <w:spacing w:after="0"/>
              <w:rPr>
                <w:sz w:val="20"/>
                <w:szCs w:val="20"/>
                <w:color w:val="auto"/>
              </w:rPr>
            </w:pPr>
            <w:r>
              <w:rPr>
                <w:rFonts w:ascii="Arial" w:cs="Arial" w:eastAsia="Arial" w:hAnsi="Arial"/>
                <w:sz w:val="9"/>
                <w:szCs w:val="9"/>
                <w:color w:val="auto"/>
                <w:w w:val="99"/>
              </w:rPr>
              <w:t>Form filed by More than One Reporting Person</w:t>
            </w: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2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1" w:lineRule="exact"/>
        <w:rPr>
          <w:sz w:val="24"/>
          <w:szCs w:val="24"/>
          <w:color w:val="auto"/>
        </w:rPr>
      </w:pPr>
    </w:p>
    <w:p>
      <w:pPr>
        <w:sectPr>
          <w:pgSz w:w="11900" w:h="16838" w:orient="portrait"/>
          <w:cols w:equalWidth="0" w:num="3">
            <w:col w:w="3360" w:space="118"/>
            <w:col w:w="1482" w:space="220"/>
            <w:col w:w="6300"/>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Stock</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ind w:left="900"/>
              <w:spacing w:after="0"/>
              <w:rPr>
                <w:sz w:val="20"/>
                <w:szCs w:val="20"/>
                <w:color w:val="auto"/>
              </w:rPr>
            </w:pPr>
            <w:r>
              <w:rPr>
                <w:rFonts w:ascii="Arial" w:cs="Arial" w:eastAsia="Arial" w:hAnsi="Arial"/>
                <w:sz w:val="12"/>
                <w:szCs w:val="12"/>
                <w:color w:val="0000FF"/>
              </w:rPr>
              <w:t>671,944</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940" w:type="dxa"/>
            <w:vAlign w:val="bottom"/>
            <w:vMerge w:val="restart"/>
          </w:tcPr>
          <w:p>
            <w:pPr>
              <w:ind w:left="40"/>
              <w:spacing w:after="0"/>
              <w:rPr>
                <w:sz w:val="20"/>
                <w:szCs w:val="20"/>
                <w:color w:val="auto"/>
              </w:rPr>
            </w:pPr>
            <w:r>
              <w:rPr>
                <w:rFonts w:ascii="Arial" w:cs="Arial" w:eastAsia="Arial" w:hAnsi="Arial"/>
                <w:sz w:val="12"/>
                <w:szCs w:val="12"/>
                <w:color w:val="0000FF"/>
              </w:rPr>
              <w:t>Series C Convertible Preferred Stock</w:t>
            </w:r>
          </w:p>
        </w:tc>
        <w:tc>
          <w:tcPr>
            <w:tcW w:w="600" w:type="dxa"/>
            <w:vAlign w:val="bottom"/>
            <w:vMerge w:val="restart"/>
          </w:tcPr>
          <w:p>
            <w:pPr>
              <w:jc w:val="right"/>
              <w:ind w:right="217"/>
              <w:spacing w:after="0"/>
              <w:rPr>
                <w:sz w:val="20"/>
                <w:szCs w:val="20"/>
                <w:color w:val="auto"/>
              </w:rPr>
            </w:pPr>
            <w:r>
              <w:rPr>
                <w:rFonts w:ascii="Arial" w:cs="Arial" w:eastAsia="Arial" w:hAnsi="Arial"/>
                <w:sz w:val="8"/>
                <w:szCs w:val="8"/>
                <w:color w:val="008000"/>
              </w:rPr>
              <w:t>(1)</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(1)</w:t>
            </w:r>
          </w:p>
        </w:tc>
        <w:tc>
          <w:tcPr>
            <w:tcW w:w="2140" w:type="dxa"/>
            <w:vAlign w:val="bottom"/>
            <w:vMerge w:val="restart"/>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vMerge w:val="restart"/>
          </w:tcPr>
          <w:p>
            <w:pPr>
              <w:jc w:val="center"/>
              <w:ind w:left="107"/>
              <w:spacing w:after="0"/>
              <w:rPr>
                <w:sz w:val="20"/>
                <w:szCs w:val="20"/>
                <w:color w:val="auto"/>
              </w:rPr>
            </w:pPr>
            <w:r>
              <w:rPr>
                <w:rFonts w:ascii="Arial" w:cs="Arial" w:eastAsia="Arial" w:hAnsi="Arial"/>
                <w:sz w:val="12"/>
                <w:szCs w:val="12"/>
                <w:color w:val="0000FF"/>
                <w:w w:val="87"/>
              </w:rPr>
              <w:t>188,454</w:t>
            </w:r>
          </w:p>
        </w:tc>
        <w:tc>
          <w:tcPr>
            <w:tcW w:w="800" w:type="dxa"/>
            <w:vAlign w:val="bottom"/>
            <w:vMerge w:val="restart"/>
          </w:tcPr>
          <w:p>
            <w:pPr>
              <w:jc w:val="center"/>
              <w:spacing w:after="0"/>
              <w:rPr>
                <w:sz w:val="20"/>
                <w:szCs w:val="20"/>
                <w:color w:val="auto"/>
              </w:rPr>
            </w:pPr>
            <w:r>
              <w:rPr>
                <w:rFonts w:ascii="Arial" w:cs="Arial" w:eastAsia="Arial" w:hAnsi="Arial"/>
                <w:sz w:val="8"/>
                <w:szCs w:val="8"/>
                <w:color w:val="008000"/>
                <w:w w:val="81"/>
              </w:rPr>
              <w:t>(1)</w:t>
            </w:r>
          </w:p>
        </w:tc>
        <w:tc>
          <w:tcPr>
            <w:tcW w:w="900" w:type="dxa"/>
            <w:vAlign w:val="bottom"/>
            <w:vMerge w:val="restart"/>
          </w:tcPr>
          <w:p>
            <w:pPr>
              <w:jc w:val="center"/>
              <w:spacing w:after="0"/>
              <w:rPr>
                <w:sz w:val="20"/>
                <w:szCs w:val="20"/>
                <w:color w:val="auto"/>
              </w:rPr>
            </w:pPr>
            <w:r>
              <w:rPr>
                <w:rFonts w:ascii="Arial" w:cs="Arial" w:eastAsia="Arial" w:hAnsi="Arial"/>
                <w:sz w:val="23"/>
                <w:szCs w:val="23"/>
                <w:color w:val="0000FF"/>
                <w:w w:val="99"/>
                <w:vertAlign w:val="subscript"/>
              </w:rPr>
              <w:t>I</w:t>
            </w:r>
            <w:r>
              <w:rPr>
                <w:rFonts w:ascii="Arial" w:cs="Arial" w:eastAsia="Arial" w:hAnsi="Arial"/>
                <w:sz w:val="8"/>
                <w:szCs w:val="8"/>
                <w:color w:val="008000"/>
                <w:w w:val="99"/>
              </w:rPr>
              <w:t>(2)</w:t>
            </w:r>
          </w:p>
        </w:tc>
        <w:tc>
          <w:tcPr>
            <w:tcW w:w="1720" w:type="dxa"/>
            <w:vAlign w:val="bottom"/>
            <w:gridSpan w:val="2"/>
          </w:tcPr>
          <w:p>
            <w:pPr>
              <w:ind w:left="40"/>
              <w:spacing w:after="0"/>
              <w:rPr>
                <w:sz w:val="20"/>
                <w:szCs w:val="20"/>
                <w:color w:val="auto"/>
              </w:rPr>
            </w:pPr>
            <w:r>
              <w:rPr>
                <w:rFonts w:ascii="Arial" w:cs="Arial" w:eastAsia="Arial" w:hAnsi="Arial"/>
                <w:sz w:val="12"/>
                <w:szCs w:val="12"/>
                <w:color w:val="0000FF"/>
              </w:rPr>
              <w:t>By Julie D. Farkas Revocable</w:t>
            </w:r>
          </w:p>
        </w:tc>
        <w:tc>
          <w:tcPr>
            <w:tcW w:w="0" w:type="dxa"/>
            <w:vAlign w:val="bottom"/>
          </w:tcPr>
          <w:p>
            <w:pPr>
              <w:spacing w:after="0"/>
              <w:rPr>
                <w:sz w:val="1"/>
                <w:szCs w:val="1"/>
                <w:color w:val="auto"/>
              </w:rPr>
            </w:pPr>
          </w:p>
        </w:tc>
      </w:tr>
      <w:tr>
        <w:trPr>
          <w:trHeight w:val="114"/>
        </w:trPr>
        <w:tc>
          <w:tcPr>
            <w:tcW w:w="39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2"/>
                <w:szCs w:val="12"/>
                <w:color w:val="0000FF"/>
              </w:rPr>
              <w:t>Trust</w:t>
            </w:r>
          </w:p>
        </w:tc>
        <w:tc>
          <w:tcPr>
            <w:tcW w:w="0" w:type="dxa"/>
            <w:vAlign w:val="bottom"/>
          </w:tcPr>
          <w:p>
            <w:pPr>
              <w:spacing w:after="0"/>
              <w:rPr>
                <w:sz w:val="1"/>
                <w:szCs w:val="1"/>
                <w:color w:val="auto"/>
              </w:rPr>
            </w:pPr>
          </w:p>
        </w:tc>
      </w:tr>
      <w:tr>
        <w:trPr>
          <w:trHeight w:val="34"/>
        </w:trPr>
        <w:tc>
          <w:tcPr>
            <w:tcW w:w="3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940" w:type="dxa"/>
            <w:vAlign w:val="bottom"/>
            <w:vMerge w:val="restart"/>
          </w:tcPr>
          <w:p>
            <w:pPr>
              <w:ind w:left="40"/>
              <w:spacing w:after="0"/>
              <w:rPr>
                <w:sz w:val="20"/>
                <w:szCs w:val="20"/>
                <w:color w:val="auto"/>
              </w:rPr>
            </w:pPr>
            <w:r>
              <w:rPr>
                <w:rFonts w:ascii="Arial" w:cs="Arial" w:eastAsia="Arial" w:hAnsi="Arial"/>
                <w:sz w:val="12"/>
                <w:szCs w:val="12"/>
                <w:color w:val="0000FF"/>
              </w:rPr>
              <w:t>Series D Convertible Preferred Stock</w:t>
            </w:r>
          </w:p>
        </w:tc>
        <w:tc>
          <w:tcPr>
            <w:tcW w:w="600" w:type="dxa"/>
            <w:vAlign w:val="bottom"/>
            <w:vMerge w:val="restart"/>
          </w:tcPr>
          <w:p>
            <w:pPr>
              <w:jc w:val="right"/>
              <w:ind w:right="217"/>
              <w:spacing w:after="0"/>
              <w:rPr>
                <w:sz w:val="20"/>
                <w:szCs w:val="20"/>
                <w:color w:val="auto"/>
              </w:rPr>
            </w:pPr>
            <w:r>
              <w:rPr>
                <w:rFonts w:ascii="Arial" w:cs="Arial" w:eastAsia="Arial" w:hAnsi="Arial"/>
                <w:sz w:val="8"/>
                <w:szCs w:val="8"/>
                <w:color w:val="008000"/>
              </w:rPr>
              <w:t>(1)</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(1)</w:t>
            </w:r>
          </w:p>
        </w:tc>
        <w:tc>
          <w:tcPr>
            <w:tcW w:w="2140" w:type="dxa"/>
            <w:vAlign w:val="bottom"/>
            <w:vMerge w:val="restart"/>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vMerge w:val="restart"/>
          </w:tcPr>
          <w:p>
            <w:pPr>
              <w:jc w:val="center"/>
              <w:ind w:left="107"/>
              <w:spacing w:after="0"/>
              <w:rPr>
                <w:sz w:val="20"/>
                <w:szCs w:val="20"/>
                <w:color w:val="auto"/>
              </w:rPr>
            </w:pPr>
            <w:r>
              <w:rPr>
                <w:rFonts w:ascii="Arial" w:cs="Arial" w:eastAsia="Arial" w:hAnsi="Arial"/>
                <w:sz w:val="12"/>
                <w:szCs w:val="12"/>
                <w:color w:val="0000FF"/>
                <w:w w:val="81"/>
              </w:rPr>
              <w:t>20,911</w:t>
            </w:r>
          </w:p>
        </w:tc>
        <w:tc>
          <w:tcPr>
            <w:tcW w:w="800" w:type="dxa"/>
            <w:vAlign w:val="bottom"/>
            <w:vMerge w:val="restart"/>
          </w:tcPr>
          <w:p>
            <w:pPr>
              <w:jc w:val="center"/>
              <w:spacing w:after="0"/>
              <w:rPr>
                <w:sz w:val="20"/>
                <w:szCs w:val="20"/>
                <w:color w:val="auto"/>
              </w:rPr>
            </w:pPr>
            <w:r>
              <w:rPr>
                <w:rFonts w:ascii="Arial" w:cs="Arial" w:eastAsia="Arial" w:hAnsi="Arial"/>
                <w:sz w:val="8"/>
                <w:szCs w:val="8"/>
                <w:color w:val="008000"/>
                <w:w w:val="81"/>
              </w:rPr>
              <w:t>(1)</w:t>
            </w:r>
          </w:p>
        </w:tc>
        <w:tc>
          <w:tcPr>
            <w:tcW w:w="900" w:type="dxa"/>
            <w:vAlign w:val="bottom"/>
            <w:vMerge w:val="restart"/>
          </w:tcPr>
          <w:p>
            <w:pPr>
              <w:jc w:val="center"/>
              <w:spacing w:after="0"/>
              <w:rPr>
                <w:sz w:val="20"/>
                <w:szCs w:val="20"/>
                <w:color w:val="auto"/>
              </w:rPr>
            </w:pPr>
            <w:r>
              <w:rPr>
                <w:rFonts w:ascii="Arial" w:cs="Arial" w:eastAsia="Arial" w:hAnsi="Arial"/>
                <w:sz w:val="23"/>
                <w:szCs w:val="23"/>
                <w:color w:val="0000FF"/>
                <w:w w:val="99"/>
                <w:vertAlign w:val="subscript"/>
              </w:rPr>
              <w:t>I</w:t>
            </w:r>
            <w:r>
              <w:rPr>
                <w:rFonts w:ascii="Arial" w:cs="Arial" w:eastAsia="Arial" w:hAnsi="Arial"/>
                <w:sz w:val="8"/>
                <w:szCs w:val="8"/>
                <w:color w:val="008000"/>
                <w:w w:val="99"/>
              </w:rPr>
              <w:t>(2)</w:t>
            </w:r>
          </w:p>
        </w:tc>
        <w:tc>
          <w:tcPr>
            <w:tcW w:w="1720" w:type="dxa"/>
            <w:vAlign w:val="bottom"/>
            <w:gridSpan w:val="2"/>
          </w:tcPr>
          <w:p>
            <w:pPr>
              <w:ind w:left="40"/>
              <w:spacing w:after="0"/>
              <w:rPr>
                <w:sz w:val="20"/>
                <w:szCs w:val="20"/>
                <w:color w:val="auto"/>
              </w:rPr>
            </w:pPr>
            <w:r>
              <w:rPr>
                <w:rFonts w:ascii="Arial" w:cs="Arial" w:eastAsia="Arial" w:hAnsi="Arial"/>
                <w:sz w:val="12"/>
                <w:szCs w:val="12"/>
                <w:color w:val="0000FF"/>
              </w:rPr>
              <w:t>By Julie D. Farkas Revocable</w:t>
            </w:r>
          </w:p>
        </w:tc>
        <w:tc>
          <w:tcPr>
            <w:tcW w:w="0" w:type="dxa"/>
            <w:vAlign w:val="bottom"/>
          </w:tcPr>
          <w:p>
            <w:pPr>
              <w:spacing w:after="0"/>
              <w:rPr>
                <w:sz w:val="1"/>
                <w:szCs w:val="1"/>
                <w:color w:val="auto"/>
              </w:rPr>
            </w:pPr>
          </w:p>
        </w:tc>
      </w:tr>
      <w:tr>
        <w:trPr>
          <w:trHeight w:val="114"/>
        </w:trPr>
        <w:tc>
          <w:tcPr>
            <w:tcW w:w="39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2"/>
                <w:szCs w:val="12"/>
                <w:color w:val="0000FF"/>
              </w:rPr>
              <w:t>Trust</w:t>
            </w:r>
          </w:p>
        </w:tc>
        <w:tc>
          <w:tcPr>
            <w:tcW w:w="0" w:type="dxa"/>
            <w:vAlign w:val="bottom"/>
          </w:tcPr>
          <w:p>
            <w:pPr>
              <w:spacing w:after="0"/>
              <w:rPr>
                <w:sz w:val="1"/>
                <w:szCs w:val="1"/>
                <w:color w:val="auto"/>
              </w:rPr>
            </w:pPr>
          </w:p>
        </w:tc>
      </w:tr>
      <w:tr>
        <w:trPr>
          <w:trHeight w:val="34"/>
        </w:trPr>
        <w:tc>
          <w:tcPr>
            <w:tcW w:w="3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940" w:type="dxa"/>
            <w:vAlign w:val="bottom"/>
            <w:vMerge w:val="restart"/>
          </w:tcPr>
          <w:p>
            <w:pPr>
              <w:ind w:left="40"/>
              <w:spacing w:after="0"/>
              <w:rPr>
                <w:sz w:val="20"/>
                <w:szCs w:val="20"/>
                <w:color w:val="auto"/>
              </w:rPr>
            </w:pPr>
            <w:r>
              <w:rPr>
                <w:rFonts w:ascii="Arial" w:cs="Arial" w:eastAsia="Arial" w:hAnsi="Arial"/>
                <w:sz w:val="12"/>
                <w:szCs w:val="12"/>
                <w:color w:val="0000FF"/>
              </w:rPr>
              <w:t>Series E Convertible Preferred Stock</w:t>
            </w:r>
          </w:p>
        </w:tc>
        <w:tc>
          <w:tcPr>
            <w:tcW w:w="600" w:type="dxa"/>
            <w:vAlign w:val="bottom"/>
            <w:vMerge w:val="restart"/>
          </w:tcPr>
          <w:p>
            <w:pPr>
              <w:jc w:val="right"/>
              <w:ind w:right="217"/>
              <w:spacing w:after="0"/>
              <w:rPr>
                <w:sz w:val="20"/>
                <w:szCs w:val="20"/>
                <w:color w:val="auto"/>
              </w:rPr>
            </w:pPr>
            <w:r>
              <w:rPr>
                <w:rFonts w:ascii="Arial" w:cs="Arial" w:eastAsia="Arial" w:hAnsi="Arial"/>
                <w:sz w:val="8"/>
                <w:szCs w:val="8"/>
                <w:color w:val="008000"/>
              </w:rPr>
              <w:t>(1)</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(1)</w:t>
            </w:r>
          </w:p>
        </w:tc>
        <w:tc>
          <w:tcPr>
            <w:tcW w:w="2140" w:type="dxa"/>
            <w:vAlign w:val="bottom"/>
            <w:vMerge w:val="restart"/>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vMerge w:val="restart"/>
          </w:tcPr>
          <w:p>
            <w:pPr>
              <w:jc w:val="center"/>
              <w:ind w:left="127"/>
              <w:spacing w:after="0"/>
              <w:rPr>
                <w:sz w:val="20"/>
                <w:szCs w:val="20"/>
                <w:color w:val="auto"/>
              </w:rPr>
            </w:pPr>
            <w:r>
              <w:rPr>
                <w:rFonts w:ascii="Arial" w:cs="Arial" w:eastAsia="Arial" w:hAnsi="Arial"/>
                <w:sz w:val="12"/>
                <w:szCs w:val="12"/>
                <w:color w:val="0000FF"/>
                <w:w w:val="87"/>
              </w:rPr>
              <w:t>44,294</w:t>
            </w:r>
          </w:p>
        </w:tc>
        <w:tc>
          <w:tcPr>
            <w:tcW w:w="800" w:type="dxa"/>
            <w:vAlign w:val="bottom"/>
            <w:vMerge w:val="restart"/>
          </w:tcPr>
          <w:p>
            <w:pPr>
              <w:jc w:val="center"/>
              <w:spacing w:after="0"/>
              <w:rPr>
                <w:sz w:val="20"/>
                <w:szCs w:val="20"/>
                <w:color w:val="auto"/>
              </w:rPr>
            </w:pPr>
            <w:r>
              <w:rPr>
                <w:rFonts w:ascii="Arial" w:cs="Arial" w:eastAsia="Arial" w:hAnsi="Arial"/>
                <w:sz w:val="8"/>
                <w:szCs w:val="8"/>
                <w:color w:val="008000"/>
                <w:w w:val="81"/>
              </w:rPr>
              <w:t>(1)</w:t>
            </w:r>
          </w:p>
        </w:tc>
        <w:tc>
          <w:tcPr>
            <w:tcW w:w="900" w:type="dxa"/>
            <w:vAlign w:val="bottom"/>
            <w:vMerge w:val="restart"/>
          </w:tcPr>
          <w:p>
            <w:pPr>
              <w:jc w:val="center"/>
              <w:spacing w:after="0"/>
              <w:rPr>
                <w:sz w:val="20"/>
                <w:szCs w:val="20"/>
                <w:color w:val="auto"/>
              </w:rPr>
            </w:pPr>
            <w:r>
              <w:rPr>
                <w:rFonts w:ascii="Arial" w:cs="Arial" w:eastAsia="Arial" w:hAnsi="Arial"/>
                <w:sz w:val="23"/>
                <w:szCs w:val="23"/>
                <w:color w:val="0000FF"/>
                <w:w w:val="99"/>
                <w:vertAlign w:val="subscript"/>
              </w:rPr>
              <w:t>I</w:t>
            </w:r>
            <w:r>
              <w:rPr>
                <w:rFonts w:ascii="Arial" w:cs="Arial" w:eastAsia="Arial" w:hAnsi="Arial"/>
                <w:sz w:val="8"/>
                <w:szCs w:val="8"/>
                <w:color w:val="008000"/>
                <w:w w:val="99"/>
              </w:rPr>
              <w:t>(2)</w:t>
            </w:r>
          </w:p>
        </w:tc>
        <w:tc>
          <w:tcPr>
            <w:tcW w:w="1720" w:type="dxa"/>
            <w:vAlign w:val="bottom"/>
            <w:gridSpan w:val="2"/>
          </w:tcPr>
          <w:p>
            <w:pPr>
              <w:ind w:left="40"/>
              <w:spacing w:after="0"/>
              <w:rPr>
                <w:sz w:val="20"/>
                <w:szCs w:val="20"/>
                <w:color w:val="auto"/>
              </w:rPr>
            </w:pPr>
            <w:r>
              <w:rPr>
                <w:rFonts w:ascii="Arial" w:cs="Arial" w:eastAsia="Arial" w:hAnsi="Arial"/>
                <w:sz w:val="12"/>
                <w:szCs w:val="12"/>
                <w:color w:val="0000FF"/>
              </w:rPr>
              <w:t>By Julie D. Farkas Revocable</w:t>
            </w:r>
          </w:p>
        </w:tc>
        <w:tc>
          <w:tcPr>
            <w:tcW w:w="0" w:type="dxa"/>
            <w:vAlign w:val="bottom"/>
          </w:tcPr>
          <w:p>
            <w:pPr>
              <w:spacing w:after="0"/>
              <w:rPr>
                <w:sz w:val="1"/>
                <w:szCs w:val="1"/>
                <w:color w:val="auto"/>
              </w:rPr>
            </w:pPr>
          </w:p>
        </w:tc>
      </w:tr>
      <w:tr>
        <w:trPr>
          <w:trHeight w:val="114"/>
        </w:trPr>
        <w:tc>
          <w:tcPr>
            <w:tcW w:w="39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2"/>
                <w:szCs w:val="12"/>
                <w:color w:val="0000FF"/>
              </w:rPr>
              <w:t>Trust</w:t>
            </w:r>
          </w:p>
        </w:tc>
        <w:tc>
          <w:tcPr>
            <w:tcW w:w="0" w:type="dxa"/>
            <w:vAlign w:val="bottom"/>
          </w:tcPr>
          <w:p>
            <w:pPr>
              <w:spacing w:after="0"/>
              <w:rPr>
                <w:sz w:val="1"/>
                <w:szCs w:val="1"/>
                <w:color w:val="auto"/>
              </w:rPr>
            </w:pPr>
          </w:p>
        </w:tc>
      </w:tr>
      <w:tr>
        <w:trPr>
          <w:trHeight w:val="34"/>
        </w:trPr>
        <w:tc>
          <w:tcPr>
            <w:tcW w:w="3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940" w:type="dxa"/>
            <w:vAlign w:val="bottom"/>
            <w:vMerge w:val="restart"/>
          </w:tcPr>
          <w:p>
            <w:pPr>
              <w:ind w:left="40"/>
              <w:spacing w:after="0"/>
              <w:rPr>
                <w:sz w:val="20"/>
                <w:szCs w:val="20"/>
                <w:color w:val="auto"/>
              </w:rPr>
            </w:pPr>
            <w:r>
              <w:rPr>
                <w:rFonts w:ascii="Arial" w:cs="Arial" w:eastAsia="Arial" w:hAnsi="Arial"/>
                <w:sz w:val="12"/>
                <w:szCs w:val="12"/>
                <w:color w:val="0000FF"/>
              </w:rPr>
              <w:t>Series F Convertible Preferred Stock</w:t>
            </w:r>
          </w:p>
        </w:tc>
        <w:tc>
          <w:tcPr>
            <w:tcW w:w="600" w:type="dxa"/>
            <w:vAlign w:val="bottom"/>
            <w:vMerge w:val="restart"/>
          </w:tcPr>
          <w:p>
            <w:pPr>
              <w:jc w:val="right"/>
              <w:ind w:right="217"/>
              <w:spacing w:after="0"/>
              <w:rPr>
                <w:sz w:val="20"/>
                <w:szCs w:val="20"/>
                <w:color w:val="auto"/>
              </w:rPr>
            </w:pPr>
            <w:r>
              <w:rPr>
                <w:rFonts w:ascii="Arial" w:cs="Arial" w:eastAsia="Arial" w:hAnsi="Arial"/>
                <w:sz w:val="8"/>
                <w:szCs w:val="8"/>
                <w:color w:val="008000"/>
              </w:rPr>
              <w:t>(1)</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(1)</w:t>
            </w:r>
          </w:p>
        </w:tc>
        <w:tc>
          <w:tcPr>
            <w:tcW w:w="2140" w:type="dxa"/>
            <w:vAlign w:val="bottom"/>
            <w:vMerge w:val="restart"/>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vMerge w:val="restart"/>
          </w:tcPr>
          <w:p>
            <w:pPr>
              <w:jc w:val="center"/>
              <w:ind w:left="127"/>
              <w:spacing w:after="0"/>
              <w:rPr>
                <w:sz w:val="20"/>
                <w:szCs w:val="20"/>
                <w:color w:val="auto"/>
              </w:rPr>
            </w:pPr>
            <w:r>
              <w:rPr>
                <w:rFonts w:ascii="Arial" w:cs="Arial" w:eastAsia="Arial" w:hAnsi="Arial"/>
                <w:sz w:val="12"/>
                <w:szCs w:val="12"/>
                <w:color w:val="0000FF"/>
                <w:w w:val="87"/>
              </w:rPr>
              <w:t>51,087</w:t>
            </w:r>
          </w:p>
        </w:tc>
        <w:tc>
          <w:tcPr>
            <w:tcW w:w="800" w:type="dxa"/>
            <w:vAlign w:val="bottom"/>
            <w:vMerge w:val="restart"/>
          </w:tcPr>
          <w:p>
            <w:pPr>
              <w:jc w:val="center"/>
              <w:spacing w:after="0"/>
              <w:rPr>
                <w:sz w:val="20"/>
                <w:szCs w:val="20"/>
                <w:color w:val="auto"/>
              </w:rPr>
            </w:pPr>
            <w:r>
              <w:rPr>
                <w:rFonts w:ascii="Arial" w:cs="Arial" w:eastAsia="Arial" w:hAnsi="Arial"/>
                <w:sz w:val="8"/>
                <w:szCs w:val="8"/>
                <w:color w:val="008000"/>
                <w:w w:val="81"/>
              </w:rPr>
              <w:t>(1)</w:t>
            </w:r>
          </w:p>
        </w:tc>
        <w:tc>
          <w:tcPr>
            <w:tcW w:w="900" w:type="dxa"/>
            <w:vAlign w:val="bottom"/>
            <w:vMerge w:val="restart"/>
          </w:tcPr>
          <w:p>
            <w:pPr>
              <w:jc w:val="center"/>
              <w:spacing w:after="0"/>
              <w:rPr>
                <w:sz w:val="20"/>
                <w:szCs w:val="20"/>
                <w:color w:val="auto"/>
              </w:rPr>
            </w:pPr>
            <w:r>
              <w:rPr>
                <w:rFonts w:ascii="Arial" w:cs="Arial" w:eastAsia="Arial" w:hAnsi="Arial"/>
                <w:sz w:val="23"/>
                <w:szCs w:val="23"/>
                <w:color w:val="0000FF"/>
                <w:w w:val="99"/>
                <w:vertAlign w:val="subscript"/>
              </w:rPr>
              <w:t>I</w:t>
            </w:r>
            <w:r>
              <w:rPr>
                <w:rFonts w:ascii="Arial" w:cs="Arial" w:eastAsia="Arial" w:hAnsi="Arial"/>
                <w:sz w:val="8"/>
                <w:szCs w:val="8"/>
                <w:color w:val="008000"/>
                <w:w w:val="99"/>
              </w:rPr>
              <w:t>(3)</w:t>
            </w:r>
          </w:p>
        </w:tc>
        <w:tc>
          <w:tcPr>
            <w:tcW w:w="1720" w:type="dxa"/>
            <w:vAlign w:val="bottom"/>
            <w:gridSpan w:val="2"/>
          </w:tcPr>
          <w:p>
            <w:pPr>
              <w:ind w:left="40"/>
              <w:spacing w:after="0"/>
              <w:rPr>
                <w:sz w:val="20"/>
                <w:szCs w:val="20"/>
                <w:color w:val="auto"/>
              </w:rPr>
            </w:pPr>
            <w:r>
              <w:rPr>
                <w:rFonts w:ascii="Arial" w:cs="Arial" w:eastAsia="Arial" w:hAnsi="Arial"/>
                <w:sz w:val="12"/>
                <w:szCs w:val="12"/>
                <w:color w:val="0000FF"/>
              </w:rPr>
              <w:t>By Seth Goldman Revocable</w:t>
            </w:r>
          </w:p>
        </w:tc>
        <w:tc>
          <w:tcPr>
            <w:tcW w:w="0" w:type="dxa"/>
            <w:vAlign w:val="bottom"/>
          </w:tcPr>
          <w:p>
            <w:pPr>
              <w:spacing w:after="0"/>
              <w:rPr>
                <w:sz w:val="1"/>
                <w:szCs w:val="1"/>
                <w:color w:val="auto"/>
              </w:rPr>
            </w:pPr>
          </w:p>
        </w:tc>
      </w:tr>
      <w:tr>
        <w:trPr>
          <w:trHeight w:val="114"/>
        </w:trPr>
        <w:tc>
          <w:tcPr>
            <w:tcW w:w="39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2"/>
                <w:szCs w:val="12"/>
                <w:color w:val="0000FF"/>
              </w:rPr>
              <w:t>Trust</w:t>
            </w:r>
          </w:p>
        </w:tc>
        <w:tc>
          <w:tcPr>
            <w:tcW w:w="0" w:type="dxa"/>
            <w:vAlign w:val="bottom"/>
          </w:tcPr>
          <w:p>
            <w:pPr>
              <w:spacing w:after="0"/>
              <w:rPr>
                <w:sz w:val="1"/>
                <w:szCs w:val="1"/>
                <w:color w:val="auto"/>
              </w:rPr>
            </w:pPr>
          </w:p>
        </w:tc>
      </w:tr>
      <w:tr>
        <w:trPr>
          <w:trHeight w:val="34"/>
        </w:trPr>
        <w:tc>
          <w:tcPr>
            <w:tcW w:w="3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940" w:type="dxa"/>
            <w:vAlign w:val="bottom"/>
            <w:vMerge w:val="restart"/>
          </w:tcPr>
          <w:p>
            <w:pPr>
              <w:ind w:left="40"/>
              <w:spacing w:after="0"/>
              <w:rPr>
                <w:sz w:val="20"/>
                <w:szCs w:val="20"/>
                <w:color w:val="auto"/>
              </w:rPr>
            </w:pPr>
            <w:r>
              <w:rPr>
                <w:rFonts w:ascii="Arial" w:cs="Arial" w:eastAsia="Arial" w:hAnsi="Arial"/>
                <w:sz w:val="12"/>
                <w:szCs w:val="12"/>
                <w:color w:val="0000FF"/>
              </w:rPr>
              <w:t>Series H Convertible Preferred Stock</w:t>
            </w:r>
          </w:p>
        </w:tc>
        <w:tc>
          <w:tcPr>
            <w:tcW w:w="600" w:type="dxa"/>
            <w:vAlign w:val="bottom"/>
            <w:vMerge w:val="restart"/>
          </w:tcPr>
          <w:p>
            <w:pPr>
              <w:jc w:val="right"/>
              <w:ind w:right="217"/>
              <w:spacing w:after="0"/>
              <w:rPr>
                <w:sz w:val="20"/>
                <w:szCs w:val="20"/>
                <w:color w:val="auto"/>
              </w:rPr>
            </w:pPr>
            <w:r>
              <w:rPr>
                <w:rFonts w:ascii="Arial" w:cs="Arial" w:eastAsia="Arial" w:hAnsi="Arial"/>
                <w:sz w:val="8"/>
                <w:szCs w:val="8"/>
                <w:color w:val="008000"/>
              </w:rPr>
              <w:t>(1)</w:t>
            </w:r>
          </w:p>
        </w:tc>
        <w:tc>
          <w:tcPr>
            <w:tcW w:w="520" w:type="dxa"/>
            <w:vAlign w:val="bottom"/>
            <w:vMerge w:val="restart"/>
          </w:tcPr>
          <w:p>
            <w:pPr>
              <w:jc w:val="center"/>
              <w:spacing w:after="0"/>
              <w:rPr>
                <w:sz w:val="20"/>
                <w:szCs w:val="20"/>
                <w:color w:val="auto"/>
              </w:rPr>
            </w:pPr>
            <w:r>
              <w:rPr>
                <w:rFonts w:ascii="Arial" w:cs="Arial" w:eastAsia="Arial" w:hAnsi="Arial"/>
                <w:sz w:val="8"/>
                <w:szCs w:val="8"/>
                <w:color w:val="008000"/>
                <w:w w:val="81"/>
              </w:rPr>
              <w:t>(1)</w:t>
            </w:r>
          </w:p>
        </w:tc>
        <w:tc>
          <w:tcPr>
            <w:tcW w:w="2140" w:type="dxa"/>
            <w:vAlign w:val="bottom"/>
            <w:vMerge w:val="restart"/>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vMerge w:val="restart"/>
          </w:tcPr>
          <w:p>
            <w:pPr>
              <w:jc w:val="center"/>
              <w:ind w:left="127"/>
              <w:spacing w:after="0"/>
              <w:rPr>
                <w:sz w:val="20"/>
                <w:szCs w:val="20"/>
                <w:color w:val="auto"/>
              </w:rPr>
            </w:pPr>
            <w:r>
              <w:rPr>
                <w:rFonts w:ascii="Arial" w:cs="Arial" w:eastAsia="Arial" w:hAnsi="Arial"/>
                <w:sz w:val="12"/>
                <w:szCs w:val="12"/>
                <w:color w:val="0000FF"/>
                <w:w w:val="87"/>
              </w:rPr>
              <w:t>41,271</w:t>
            </w:r>
          </w:p>
        </w:tc>
        <w:tc>
          <w:tcPr>
            <w:tcW w:w="800" w:type="dxa"/>
            <w:vAlign w:val="bottom"/>
            <w:vMerge w:val="restart"/>
          </w:tcPr>
          <w:p>
            <w:pPr>
              <w:jc w:val="center"/>
              <w:spacing w:after="0"/>
              <w:rPr>
                <w:sz w:val="20"/>
                <w:szCs w:val="20"/>
                <w:color w:val="auto"/>
              </w:rPr>
            </w:pPr>
            <w:r>
              <w:rPr>
                <w:rFonts w:ascii="Arial" w:cs="Arial" w:eastAsia="Arial" w:hAnsi="Arial"/>
                <w:sz w:val="8"/>
                <w:szCs w:val="8"/>
                <w:color w:val="008000"/>
                <w:w w:val="81"/>
              </w:rPr>
              <w:t>(1)</w:t>
            </w:r>
          </w:p>
        </w:tc>
        <w:tc>
          <w:tcPr>
            <w:tcW w:w="900" w:type="dxa"/>
            <w:vAlign w:val="bottom"/>
            <w:vMerge w:val="restart"/>
          </w:tcPr>
          <w:p>
            <w:pPr>
              <w:jc w:val="center"/>
              <w:spacing w:after="0"/>
              <w:rPr>
                <w:sz w:val="20"/>
                <w:szCs w:val="20"/>
                <w:color w:val="auto"/>
              </w:rPr>
            </w:pPr>
            <w:r>
              <w:rPr>
                <w:rFonts w:ascii="Arial" w:cs="Arial" w:eastAsia="Arial" w:hAnsi="Arial"/>
                <w:sz w:val="23"/>
                <w:szCs w:val="23"/>
                <w:color w:val="0000FF"/>
                <w:w w:val="99"/>
                <w:vertAlign w:val="subscript"/>
              </w:rPr>
              <w:t>I</w:t>
            </w:r>
            <w:r>
              <w:rPr>
                <w:rFonts w:ascii="Arial" w:cs="Arial" w:eastAsia="Arial" w:hAnsi="Arial"/>
                <w:sz w:val="8"/>
                <w:szCs w:val="8"/>
                <w:color w:val="008000"/>
                <w:w w:val="99"/>
              </w:rPr>
              <w:t>(3)</w:t>
            </w:r>
          </w:p>
        </w:tc>
        <w:tc>
          <w:tcPr>
            <w:tcW w:w="1720" w:type="dxa"/>
            <w:vAlign w:val="bottom"/>
            <w:gridSpan w:val="2"/>
          </w:tcPr>
          <w:p>
            <w:pPr>
              <w:ind w:left="40"/>
              <w:spacing w:after="0"/>
              <w:rPr>
                <w:sz w:val="20"/>
                <w:szCs w:val="20"/>
                <w:color w:val="auto"/>
              </w:rPr>
            </w:pPr>
            <w:r>
              <w:rPr>
                <w:rFonts w:ascii="Arial" w:cs="Arial" w:eastAsia="Arial" w:hAnsi="Arial"/>
                <w:sz w:val="12"/>
                <w:szCs w:val="12"/>
                <w:color w:val="0000FF"/>
              </w:rPr>
              <w:t>By Seth Goldman Revocable</w:t>
            </w:r>
          </w:p>
        </w:tc>
        <w:tc>
          <w:tcPr>
            <w:tcW w:w="0" w:type="dxa"/>
            <w:vAlign w:val="bottom"/>
          </w:tcPr>
          <w:p>
            <w:pPr>
              <w:spacing w:after="0"/>
              <w:rPr>
                <w:sz w:val="1"/>
                <w:szCs w:val="1"/>
                <w:color w:val="auto"/>
              </w:rPr>
            </w:pPr>
          </w:p>
        </w:tc>
      </w:tr>
      <w:tr>
        <w:trPr>
          <w:trHeight w:val="114"/>
        </w:trPr>
        <w:tc>
          <w:tcPr>
            <w:tcW w:w="39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2"/>
                <w:szCs w:val="12"/>
                <w:color w:val="0000FF"/>
              </w:rPr>
              <w:t>Trust</w:t>
            </w:r>
          </w:p>
        </w:tc>
        <w:tc>
          <w:tcPr>
            <w:tcW w:w="0" w:type="dxa"/>
            <w:vAlign w:val="bottom"/>
          </w:tcPr>
          <w:p>
            <w:pPr>
              <w:spacing w:after="0"/>
              <w:rPr>
                <w:sz w:val="1"/>
                <w:szCs w:val="1"/>
                <w:color w:val="auto"/>
              </w:rPr>
            </w:pPr>
          </w:p>
        </w:tc>
      </w:tr>
      <w:tr>
        <w:trPr>
          <w:trHeight w:val="34"/>
        </w:trPr>
        <w:tc>
          <w:tcPr>
            <w:tcW w:w="3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Stock Option (right to buy)</w:t>
            </w:r>
          </w:p>
        </w:tc>
        <w:tc>
          <w:tcPr>
            <w:tcW w:w="600" w:type="dxa"/>
            <w:vAlign w:val="bottom"/>
          </w:tcPr>
          <w:p>
            <w:pPr>
              <w:jc w:val="right"/>
              <w:ind w:right="217"/>
              <w:spacing w:after="0"/>
              <w:rPr>
                <w:sz w:val="20"/>
                <w:szCs w:val="20"/>
                <w:color w:val="auto"/>
              </w:rPr>
            </w:pPr>
            <w:r>
              <w:rPr>
                <w:rFonts w:ascii="Arial" w:cs="Arial" w:eastAsia="Arial" w:hAnsi="Arial"/>
                <w:sz w:val="8"/>
                <w:szCs w:val="8"/>
                <w:color w:val="008000"/>
              </w:rPr>
              <w:t>(4)</w:t>
            </w:r>
          </w:p>
        </w:tc>
        <w:tc>
          <w:tcPr>
            <w:tcW w:w="520" w:type="dxa"/>
            <w:vAlign w:val="bottom"/>
          </w:tcPr>
          <w:p>
            <w:pPr>
              <w:jc w:val="center"/>
              <w:spacing w:after="0"/>
              <w:rPr>
                <w:sz w:val="20"/>
                <w:szCs w:val="20"/>
                <w:color w:val="auto"/>
              </w:rPr>
            </w:pPr>
            <w:r>
              <w:rPr>
                <w:rFonts w:ascii="Arial" w:cs="Arial" w:eastAsia="Arial" w:hAnsi="Arial"/>
                <w:sz w:val="9"/>
                <w:szCs w:val="9"/>
                <w:color w:val="0000FF"/>
                <w:w w:val="88"/>
              </w:rPr>
              <w:t>07/19/2026</w:t>
            </w:r>
          </w:p>
        </w:tc>
        <w:tc>
          <w:tcPr>
            <w:tcW w:w="2140" w:type="dxa"/>
            <w:vAlign w:val="bottom"/>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27"/>
              <w:spacing w:after="0"/>
              <w:rPr>
                <w:sz w:val="20"/>
                <w:szCs w:val="20"/>
                <w:color w:val="auto"/>
              </w:rPr>
            </w:pPr>
            <w:r>
              <w:rPr>
                <w:rFonts w:ascii="Arial" w:cs="Arial" w:eastAsia="Arial" w:hAnsi="Arial"/>
                <w:sz w:val="12"/>
                <w:szCs w:val="12"/>
                <w:color w:val="0000FF"/>
                <w:w w:val="87"/>
              </w:rPr>
              <w:t>20,133</w:t>
            </w:r>
          </w:p>
        </w:tc>
        <w:tc>
          <w:tcPr>
            <w:tcW w:w="800" w:type="dxa"/>
            <w:vAlign w:val="bottom"/>
          </w:tcPr>
          <w:p>
            <w:pPr>
              <w:jc w:val="center"/>
              <w:spacing w:after="0"/>
              <w:rPr>
                <w:sz w:val="20"/>
                <w:szCs w:val="20"/>
                <w:color w:val="auto"/>
              </w:rPr>
            </w:pPr>
            <w:r>
              <w:rPr>
                <w:rFonts w:ascii="Arial" w:cs="Arial" w:eastAsia="Arial" w:hAnsi="Arial"/>
                <w:sz w:val="12"/>
                <w:szCs w:val="12"/>
                <w:color w:val="0000FF"/>
                <w:w w:val="85"/>
              </w:rPr>
              <w:t>0.95</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Stock Option (right to buy)</w:t>
            </w:r>
          </w:p>
        </w:tc>
        <w:tc>
          <w:tcPr>
            <w:tcW w:w="600" w:type="dxa"/>
            <w:vAlign w:val="bottom"/>
          </w:tcPr>
          <w:p>
            <w:pPr>
              <w:jc w:val="right"/>
              <w:ind w:right="217"/>
              <w:spacing w:after="0"/>
              <w:rPr>
                <w:sz w:val="20"/>
                <w:szCs w:val="20"/>
                <w:color w:val="auto"/>
              </w:rPr>
            </w:pPr>
            <w:r>
              <w:rPr>
                <w:rFonts w:ascii="Arial" w:cs="Arial" w:eastAsia="Arial" w:hAnsi="Arial"/>
                <w:sz w:val="8"/>
                <w:szCs w:val="8"/>
                <w:color w:val="008000"/>
              </w:rPr>
              <w:t>(5)</w:t>
            </w:r>
          </w:p>
        </w:tc>
        <w:tc>
          <w:tcPr>
            <w:tcW w:w="520" w:type="dxa"/>
            <w:vAlign w:val="bottom"/>
          </w:tcPr>
          <w:p>
            <w:pPr>
              <w:jc w:val="center"/>
              <w:spacing w:after="0"/>
              <w:rPr>
                <w:sz w:val="20"/>
                <w:szCs w:val="20"/>
                <w:color w:val="auto"/>
              </w:rPr>
            </w:pPr>
            <w:r>
              <w:rPr>
                <w:rFonts w:ascii="Arial" w:cs="Arial" w:eastAsia="Arial" w:hAnsi="Arial"/>
                <w:sz w:val="9"/>
                <w:szCs w:val="9"/>
                <w:color w:val="0000FF"/>
                <w:w w:val="88"/>
              </w:rPr>
              <w:t>05/29/2028</w:t>
            </w:r>
          </w:p>
        </w:tc>
        <w:tc>
          <w:tcPr>
            <w:tcW w:w="2140" w:type="dxa"/>
            <w:vAlign w:val="bottom"/>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27"/>
              <w:spacing w:after="0"/>
              <w:rPr>
                <w:sz w:val="20"/>
                <w:szCs w:val="20"/>
                <w:color w:val="auto"/>
              </w:rPr>
            </w:pPr>
            <w:r>
              <w:rPr>
                <w:rFonts w:ascii="Arial" w:cs="Arial" w:eastAsia="Arial" w:hAnsi="Arial"/>
                <w:sz w:val="12"/>
                <w:szCs w:val="12"/>
                <w:color w:val="0000FF"/>
                <w:w w:val="87"/>
              </w:rPr>
              <w:t>38,756</w:t>
            </w:r>
          </w:p>
        </w:tc>
        <w:tc>
          <w:tcPr>
            <w:tcW w:w="800" w:type="dxa"/>
            <w:vAlign w:val="bottom"/>
          </w:tcPr>
          <w:p>
            <w:pPr>
              <w:jc w:val="center"/>
              <w:spacing w:after="0"/>
              <w:rPr>
                <w:sz w:val="20"/>
                <w:szCs w:val="20"/>
                <w:color w:val="auto"/>
              </w:rPr>
            </w:pPr>
            <w:r>
              <w:rPr>
                <w:rFonts w:ascii="Arial" w:cs="Arial" w:eastAsia="Arial" w:hAnsi="Arial"/>
                <w:sz w:val="12"/>
                <w:szCs w:val="12"/>
                <w:color w:val="0000FF"/>
                <w:w w:val="89"/>
              </w:rPr>
              <w:t>3</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Shares of preferred stock will automatically convert into shares of common stock on a 1-to-1 basis upon closing of the Issuer's initial public offering. The preferred stock has no expiration date.</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As the spouse of the trustee of the Julie D. Farkas Revocable Trust ("JFTrust"), the Reporting Person may be deemed to have voting and dispositive power over the shares held by JFTrust.</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As a trustee of the Seth Goldman Revocable Trust ("SGRTrust"), the Reporting Person has voting and dispositive power over the shares held by the SGRTrust.</w:t>
      </w:r>
    </w:p>
    <w:p>
      <w:pPr>
        <w:spacing w:after="0" w:line="31" w:lineRule="exact"/>
        <w:rPr>
          <w:rFonts w:ascii="Arial" w:cs="Arial" w:eastAsia="Arial" w:hAnsi="Arial"/>
          <w:sz w:val="9"/>
          <w:szCs w:val="9"/>
          <w:color w:val="008000"/>
        </w:rPr>
      </w:pPr>
    </w:p>
    <w:p>
      <w:pPr>
        <w:ind w:left="20" w:right="120" w:hanging="1"/>
        <w:spacing w:after="0" w:line="254" w:lineRule="auto"/>
        <w:tabs>
          <w:tab w:leader="none" w:pos="110" w:val="left"/>
        </w:tabs>
        <w:numPr>
          <w:ilvl w:val="0"/>
          <w:numId w:val="2"/>
        </w:numPr>
        <w:rPr>
          <w:rFonts w:ascii="Arial" w:cs="Arial" w:eastAsia="Arial" w:hAnsi="Arial"/>
          <w:sz w:val="9"/>
          <w:szCs w:val="9"/>
          <w:color w:val="008000"/>
        </w:rPr>
      </w:pPr>
      <w:r>
        <w:rPr>
          <w:rFonts w:ascii="Arial" w:cs="Arial" w:eastAsia="Arial" w:hAnsi="Arial"/>
          <w:sz w:val="9"/>
          <w:szCs w:val="9"/>
          <w:color w:val="008000"/>
        </w:rPr>
        <w:t>Stock option granted under the 2011 Equity Incentive Plan (the "Plan") on July 20, 2016; the option vested and became exercisable as to 25% of the total shares on July 20, 2017, and 1/48th of the total shares vests and becomes exercisable monthly thereafter, such that the option is fully vested and exercisable on July 20, 2020, subject to any accelerated vesting provided under the Executive Change in Control Severance Agreement by and between the Reporting Person and the Issuer.</w:t>
      </w:r>
    </w:p>
    <w:p>
      <w:pPr>
        <w:spacing w:after="0" w:line="15" w:lineRule="exact"/>
        <w:rPr>
          <w:rFonts w:ascii="Arial" w:cs="Arial" w:eastAsia="Arial" w:hAnsi="Arial"/>
          <w:sz w:val="9"/>
          <w:szCs w:val="9"/>
          <w:color w:val="008000"/>
        </w:rPr>
      </w:pPr>
    </w:p>
    <w:p>
      <w:pPr>
        <w:ind w:left="20" w:right="180" w:hanging="1"/>
        <w:spacing w:after="0" w:line="254" w:lineRule="auto"/>
        <w:tabs>
          <w:tab w:leader="none" w:pos="110" w:val="left"/>
        </w:tabs>
        <w:numPr>
          <w:ilvl w:val="0"/>
          <w:numId w:val="2"/>
        </w:numPr>
        <w:rPr>
          <w:rFonts w:ascii="Arial" w:cs="Arial" w:eastAsia="Arial" w:hAnsi="Arial"/>
          <w:sz w:val="9"/>
          <w:szCs w:val="9"/>
          <w:color w:val="008000"/>
        </w:rPr>
      </w:pPr>
      <w:r>
        <w:rPr>
          <w:rFonts w:ascii="Arial" w:cs="Arial" w:eastAsia="Arial" w:hAnsi="Arial"/>
          <w:sz w:val="9"/>
          <w:szCs w:val="9"/>
          <w:color w:val="008000"/>
        </w:rPr>
        <w:t>Stock option granted under the Plan on May 30, 2018; the option vested and became exercisable as to 25% of the total shares on August 3, 2018, and 1/48th of the total shares vests and becomes exercisable monthly thereafter, such that the option is fully vested and exercisable on August 3, 2021, subject to any accelerated vesting provided under the Executive Change in Control Severance Agreement by and between the Reporting Person and the Issuer.</w:t>
      </w:r>
    </w:p>
    <w:p>
      <w:pPr>
        <w:spacing w:after="0" w:line="1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9"/>
          <w:szCs w:val="9"/>
          <w:color w:val="008000"/>
        </w:rPr>
        <w:t>Exhibit 24-Power of Attorney attached</w:t>
      </w:r>
    </w:p>
    <w:p>
      <w:pPr>
        <w:sectPr>
          <w:pgSz w:w="11900" w:h="16838" w:orient="portrait"/>
          <w:cols w:equalWidth="0" w:num="1">
            <w:col w:w="11480"/>
          </w:cols>
          <w:pgMar w:left="220" w:top="197" w:right="199" w:bottom="1440" w:gutter="0" w:footer="0" w:header="0"/>
          <w:type w:val="continuous"/>
        </w:sectPr>
      </w:pPr>
    </w:p>
    <w:p>
      <w:pPr>
        <w:spacing w:after="0" w:line="51" w:lineRule="exact"/>
        <w:rPr>
          <w:sz w:val="24"/>
          <w:szCs w:val="24"/>
          <w:color w:val="auto"/>
        </w:rPr>
      </w:pPr>
    </w:p>
    <w:p>
      <w:pPr>
        <w:ind w:left="6900"/>
        <w:spacing w:after="0"/>
        <w:rPr>
          <w:sz w:val="20"/>
          <w:szCs w:val="20"/>
          <w:color w:val="auto"/>
        </w:rPr>
      </w:pPr>
      <w:r>
        <w:rPr>
          <w:rFonts w:ascii="Arial" w:cs="Arial" w:eastAsia="Arial" w:hAnsi="Arial"/>
          <w:sz w:val="9"/>
          <w:szCs w:val="9"/>
          <w:color w:val="0000FF"/>
        </w:rPr>
        <w:t>Mark J. Nelson, Attorney-In-Fact for Seth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12700</wp:posOffset>
            </wp:positionV>
            <wp:extent cx="125349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53490" cy="5715"/>
                    </a:xfrm>
                    <a:prstGeom prst="rect">
                      <a:avLst/>
                    </a:prstGeom>
                    <a:noFill/>
                  </pic:spPr>
                </pic:pic>
              </a:graphicData>
            </a:graphic>
          </wp:anchor>
        </w:drawing>
      </w:r>
    </w:p>
    <w:p>
      <w:pPr>
        <w:spacing w:after="0" w:line="25" w:lineRule="exact"/>
        <w:rPr>
          <w:sz w:val="24"/>
          <w:szCs w:val="24"/>
          <w:color w:val="auto"/>
        </w:rPr>
      </w:pPr>
    </w:p>
    <w:p>
      <w:pPr>
        <w:ind w:left="6900"/>
        <w:spacing w:after="0"/>
        <w:rPr>
          <w:sz w:val="20"/>
          <w:szCs w:val="20"/>
          <w:color w:val="auto"/>
        </w:rPr>
      </w:pPr>
      <w:r>
        <w:rPr>
          <w:rFonts w:ascii="Arial" w:cs="Arial" w:eastAsia="Arial" w:hAnsi="Arial"/>
          <w:sz w:val="12"/>
          <w:szCs w:val="12"/>
          <w:color w:val="0000FF"/>
        </w:rPr>
        <w:t>Goldman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2768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6860" cy="5715"/>
                    </a:xfrm>
                    <a:prstGeom prst="rect">
                      <a:avLst/>
                    </a:prstGeom>
                    <a:noFill/>
                  </pic:spPr>
                </pic:pic>
              </a:graphicData>
            </a:graphic>
          </wp:anchor>
        </w:drawing>
      </w:r>
    </w:p>
    <w:p>
      <w:pPr>
        <w:spacing w:after="0" w:line="24" w:lineRule="exact"/>
        <w:rPr>
          <w:sz w:val="24"/>
          <w:szCs w:val="24"/>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3640" w:hanging="1"/>
        <w:spacing w:after="0" w:line="311" w:lineRule="auto"/>
        <w:tabs>
          <w:tab w:leader="none" w:pos="115"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9"/>
          <w:szCs w:val="9"/>
          <w:color w:val="0000FF"/>
        </w:rPr>
        <w:t>05/01/2019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8860" w:space="32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4"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Beyond Meat, Inc. (the "Company"), hereby constitutes and appoints Mark J. Nelson and Sowmya Rajan, and ea</w:t>
      </w:r>
    </w:p>
    <w:p>
      <w:pPr>
        <w:spacing w:after="0" w:line="10" w:lineRule="exact"/>
        <w:rPr>
          <w:sz w:val="20"/>
          <w:szCs w:val="20"/>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deliver and file for and on behalf of the undersigned, in the undersigned's capacity as an officer and/or director of the Company, Forms 3, 4, and 5 in</w:t>
      </w:r>
    </w:p>
    <w:p>
      <w:pPr>
        <w:spacing w:after="0" w:line="10"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w:t>
      </w:r>
    </w:p>
    <w:p>
      <w:pPr>
        <w:spacing w:after="0" w:line="10"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seek or obtain, as the undersigned's representative and on the undersigned's behalf, information on transactions in the Company's securities from any third part</w:t>
      </w:r>
    </w:p>
    <w:p>
      <w:pPr>
        <w:spacing w:after="0" w:line="10" w:lineRule="exact"/>
        <w:rPr>
          <w:rFonts w:ascii="Courier New" w:cs="Courier New" w:eastAsia="Courier New" w:hAnsi="Courier New"/>
          <w:sz w:val="11"/>
          <w:szCs w:val="11"/>
          <w:color w:val="auto"/>
        </w:rPr>
      </w:pPr>
    </w:p>
    <w:p>
      <w:pPr>
        <w:jc w:val="both"/>
        <w:ind w:left="428" w:hanging="428"/>
        <w:spacing w:after="0" w:line="236" w:lineRule="auto"/>
        <w:tabs>
          <w:tab w:leader="none" w:pos="287"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 This Power of Attorney shall remain in full force and effect until the undersigned is no longer required to file Forms 3, 4, and 5 with respect to the undersi IN WITNESS WHEREOF, the undersigned has caused this Power of Attorney to be executed as of this 15th day of November, 2018.</w:t>
      </w:r>
    </w:p>
    <w:p>
      <w:pPr>
        <w:spacing w:after="0" w:line="13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Seth Goldman</w:t>
      </w:r>
    </w:p>
    <w:p>
      <w:pPr>
        <w:ind w:left="8"/>
        <w:spacing w:after="0"/>
        <w:rPr>
          <w:sz w:val="20"/>
          <w:szCs w:val="20"/>
          <w:color w:val="auto"/>
        </w:rPr>
      </w:pPr>
      <w:r>
        <w:rPr>
          <w:rFonts w:ascii="Courier New" w:cs="Courier New" w:eastAsia="Courier New" w:hAnsi="Courier New"/>
          <w:sz w:val="12"/>
          <w:szCs w:val="12"/>
          <w:color w:val="auto"/>
        </w:rPr>
        <w:t>Signature</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SETH GOLDMAN</w:t>
      </w:r>
    </w:p>
    <w:p>
      <w:pPr>
        <w:ind w:left="8"/>
        <w:spacing w:after="0"/>
        <w:rPr>
          <w:sz w:val="20"/>
          <w:szCs w:val="20"/>
          <w:color w:val="auto"/>
        </w:rPr>
      </w:pPr>
      <w:r>
        <w:rPr>
          <w:rFonts w:ascii="Courier New" w:cs="Courier New" w:eastAsia="Courier New" w:hAnsi="Courier New"/>
          <w:sz w:val="12"/>
          <w:szCs w:val="12"/>
          <w:color w:val="auto"/>
        </w:rPr>
        <w:t>Print Name</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58613" TargetMode="External"/><Relationship Id="rId12"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2019-12-24T09:09:42Z</dcterms:created>
  <dcterms:modified xsi:type="dcterms:W3CDTF">2019-12-24T09:09:42Z</dcterms:modified>
</cp:coreProperties>
</file>