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180"/>
        <w:jc w:val="left"/>
        <w:rPr/>
      </w:pPr>
      <w:r>
        <w:rPr/>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FORM 8-K</w:t>
      </w:r>
    </w:p>
    <w:p>
      <w:pPr>
        <w:pStyle w:val="TextBody"/>
        <w:bidi w:val="0"/>
        <w:spacing w:before="0" w:after="180"/>
        <w:jc w:val="left"/>
        <w:rPr/>
      </w:pPr>
      <w:r>
        <w:rPr/>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180"/>
        <w:jc w:val="left"/>
        <w:rPr/>
      </w:pPr>
      <w:r>
        <w:rPr/>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Date of Report (Date of Earliest Event Reported): November 10, 2025</w:t>
      </w:r>
    </w:p>
    <w:p>
      <w:pPr>
        <w:pStyle w:val="TextBody"/>
        <w:bidi w:val="0"/>
        <w:spacing w:before="0" w:after="180"/>
        <w:jc w:val="left"/>
        <w:rPr/>
      </w:pPr>
      <w:r>
        <w:rPr/>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BEYOND MEAT, INC.</w:t>
      </w:r>
    </w:p>
    <w:p>
      <w:pPr>
        <w:pStyle w:val="TextBody"/>
        <w:bidi w:val="0"/>
        <w:spacing w:lineRule="auto" w:line="360" w:before="0" w:after="180"/>
        <w:jc w:val="center"/>
        <w:rPr/>
      </w:pPr>
      <w:r>
        <w:rPr>
          <w:rFonts w:ascii="Arial;sans-serif" w:hAnsi="Arial;sans-serif"/>
          <w:b/>
          <w:color w:val="000000"/>
          <w:sz w:val="20"/>
        </w:rPr>
        <w:t>(Exact name of registrant as specified in its charter)</w:t>
      </w:r>
      <w:r>
        <w:rPr>
          <w:color w:val="000000"/>
        </w:rPr>
        <w:t xml:space="preserve"> </w:t>
      </w:r>
    </w:p>
    <w:p>
      <w:pPr>
        <w:pStyle w:val="TextBody"/>
        <w:bidi w:val="0"/>
        <w:spacing w:before="0" w:after="180"/>
        <w:jc w:val="center"/>
        <w:rPr/>
      </w:pPr>
      <w:r>
        <w:rPr/>
      </w:r>
    </w:p>
    <w:tbl>
      <w:tblPr>
        <w:tblW w:w="7417" w:type="dxa"/>
        <w:jc w:val="center"/>
        <w:tblInd w:w="0" w:type="dxa"/>
        <w:tblLayout w:type="fixed"/>
        <w:tblCellMar>
          <w:top w:w="28" w:type="dxa"/>
          <w:left w:w="28" w:type="dxa"/>
          <w:bottom w:w="28" w:type="dxa"/>
          <w:right w:w="28" w:type="dxa"/>
        </w:tblCellMar>
      </w:tblPr>
      <w:tblGrid>
        <w:gridCol w:w="846"/>
        <w:gridCol w:w="742"/>
        <w:gridCol w:w="751"/>
        <w:gridCol w:w="109"/>
        <w:gridCol w:w="109"/>
        <w:gridCol w:w="109"/>
        <w:gridCol w:w="792"/>
        <w:gridCol w:w="792"/>
        <w:gridCol w:w="800"/>
        <w:gridCol w:w="109"/>
        <w:gridCol w:w="109"/>
        <w:gridCol w:w="109"/>
        <w:gridCol w:w="596"/>
        <w:gridCol w:w="596"/>
        <w:gridCol w:w="84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001-38879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26-4087597</w:t>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(State or other jurisdiction</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Arial;sans-serif" w:hAnsi="Arial;sans-serif"/>
                <w:b/>
                <w:color w:val="000000"/>
                <w:sz w:val="18"/>
              </w:rPr>
            </w:pPr>
            <w:r>
              <w:rPr>
                <w:rFonts w:ascii="Arial;sans-serif" w:hAnsi="Arial;sans-serif"/>
                <w:b/>
                <w:color w:val="000000"/>
                <w:sz w:val="18"/>
              </w:rPr>
              <w:t>(I.R.S. Employer</w:t>
            </w:r>
          </w:p>
          <w:p>
            <w:pPr>
              <w:pStyle w:val="TableContents"/>
              <w:bidi w:val="0"/>
              <w:spacing w:lineRule="auto" w:line="288" w:before="0" w:after="30"/>
              <w:jc w:val="center"/>
              <w:rPr>
                <w:rFonts w:ascii="Arial;sans-serif" w:hAnsi="Arial;sans-serif"/>
                <w:b/>
                <w:color w:val="000000"/>
                <w:sz w:val="18"/>
              </w:rPr>
            </w:pPr>
            <w:r>
              <w:rPr>
                <w:rFonts w:ascii="Arial;sans-serif" w:hAnsi="Arial;sans-serif"/>
                <w:b/>
                <w:color w:val="000000"/>
                <w:sz w:val="18"/>
              </w:rPr>
              <w:t>Identification Number)</w:t>
            </w:r>
          </w:p>
        </w:tc>
      </w:tr>
    </w:tbl>
    <w:p>
      <w:pPr>
        <w:pStyle w:val="TextBody"/>
        <w:bidi w:val="0"/>
        <w:spacing w:lineRule="auto" w:line="360" w:before="0" w:after="180"/>
        <w:jc w:val="center"/>
        <w:rPr>
          <w:rFonts w:ascii="Arial;sans-serif" w:hAnsi="Arial;sans-serif"/>
          <w:b/>
          <w:color w:val="000000"/>
          <w:sz w:val="18"/>
        </w:rPr>
      </w:pPr>
      <w:r>
        <w:rPr>
          <w:rFonts w:ascii="Arial;sans-serif" w:hAnsi="Arial;sans-serif"/>
          <w:b/>
          <w:color w:val="000000"/>
          <w:sz w:val="18"/>
        </w:rPr>
        <w:t>888 N. Douglas Street, Suite 100</w:t>
      </w:r>
    </w:p>
    <w:p>
      <w:pPr>
        <w:pStyle w:val="TextBody"/>
        <w:bidi w:val="0"/>
        <w:spacing w:lineRule="auto" w:line="360" w:before="0" w:after="180"/>
        <w:jc w:val="center"/>
        <w:rPr>
          <w:rFonts w:ascii="Arial;sans-serif" w:hAnsi="Arial;sans-serif"/>
          <w:b/>
          <w:color w:val="000000"/>
          <w:sz w:val="18"/>
        </w:rPr>
      </w:pPr>
      <w:r>
        <w:rPr>
          <w:rFonts w:ascii="Arial;sans-serif" w:hAnsi="Arial;sans-serif"/>
          <w:b/>
          <w:color w:val="000000"/>
          <w:sz w:val="18"/>
        </w:rPr>
        <w:t>El Segundo, California 90245</w:t>
      </w:r>
    </w:p>
    <w:p>
      <w:pPr>
        <w:pStyle w:val="TextBody"/>
        <w:bidi w:val="0"/>
        <w:spacing w:lineRule="auto" w:line="360" w:before="0" w:after="180"/>
        <w:jc w:val="center"/>
        <w:rPr>
          <w:rFonts w:ascii="Arial;sans-serif" w:hAnsi="Arial;sans-serif"/>
          <w:b/>
          <w:color w:val="000000"/>
          <w:sz w:val="18"/>
        </w:rPr>
      </w:pPr>
      <w:r>
        <w:rPr>
          <w:rFonts w:ascii="Arial;sans-serif" w:hAnsi="Arial;sans-serif"/>
          <w:b/>
          <w:color w:val="000000"/>
          <w:sz w:val="18"/>
        </w:rPr>
        <w:t>(Address of principal executive offices, including zip code)</w:t>
      </w:r>
    </w:p>
    <w:p>
      <w:pPr>
        <w:pStyle w:val="TextBody"/>
        <w:bidi w:val="0"/>
        <w:spacing w:before="0" w:after="180"/>
        <w:jc w:val="center"/>
        <w:rPr/>
      </w:pPr>
      <w:r>
        <w:rPr/>
      </w:r>
    </w:p>
    <w:p>
      <w:pPr>
        <w:pStyle w:val="TextBody"/>
        <w:bidi w:val="0"/>
        <w:spacing w:lineRule="auto" w:line="360" w:before="0" w:after="180"/>
        <w:jc w:val="center"/>
        <w:rPr>
          <w:rFonts w:ascii="Arial;sans-serif" w:hAnsi="Arial;sans-serif"/>
          <w:b/>
          <w:color w:val="000000"/>
          <w:sz w:val="18"/>
        </w:rPr>
      </w:pPr>
      <w:r>
        <w:rPr>
          <w:rFonts w:ascii="Arial;sans-serif" w:hAnsi="Arial;sans-serif"/>
          <w:b/>
          <w:color w:val="000000"/>
          <w:sz w:val="18"/>
        </w:rPr>
        <w:t>(866) 756-4112</w:t>
      </w:r>
    </w:p>
    <w:p>
      <w:pPr>
        <w:pStyle w:val="TextBody"/>
        <w:bidi w:val="0"/>
        <w:spacing w:lineRule="auto" w:line="360" w:before="0" w:after="180"/>
        <w:jc w:val="center"/>
        <w:rPr>
          <w:rFonts w:ascii="Arial;sans-serif" w:hAnsi="Arial;sans-serif"/>
          <w:b/>
          <w:color w:val="000000"/>
          <w:sz w:val="18"/>
        </w:rPr>
      </w:pPr>
      <w:r>
        <w:rPr>
          <w:rFonts w:ascii="Arial;sans-serif" w:hAnsi="Arial;sans-serif"/>
          <w:b/>
          <w:color w:val="000000"/>
          <w:sz w:val="18"/>
        </w:rPr>
        <w:t>(Registrant’s telephone number, including area code)</w:t>
      </w:r>
    </w:p>
    <w:p>
      <w:pPr>
        <w:pStyle w:val="TextBody"/>
        <w:bidi w:val="0"/>
        <w:spacing w:before="0" w:after="180"/>
        <w:jc w:val="center"/>
        <w:rPr/>
      </w:pPr>
      <w:r>
        <w:rPr/>
      </w:r>
    </w:p>
    <w:p>
      <w:pPr>
        <w:pStyle w:val="TextBody"/>
        <w:bidi w:val="0"/>
        <w:spacing w:lineRule="auto" w:line="360" w:before="0" w:after="18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360" w:before="0" w:after="180"/>
        <w:jc w:val="center"/>
        <w:rPr>
          <w:rFonts w:ascii="Arial;sans-serif" w:hAnsi="Arial;sans-serif"/>
          <w:b/>
          <w:color w:val="000000"/>
          <w:sz w:val="18"/>
        </w:rPr>
      </w:pPr>
      <w:r>
        <w:rPr>
          <w:rFonts w:ascii="Arial;sans-serif" w:hAnsi="Arial;sans-serif"/>
          <w:b/>
          <w:color w:val="000000"/>
          <w:sz w:val="18"/>
        </w:rPr>
        <w:t>(Former Name or Former Address, if Changed Since Last Report)</w:t>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360" w:before="0" w:after="180"/>
        <w:jc w:val="left"/>
        <w:rPr>
          <w:rFonts w:ascii="Arial;sans-serif" w:hAnsi="Arial;sans-serif"/>
          <w:b w:val="false"/>
          <w:color w:val="000000"/>
          <w:sz w:val="18"/>
        </w:rPr>
      </w:pPr>
      <w:r>
        <w:rPr>
          <w:rFonts w:ascii="Arial;sans-serif" w:hAnsi="Arial;sans-serif"/>
          <w:b w:val="false"/>
          <w:color w:val="000000"/>
          <w:sz w:val="18"/>
        </w:rPr>
        <w:t xml:space="preserve">Check the appropriate box below if the Form 8-K filing is intended to simultaneously satisfy the filing obligation of the registrant under any of the following provisions: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27"/>
        <w:gridCol w:w="1085"/>
        <w:gridCol w:w="1085"/>
        <w:gridCol w:w="1971"/>
        <w:gridCol w:w="1971"/>
        <w:gridCol w:w="1980"/>
        <w:gridCol w:w="187"/>
        <w:gridCol w:w="187"/>
        <w:gridCol w:w="2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13-4(c) under the Exchange Act (17 CFR 240.13e-4(c))</w:t>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60" w:before="0" w:after="18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556" w:type="dxa"/>
        <w:jc w:val="left"/>
        <w:tblInd w:w="0" w:type="dxa"/>
        <w:tblLayout w:type="fixed"/>
        <w:tblCellMar>
          <w:top w:w="28" w:type="dxa"/>
          <w:left w:w="28" w:type="dxa"/>
          <w:bottom w:w="28" w:type="dxa"/>
          <w:right w:w="28" w:type="dxa"/>
        </w:tblCellMar>
      </w:tblPr>
      <w:tblGrid>
        <w:gridCol w:w="1102"/>
        <w:gridCol w:w="965"/>
        <w:gridCol w:w="977"/>
        <w:gridCol w:w="109"/>
        <w:gridCol w:w="109"/>
        <w:gridCol w:w="109"/>
        <w:gridCol w:w="484"/>
        <w:gridCol w:w="484"/>
        <w:gridCol w:w="486"/>
        <w:gridCol w:w="109"/>
        <w:gridCol w:w="109"/>
        <w:gridCol w:w="109"/>
        <w:gridCol w:w="995"/>
        <w:gridCol w:w="995"/>
        <w:gridCol w:w="1414"/>
      </w:tblGrid>
      <w:tr>
        <w:trPr/>
        <w:tc>
          <w:tcPr>
            <w:tcW w:w="1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360" w:before="0" w:after="18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360" w:before="0" w:after="180"/>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360" w:before="0" w:after="18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360" w:before="0" w:after="180"/>
        <w:jc w:val="left"/>
        <w:rPr>
          <w:rFonts w:ascii="Arial;sans-serif" w:hAnsi="Arial;sans-serif"/>
          <w:b/>
          <w:color w:val="000000"/>
          <w:sz w:val="20"/>
        </w:rPr>
      </w:pPr>
      <w:r>
        <w:rPr>
          <w:rFonts w:ascii="Arial;sans-serif" w:hAnsi="Arial;sans-serif"/>
          <w:b/>
          <w:color w:val="000000"/>
          <w:sz w:val="20"/>
        </w:rPr>
        <w:t xml:space="preserve">Item 2.02 Results of Operations and Financial Condition. </w:t>
      </w:r>
    </w:p>
    <w:p>
      <w:pPr>
        <w:pStyle w:val="TextBody"/>
        <w:bidi w:val="0"/>
        <w:spacing w:lineRule="auto" w:line="333" w:before="60" w:after="180"/>
        <w:jc w:val="left"/>
        <w:rPr>
          <w:rFonts w:ascii="Arial;sans-serif" w:hAnsi="Arial;sans-serif"/>
          <w:b w:val="false"/>
          <w:color w:val="000000"/>
          <w:sz w:val="20"/>
        </w:rPr>
      </w:pPr>
      <w:r>
        <w:rPr>
          <w:rFonts w:ascii="Arial;sans-serif" w:hAnsi="Arial;sans-serif"/>
          <w:b w:val="false"/>
          <w:color w:val="000000"/>
          <w:sz w:val="20"/>
        </w:rPr>
        <w:t xml:space="preserve">On November 10, 2025, Beyond Meat, Inc. (the “Company”) issued a press release announcing its financial results for the third quarter ended September 27, 2025. The full text of the press release is furnished herewith as Exhibit 99.1 and incorporated herein by reference. </w:t>
      </w:r>
    </w:p>
    <w:p>
      <w:pPr>
        <w:pStyle w:val="TextBody"/>
        <w:bidi w:val="0"/>
        <w:spacing w:lineRule="auto" w:line="333" w:before="60" w:after="180"/>
        <w:jc w:val="left"/>
        <w:rPr>
          <w:rFonts w:ascii="Arial;sans-serif" w:hAnsi="Arial;sans-serif"/>
          <w:b w:val="false"/>
          <w:color w:val="000000"/>
          <w:sz w:val="20"/>
        </w:rPr>
      </w:pPr>
      <w:r>
        <w:rPr>
          <w:rFonts w:ascii="Arial;sans-serif" w:hAnsi="Arial;sans-serif"/>
          <w:b w:val="false"/>
          <w:color w:val="000000"/>
          <w:sz w:val="20"/>
        </w:rPr>
        <w:t>In accordance with General Instruction B.2 of Form 8-K, the information contained or incorporated by reference in this Item 2.02, including the press release furnished herewith as Exhibit 99.1, shall not be deemed “filed” for the purposes of Section 18 of the Securities Exchange Act of 1934, as amended (the “Exchange Act”), or otherwise subject to the liabilities of that section, nor shall it be deemed to be incorporated by reference into any filing under the Securities Act of 1933, as amended (the “Securities Act”), or the Exchange Act, regardless of any general incorporation language in such filing, except as shall be expressly set forth by specific reference in such a filing.</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180"/>
        <w:jc w:val="left"/>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or implied herein including the risks discussed under the heading “Risk Factors” in the Company’s Annual Report on Form 10-K for the fiscal year ended December 31, 2024 filed with the SEC on March 5, 2025, the Company’s Quarterly Report on Form 10-Q for the fiscal quarter ended March 29, 2025 filed with the SEC on May 8, 2025, the Company’s Quarterly Report on Form 10-Q for the fiscal quarter ended June 28, 2025 filed with the SEC on August 8, 2025, the Company’s Quarterly Report on Form 10-Q for the fiscal quarter ended September 27, 2025 to be filed with the SEC, and under the heading “Supplementary Risk Factors” in the Company’s Current Report on Form 8-K filed with the SEC on October 6, 2025, as well as other factors described from time to time in the Company’s filings with the SEC. Such forward-looking statements are made only as of the date of this Current Report on Form 8-K. The Company undertakes no obligation 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333" w:before="0" w:after="120"/>
        <w:jc w:val="left"/>
        <w:rPr>
          <w:rFonts w:ascii="Arial;sans-serif" w:hAnsi="Arial;sans-serif"/>
          <w:b w:val="false"/>
          <w:color w:val="000000"/>
          <w:sz w:val="20"/>
        </w:rPr>
      </w:pPr>
      <w:r>
        <w:rPr>
          <w:rFonts w:ascii="Arial;sans-serif" w:hAnsi="Arial;sans-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641"/>
        <w:gridCol w:w="2641"/>
        <w:gridCol w:w="3740"/>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000000"/>
                <w:sz w:val="20"/>
              </w:rPr>
            </w:pPr>
            <w:r>
              <w:rPr>
                <w:rFonts w:ascii="Arial;sans-serif" w:hAnsi="Arial;sans-serif"/>
                <w:b/>
                <w:color w:val="000000"/>
                <w:sz w:val="20"/>
              </w:rPr>
              <w:t>Exhibit</w:t>
            </w:r>
          </w:p>
          <w:p>
            <w:pPr>
              <w:pStyle w:val="TableContents"/>
              <w:bidi w:val="0"/>
              <w:spacing w:lineRule="auto" w:line="333" w:before="0" w:after="30"/>
              <w:jc w:val="center"/>
              <w:rPr>
                <w:rFonts w:ascii="Arial;sans-serif" w:hAnsi="Arial;sans-serif"/>
                <w:b/>
                <w:color w:val="000000"/>
                <w:sz w:val="20"/>
                <w:u w:val="single"/>
              </w:rPr>
            </w:pPr>
            <w:r>
              <w:rPr>
                <w:rFonts w:ascii="Arial;sans-serif" w:hAnsi="Arial;sans-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20"/>
                <w:u w:val="single"/>
              </w:rPr>
            </w:pPr>
            <w:r>
              <w:rPr>
                <w:rFonts w:ascii="Arial;sans-serif" w:hAnsi="Arial;sans-serif"/>
                <w:b/>
                <w:color w:val="000000"/>
                <w:sz w:val="20"/>
                <w:u w:val="single"/>
              </w:rPr>
              <w:t>Description</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ex991pressrelease-q32025ea.htm">
              <w:r>
                <w:rPr>
                  <w:rStyle w:val="InternetLink"/>
                  <w:rFonts w:ascii="Arial;sans-serif" w:hAnsi="Arial;sans-serif"/>
                  <w:b w:val="false"/>
                  <w:color w:val="000080"/>
                  <w:sz w:val="20"/>
                  <w:u w:val="single"/>
                </w:rPr>
                <w:t xml:space="preserve">Press release of Beyond Meat, Inc. dated </w:t>
              </w:r>
            </w:hyperlink>
            <w:hyperlink w:anchor="ex991pressrelease-q32025ea.htm">
              <w:r>
                <w:rPr>
                  <w:rStyle w:val="InternetLink"/>
                  <w:rFonts w:ascii="Arial;sans-serif" w:hAnsi="Arial;sans-serif"/>
                  <w:b w:val="false"/>
                  <w:color w:val="000080"/>
                  <w:sz w:val="20"/>
                  <w:u w:val="single"/>
                </w:rPr>
                <w:t>November 10</w:t>
              </w:r>
            </w:hyperlink>
            <w:hyperlink w:anchor="ex991pressrelease-q32025ea.htm">
              <w:r>
                <w:rPr>
                  <w:rStyle w:val="InternetLink"/>
                  <w:rFonts w:ascii="Arial;sans-serif" w:hAnsi="Arial;sans-serif"/>
                  <w:b w:val="false"/>
                  <w:color w:val="000080"/>
                  <w:sz w:val="20"/>
                  <w:u w:val="single"/>
                </w:rPr>
                <w:t>, 2025</w:t>
              </w:r>
            </w:hyperlink>
            <w:hyperlink w:anchor="ex991pressrelease-q32025ea.htm">
              <w:r>
                <w:rPr>
                  <w:rStyle w:val="InternetLink"/>
                  <w:color w:val="0000FF"/>
                  <w:u w:val="single"/>
                </w:rPr>
                <w:t xml:space="preserve"> </w:t>
              </w:r>
            </w:hyperlink>
            <w:hyperlink w:anchor="ex991pressrelease-q32025ea.htm">
              <w:r>
                <w:rPr>
                  <w:rStyle w:val="InternetLink"/>
                  <w:rFonts w:ascii="Arial;sans-serif" w:hAnsi="Arial;sans-serif"/>
                  <w:b w:val="false"/>
                  <w:color w:val="000080"/>
                  <w:sz w:val="20"/>
                  <w:u w:val="single"/>
                </w:rPr>
                <w:t xml:space="preserve">relating to its financial results for the </w:t>
              </w:r>
            </w:hyperlink>
            <w:hyperlink w:anchor="ex991pressrelease-q32025ea.htm">
              <w:r>
                <w:rPr>
                  <w:rStyle w:val="InternetLink"/>
                  <w:rFonts w:ascii="Arial;sans-serif" w:hAnsi="Arial;sans-serif"/>
                  <w:b w:val="false"/>
                  <w:color w:val="000080"/>
                  <w:sz w:val="20"/>
                  <w:u w:val="single"/>
                </w:rPr>
                <w:t xml:space="preserve">third </w:t>
              </w:r>
            </w:hyperlink>
            <w:hyperlink w:anchor="ex991pressrelease-q32025ea.htm">
              <w:r>
                <w:rPr>
                  <w:rStyle w:val="InternetLink"/>
                  <w:rFonts w:ascii="Arial;sans-serif" w:hAnsi="Arial;sans-serif"/>
                  <w:b w:val="false"/>
                  <w:color w:val="000080"/>
                  <w:sz w:val="20"/>
                  <w:u w:val="single"/>
                </w:rPr>
                <w:t xml:space="preserve">quarter ended </w:t>
              </w:r>
            </w:hyperlink>
            <w:hyperlink w:anchor="ex991pressrelease-q32025ea.htm">
              <w:r>
                <w:rPr>
                  <w:rStyle w:val="InternetLink"/>
                  <w:rFonts w:ascii="Arial;sans-serif" w:hAnsi="Arial;sans-serif"/>
                  <w:b w:val="false"/>
                  <w:color w:val="000080"/>
                  <w:sz w:val="20"/>
                  <w:u w:val="single"/>
                </w:rPr>
                <w:t>September 27, 2025</w:t>
              </w:r>
            </w:hyperlink>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Arial;sans-serif" w:hAnsi="Arial;sans-serif"/>
                <w:b w:val="false"/>
                <w:color w:val="000000"/>
                <w:sz w:val="20"/>
              </w:rPr>
            </w:pPr>
            <w:r>
              <w:rPr>
                <w:rFonts w:ascii="Arial;sans-serif" w:hAnsi="Arial;sans-serif"/>
                <w:b w:val="false"/>
                <w:color w:val="000000"/>
                <w:sz w:val="20"/>
              </w:rPr>
              <w:t>Cover page interactive data file (embedded with the inline XBRL document)</w:t>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center"/>
        <w:rPr/>
      </w:pPr>
      <w:r>
        <w:rPr/>
      </w:r>
    </w:p>
    <w:p>
      <w:pPr>
        <w:pStyle w:val="TextBody"/>
        <w:bidi w:val="0"/>
        <w:spacing w:lineRule="auto" w:line="360" w:before="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18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tbl>
      <w:tblPr>
        <w:tblW w:w="4356" w:type="dxa"/>
        <w:jc w:val="left"/>
        <w:tblInd w:w="0" w:type="dxa"/>
        <w:tblLayout w:type="fixed"/>
        <w:tblCellMar>
          <w:top w:w="28" w:type="dxa"/>
          <w:left w:w="28" w:type="dxa"/>
          <w:bottom w:w="28" w:type="dxa"/>
          <w:right w:w="28" w:type="dxa"/>
        </w:tblCellMar>
      </w:tblPr>
      <w:tblGrid>
        <w:gridCol w:w="367"/>
        <w:gridCol w:w="322"/>
        <w:gridCol w:w="322"/>
        <w:gridCol w:w="976"/>
        <w:gridCol w:w="976"/>
        <w:gridCol w:w="1393"/>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3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BEYOND MEAT, INC.</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Lubi Kutua</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spacing w:lineRule="auto" w:line="360" w:before="0" w:after="180"/>
        <w:jc w:val="left"/>
        <w:rPr/>
      </w:pPr>
      <w:r>
        <w:rPr>
          <w:rFonts w:ascii="Arial;sans-serif" w:hAnsi="Arial;sans-serif"/>
          <w:b/>
          <w:color w:val="000000"/>
          <w:sz w:val="20"/>
        </w:rPr>
        <w:t>Date:</w:t>
      </w:r>
      <w:r>
        <w:rPr>
          <w:color w:val="000000"/>
        </w:rPr>
        <w:t xml:space="preserve"> </w:t>
      </w:r>
      <w:r>
        <w:rPr>
          <w:rFonts w:ascii="Arial;sans-serif" w:hAnsi="Arial;sans-serif"/>
          <w:b w:val="false"/>
          <w:color w:val="000000"/>
          <w:sz w:val="20"/>
        </w:rPr>
        <w:t>November 10, 2025</w:t>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2" w:before="0" w:after="16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160"/>
        <w:jc w:val="center"/>
        <w:rPr/>
      </w:pPr>
      <w:r>
        <w:rPr/>
        <w:drawing>
          <wp:inline distT="0" distB="0" distL="0" distR="0">
            <wp:extent cx="2381250" cy="12382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381250" cy="1238250"/>
                    </a:xfrm>
                    <a:prstGeom prst="rect">
                      <a:avLst/>
                    </a:prstGeom>
                  </pic:spPr>
                </pic:pic>
              </a:graphicData>
            </a:graphic>
          </wp:inline>
        </w:drawing>
      </w:r>
    </w:p>
    <w:p>
      <w:pPr>
        <w:pStyle w:val="TextBody"/>
        <w:bidi w:val="0"/>
        <w:spacing w:lineRule="auto" w:line="333" w:before="0" w:after="160"/>
        <w:jc w:val="left"/>
        <w:rPr>
          <w:rFonts w:ascii="Arial;sans-serif" w:hAnsi="Arial;sans-serif"/>
          <w:b/>
          <w:color w:val="000000"/>
          <w:sz w:val="22"/>
        </w:rPr>
      </w:pPr>
      <w:r>
        <w:rPr>
          <w:rFonts w:ascii="Arial;sans-serif" w:hAnsi="Arial;sans-serif"/>
          <w:b/>
          <w:color w:val="000000"/>
          <w:sz w:val="22"/>
        </w:rPr>
        <w:t>For immediate release</w:t>
      </w:r>
    </w:p>
    <w:p>
      <w:pPr>
        <w:pStyle w:val="TextBody"/>
        <w:bidi w:val="0"/>
        <w:spacing w:lineRule="auto" w:line="333" w:before="0" w:after="240"/>
        <w:jc w:val="center"/>
        <w:rPr/>
      </w:pPr>
      <w:r>
        <w:rPr>
          <w:rFonts w:ascii="Arial;sans-serif" w:hAnsi="Arial;sans-serif"/>
          <w:b/>
          <w:color w:val="000000"/>
          <w:sz w:val="32"/>
        </w:rPr>
        <w:t>Beyond Meat</w:t>
      </w:r>
      <w:r>
        <w:rPr>
          <w:rFonts w:ascii="Arial;sans-serif" w:hAnsi="Arial;sans-serif"/>
          <w:b/>
          <w:color w:val="000000"/>
          <w:sz w:val="21"/>
        </w:rPr>
        <w:t>®</w:t>
      </w:r>
      <w:r>
        <w:rPr>
          <w:color w:val="000000"/>
        </w:rPr>
        <w:t xml:space="preserve"> </w:t>
      </w:r>
      <w:r>
        <w:rPr>
          <w:rFonts w:ascii="Arial;sans-serif" w:hAnsi="Arial;sans-serif"/>
          <w:b/>
          <w:color w:val="000000"/>
          <w:sz w:val="32"/>
        </w:rPr>
        <w:t>Reports Third Quarter 2025 Financial Results</w:t>
      </w:r>
    </w:p>
    <w:p>
      <w:pPr>
        <w:pStyle w:val="TextBody"/>
        <w:bidi w:val="0"/>
        <w:spacing w:before="0" w:after="0"/>
        <w:jc w:val="center"/>
        <w:rPr/>
      </w:pPr>
      <w:r>
        <w:rPr/>
      </w:r>
    </w:p>
    <w:p>
      <w:pPr>
        <w:pStyle w:val="TextBody"/>
        <w:bidi w:val="0"/>
        <w:spacing w:lineRule="auto" w:line="417" w:before="0" w:after="0"/>
        <w:jc w:val="left"/>
        <w:rPr/>
      </w:pPr>
      <w:r>
        <w:rPr>
          <w:rFonts w:ascii="Arial;sans-serif" w:hAnsi="Arial;sans-serif"/>
          <w:b/>
          <w:color w:val="000000"/>
          <w:sz w:val="22"/>
        </w:rPr>
        <w:t>EL SEGUNDO, Calif. — November 10, 2025 (GLOBE NEWSWIRE)</w:t>
      </w:r>
      <w:r>
        <w:rPr>
          <w:color w:val="000000"/>
        </w:rPr>
        <w:t>—</w:t>
      </w:r>
      <w:r>
        <w:rPr>
          <w:rFonts w:ascii="Arial;sans-serif" w:hAnsi="Arial;sans-serif"/>
          <w:b w:val="false"/>
          <w:color w:val="000000"/>
          <w:sz w:val="22"/>
        </w:rPr>
        <w:t>Beyond Meat, Inc. (NASDAQ: BYND) (“Beyond Meat” or “the Company”), a leader in plant-based meat, today reported financial results for its third quarter ended September 27, 2025.</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color w:val="000000"/>
          <w:sz w:val="22"/>
        </w:rPr>
        <w:t>Third Quarter 2025 Financial Highlights</w:t>
      </w:r>
      <w:r>
        <w:rPr>
          <w:rFonts w:ascii="Arial;sans-serif" w:hAnsi="Arial;sans-serif"/>
          <w:b/>
          <w:color w:val="000000"/>
          <w:sz w:val="14"/>
        </w:rPr>
        <w:t>1</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Net revenues were $70.2 million, a decrease of 13.3% year-over-year.</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shd w:fill="FFFFFF" w:val="clear"/>
        </w:rPr>
        <w:t>Gross profit was $7.2 million, or gross margin of 10.3%, compared to gross profit of $14.3 million, or gross margin of 17.7%, in the year-ago period.</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Gross profit and gross margin included $1.7 million in expenses related to the suspension and substantial cessation of the Company’s operational activities in China.</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shd w:fill="FFFFFF" w:val="clear"/>
        </w:rPr>
        <w:t>Loss from operations was $112.3 million, or operating margin of -160.0%, compared to loss from operations of $30.9 million, or operating margin of -38.2%, in the year-ago period.</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Loss from operations included $77.4 million in non-cash impairment charges related to certain of the Company’s long-lived assets.</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Loss from operations also included the following charges recorded in operating expenses: $0.8 million in certain non-routine SG&amp;A expenses; $0.7 million in incremental legal and other fees and expenses associated with arbitration proceedings related to a previously-disclosed contractual dispute with a former co-manufacturer; and $0.6 million in costs related to a partial lease termination of a portion of the Company’s campus headquarters building in El Segundo, California (the “Campus Headquarters”).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shd w:fill="FFFFFF" w:val="clear"/>
        </w:rPr>
        <w:t>Net loss was $110.7 million, or $1.44 per common share, compared to net loss of $26.6 million, or $0.41 per common share, in the year-ago period.</w:t>
      </w:r>
    </w:p>
    <w:p>
      <w:pPr>
        <w:pStyle w:val="TextBody"/>
        <w:bidi w:val="0"/>
        <w:spacing w:lineRule="auto" w:line="276"/>
        <w:jc w:val="left"/>
        <w:rPr/>
      </w:pPr>
      <w:r>
        <w:rPr>
          <w:rFonts w:ascii="Times New Roman;serif" w:hAnsi="Times New Roman;serif"/>
          <w:b w:val="false"/>
          <w:color w:val="000000"/>
          <w:sz w:val="13"/>
        </w:rPr>
        <w:t>1</w:t>
      </w:r>
      <w:r>
        <w:rPr>
          <w:color w:val="000000"/>
        </w:rPr>
        <w:t xml:space="preserve"> </w:t>
      </w:r>
      <w:r>
        <w:rPr>
          <w:rFonts w:ascii="Arial;sans-serif" w:hAnsi="Arial;sans-serif"/>
          <w:b w:val="false"/>
          <w:color w:val="000000"/>
          <w:sz w:val="20"/>
        </w:rPr>
        <w:t>This release includes references to non-GAAP financial measures. Refer to “Non-GAAP Financial Measures” later in this release for the definitions of the non-GAAP financial measures presented and a reconciliation of these measures to their closest comparable GAAP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Net loss in aggregate included $81.2 million in expenses related to non-cash impairment charges related to certain of the Company’s long-lived assets, the suspension and substantial cessation of the Company’s operational activities in China, certain non-routine SG&amp;A expenses, incremental arbitration-related legal expenses, and costs related to a partial lease termination of a portion of the Company’s Campus Headquarters.</w:t>
      </w:r>
    </w:p>
    <w:p>
      <w:pPr>
        <w:pStyle w:val="TextBody"/>
        <w:bidi w:val="0"/>
        <w:spacing w:lineRule="auto" w:line="417" w:before="0" w:after="0"/>
        <w:ind w:left="0" w:right="0" w:hanging="360"/>
        <w:jc w:val="left"/>
        <w:rPr/>
      </w:pPr>
      <w:r>
        <w:rPr>
          <w:color w:val="000000"/>
          <w:shd w:fill="FFFFFF" w:val="clear"/>
        </w:rPr>
        <w:t>•</w:t>
      </w:r>
      <w:r>
        <w:rPr>
          <w:rFonts w:ascii="Arial;sans-serif" w:hAnsi="Arial;sans-serif"/>
          <w:b w:val="false"/>
          <w:color w:val="000000"/>
          <w:sz w:val="22"/>
          <w:shd w:fill="FFFFFF" w:val="clear"/>
        </w:rPr>
        <w:t>Adjusted EBITDA was a loss of $21.6 million, or -30.8% of net revenues, compared to an Adjusted EBITDA loss of $19.8 million, or -24.4% of net revenues,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Beyond Meat President and CEO Ethan Brown commented, "As we approach the end of 2025, we’ve achieved three important building blocks for our broader transformation efforts. These are significantly reducing our overall leverage in connection with the previously announced exchange of substantially all of our 2027 convertible notes; meaningfully extending our debt maturity; and finally, adding substantial liquidity to our balance sheet.”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Brown continued “Simultaneously, we are taking equally strong measures to accelerate our path to sustainable operations, including pursuing further and sizable cost reductions, gross margin expansion investments and targeted strategic growth initiatives. Though category headwinds and an accompanying softer top-line continue to weigh on and reverberate throughout our current performance, including our Q3 results, we are closing out the year with a much improved balance sheet, important transformation spadework underway, and genuine optimism and excitement regarding our future.”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Third Quarter 2025</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Net revenues decreased 13.3% to $70.2 million in the third quarter of 2025, compared to $81.0 million in the year-ago period. The decrease in net revenues was primarily driven by a 10.3% decrease in volume of products sold, and a 3.5% decrease in net revenue per pound. The decrease in volume of products sold was primarily driven by weak category demand, reduced points of distribution in the U.S. retail channel, and lower sales of burger products to Quick Service Restaurant (“QSR”) customers in the international foodservice channel. The decrease in net revenue per pound was primarily driven by higher trade discounts, changes in product sales mix and price decreases of certain of our products, partially offset by favorable changes in foreign currency exchange rates.</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U.S. retail channel net revenues decreased 18.4% to $28.5 million in the third quarter of 2025, compared to $35.0 million in the year-ago period. The decrease in net revenues was primarily driven by a 12.6% decrease in volume of products sold, and a 6.6% decrease in net revenue per pound.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decrease in volume of products sold was primarily driven by weak category demand and reduced points of distribution. The decrease in net revenue per pound was primarily driven by higher trade discounts and price decreases of certain of our products, partially offset by changes in product sales mix.</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U.S. foodservice channel net revenues decreased 27.3% to $10.5 million in the third quarter of 2025, compared to $14.5 million in the year-ago period. The decrease in net revenues was primarily driven by a 27.1% decrease in volume of products sold, and a 0.3% decrease in net revenue per pound. The decrease in volume of products sold was primarily driven by weak category demand and the lapping of sales of chicken products to a U.S. QSR customer in the year-ago period. The decrease in net revenue per pound was primarily driven by higher trade discounts and price decreases of certain of our products, partially offset by changes in product sales mix.</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International retail channel net revenues decreased 4.6% to $15.8 million in the third quarter of 2025, compared to $16.6 million in the year-ago period. The decrease in net revenues was primarily driven by a 12.5% decrease in volume of products sold, partially offset by a 9.1% increase in net revenue per pound. The decrease in volume of products sold was primarily driven by reduced sales of the Company’s burger, dinner sausage and chicken products. The increase in net revenue per pound was primarily driven by favorable changes in foreign currency exchange rates, price increases of certain of our products and changes in product sales mix, partially offset by higher trade discounts.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International foodservice channel net revenues increased 2.3% to $15.3 million in the third quarter of 2025, compared to $15.0 million in the year-ago period. The increase in net revenues was primarily driven by a 4.4% increase in volume of products sold, partially offset by a 2.0% decrease in net revenue per pound. The increase in volume of products sold was primarily due to higher sales of chicken products to a QSR customer, partially offset by reduced sales of burger products to certain QSR customers. The decrease in net revenue per pound was primarily driven by changes in product sales mix, partially offset by favorable changes in foreign currency exchange rates, lower trade discounts and, to a lesser extent, price increases of certain of our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Net revenues by channel (unaudited):</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t>The following tables present the Company’s net revenues by channel for the periods presented:</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8"/>
        <w:gridCol w:w="602"/>
        <w:gridCol w:w="584"/>
        <w:gridCol w:w="109"/>
        <w:gridCol w:w="109"/>
        <w:gridCol w:w="109"/>
        <w:gridCol w:w="109"/>
        <w:gridCol w:w="109"/>
        <w:gridCol w:w="109"/>
        <w:gridCol w:w="109"/>
        <w:gridCol w:w="469"/>
        <w:gridCol w:w="469"/>
        <w:gridCol w:w="470"/>
        <w:gridCol w:w="109"/>
        <w:gridCol w:w="298"/>
        <w:gridCol w:w="1063"/>
        <w:gridCol w:w="153"/>
        <w:gridCol w:w="109"/>
        <w:gridCol w:w="109"/>
        <w:gridCol w:w="109"/>
        <w:gridCol w:w="298"/>
        <w:gridCol w:w="1063"/>
        <w:gridCol w:w="153"/>
        <w:gridCol w:w="109"/>
        <w:gridCol w:w="109"/>
        <w:gridCol w:w="109"/>
        <w:gridCol w:w="211"/>
        <w:gridCol w:w="786"/>
        <w:gridCol w:w="109"/>
        <w:gridCol w:w="109"/>
        <w:gridCol w:w="109"/>
        <w:gridCol w:w="109"/>
        <w:gridCol w:w="287"/>
        <w:gridCol w:w="288"/>
        <w:gridCol w:w="341"/>
      </w:tblGrid>
      <w:tr>
        <w:trPr/>
        <w:tc>
          <w:tcPr>
            <w:tcW w:w="70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2676" w:type="dxa"/>
            <w:gridSpan w:val="12"/>
            <w:tcBorders/>
          </w:tcPr>
          <w:p>
            <w:pPr>
              <w:pStyle w:val="TableContents"/>
              <w:bidi w:val="0"/>
              <w:spacing w:before="0" w:after="283"/>
              <w:jc w:val="left"/>
              <w:rPr>
                <w:sz w:val="4"/>
                <w:szCs w:val="4"/>
              </w:rPr>
            </w:pPr>
            <w:r>
              <w:rPr>
                <w:sz w:val="4"/>
                <w:szCs w:val="4"/>
              </w:rPr>
            </w:r>
          </w:p>
        </w:tc>
      </w:tr>
      <w:tr>
        <w:trPr/>
        <w:tc>
          <w:tcPr>
            <w:tcW w:w="1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34,969 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39,061 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49,447 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15,347 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31,157 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31,559 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70,218 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6"/>
        <w:gridCol w:w="600"/>
        <w:gridCol w:w="581"/>
        <w:gridCol w:w="109"/>
        <w:gridCol w:w="109"/>
        <w:gridCol w:w="109"/>
        <w:gridCol w:w="109"/>
        <w:gridCol w:w="109"/>
        <w:gridCol w:w="109"/>
        <w:gridCol w:w="109"/>
        <w:gridCol w:w="446"/>
        <w:gridCol w:w="446"/>
        <w:gridCol w:w="447"/>
        <w:gridCol w:w="109"/>
        <w:gridCol w:w="278"/>
        <w:gridCol w:w="1132"/>
        <w:gridCol w:w="144"/>
        <w:gridCol w:w="109"/>
        <w:gridCol w:w="109"/>
        <w:gridCol w:w="109"/>
        <w:gridCol w:w="278"/>
        <w:gridCol w:w="1132"/>
        <w:gridCol w:w="144"/>
        <w:gridCol w:w="109"/>
        <w:gridCol w:w="109"/>
        <w:gridCol w:w="109"/>
        <w:gridCol w:w="211"/>
        <w:gridCol w:w="786"/>
        <w:gridCol w:w="109"/>
        <w:gridCol w:w="109"/>
        <w:gridCol w:w="109"/>
        <w:gridCol w:w="109"/>
        <w:gridCol w:w="287"/>
        <w:gridCol w:w="288"/>
        <w:gridCol w:w="337"/>
      </w:tblGrid>
      <w:tr>
        <w:trPr/>
        <w:tc>
          <w:tcPr>
            <w:tcW w:w="7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2672" w:type="dxa"/>
            <w:gridSpan w:val="12"/>
            <w:tcBorders/>
          </w:tcPr>
          <w:p>
            <w:pPr>
              <w:pStyle w:val="TableContents"/>
              <w:bidi w:val="0"/>
              <w:spacing w:before="0" w:after="283"/>
              <w:jc w:val="left"/>
              <w:rPr>
                <w:sz w:val="4"/>
                <w:szCs w:val="4"/>
              </w:rPr>
            </w:pPr>
            <w:r>
              <w:rPr>
                <w:sz w:val="4"/>
                <w:szCs w:val="4"/>
              </w:rPr>
            </w:r>
          </w:p>
        </w:tc>
      </w:tr>
      <w:tr>
        <w:trPr/>
        <w:tc>
          <w:tcPr>
            <w:tcW w:w="1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116,926 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123,798 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154,058 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44,359 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90,109 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95,736 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213,907 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249,794 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3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Volume of products sold by channel (unaudited):</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presents consolidated volume of the Company’s products sold in pounds for the periods presented:</w:t>
      </w:r>
    </w:p>
    <w:p>
      <w:pPr>
        <w:pStyle w:val="TextBody"/>
        <w:bidi w:val="0"/>
        <w:spacing w:before="0" w:after="0"/>
        <w:jc w:val="left"/>
        <w:rPr/>
      </w:pPr>
      <w:r>
        <w:rPr/>
      </w:r>
    </w:p>
    <w:tbl>
      <w:tblPr>
        <w:tblW w:w="11723" w:type="dxa"/>
        <w:jc w:val="left"/>
        <w:tblInd w:w="0" w:type="dxa"/>
        <w:tblLayout w:type="fixed"/>
        <w:tblCellMar>
          <w:top w:w="28" w:type="dxa"/>
          <w:left w:w="28" w:type="dxa"/>
          <w:bottom w:w="28" w:type="dxa"/>
          <w:right w:w="28" w:type="dxa"/>
        </w:tblCellMar>
      </w:tblPr>
      <w:tblGrid>
        <w:gridCol w:w="484"/>
        <w:gridCol w:w="376"/>
        <w:gridCol w:w="326"/>
        <w:gridCol w:w="109"/>
        <w:gridCol w:w="109"/>
        <w:gridCol w:w="109"/>
        <w:gridCol w:w="401"/>
        <w:gridCol w:w="350"/>
        <w:gridCol w:w="351"/>
        <w:gridCol w:w="109"/>
        <w:gridCol w:w="109"/>
        <w:gridCol w:w="109"/>
        <w:gridCol w:w="401"/>
        <w:gridCol w:w="350"/>
        <w:gridCol w:w="351"/>
        <w:gridCol w:w="109"/>
        <w:gridCol w:w="109"/>
        <w:gridCol w:w="109"/>
        <w:gridCol w:w="323"/>
        <w:gridCol w:w="323"/>
        <w:gridCol w:w="261"/>
        <w:gridCol w:w="109"/>
        <w:gridCol w:w="109"/>
        <w:gridCol w:w="109"/>
        <w:gridCol w:w="270"/>
        <w:gridCol w:w="271"/>
        <w:gridCol w:w="286"/>
        <w:gridCol w:w="109"/>
        <w:gridCol w:w="109"/>
        <w:gridCol w:w="109"/>
        <w:gridCol w:w="401"/>
        <w:gridCol w:w="350"/>
        <w:gridCol w:w="351"/>
        <w:gridCol w:w="109"/>
        <w:gridCol w:w="109"/>
        <w:gridCol w:w="109"/>
        <w:gridCol w:w="401"/>
        <w:gridCol w:w="350"/>
        <w:gridCol w:w="351"/>
        <w:gridCol w:w="109"/>
        <w:gridCol w:w="109"/>
        <w:gridCol w:w="109"/>
        <w:gridCol w:w="323"/>
        <w:gridCol w:w="323"/>
        <w:gridCol w:w="261"/>
        <w:gridCol w:w="109"/>
        <w:gridCol w:w="109"/>
        <w:gridCol w:w="109"/>
        <w:gridCol w:w="270"/>
        <w:gridCol w:w="271"/>
        <w:gridCol w:w="331"/>
      </w:tblGrid>
      <w:tr>
        <w:trPr/>
        <w:tc>
          <w:tcPr>
            <w:tcW w:w="4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(849)</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17,754 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22,296 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6,061 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3,128 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10,416 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(1,214)</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4,328 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14,219 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Volume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14,989 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16,718 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(1,729)</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45,685 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52,992 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(7,307)</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Gross profit in the third quarter of 2025 was $7.2 million, or gross margin of 10.3%, compared to gross profit of $14.3 million, or gross margin of 17.7%, in the year-ago period. Gross profit and gross margin in the third quarter of 2025 included $1.7 million in expenses related to the suspension and substantial cessation of the Company’s operational activities in China. Additionally, gross profit and gross margin in the third quarter of 2025 were negatively impacted by increased cost of goods sold per pound and decreased net revenue per pound. The increase in cost of goods sold per pound primarily reflected higher materials costs and higher inventory provision, partially offset by lower manufacturing expenses, including depreciation, and lower logistics costs.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Operating expenses were $119.6 million in the third quarter of 2025, compared to $45.2 million in the year-ago period. Operating expenses in the third quarter of 2025 included $77.4 million in non-cash impairment charges related to certain of the Company’s long-lived assets. The Company performed a quantitative assessment in accordance with ASC 360 and concluded that an impairment of its long-lived assets existed at September 27, 2025. There were no such impairment charges in the year-ago period. Operating expenses in the third quarter of 2025 also included $0.8 million in certain non-routine SG&amp;A expenses, $0.7 million in incremental legal and other fees and expenses associated with arbitration proceedings related to a contractual dispute with a former co-manufacturer and $0.6 million in costs related to the partial lease termination of a portion of the Company’s Campus Headquarters. Excluding these items, the decrease in operating expenses compared to the third quarter of 2024 was primarily driven by reduced marketing expenses and reduced non-production salaries and related expenses.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Loss from operations in the third quarter of 2025 was $112.3 million, compared to $30.9 million in the year-ago period. The increase in loss from operations was driven by the increase in operating expenses and the reduction in gross profit.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following table summarizes certain charges recorded in the Company’s consolidated statement of operations for the third quarter of 2025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0"/>
        <w:gridCol w:w="772"/>
        <w:gridCol w:w="772"/>
        <w:gridCol w:w="772"/>
        <w:gridCol w:w="772"/>
        <w:gridCol w:w="786"/>
        <w:gridCol w:w="358"/>
        <w:gridCol w:w="358"/>
        <w:gridCol w:w="358"/>
        <w:gridCol w:w="358"/>
        <w:gridCol w:w="358"/>
        <w:gridCol w:w="358"/>
        <w:gridCol w:w="200"/>
        <w:gridCol w:w="200"/>
        <w:gridCol w:w="200"/>
        <w:gridCol w:w="200"/>
        <w:gridCol w:w="200"/>
        <w:gridCol w:w="200"/>
        <w:gridCol w:w="200"/>
        <w:gridCol w:w="200"/>
        <w:gridCol w:w="200"/>
        <w:gridCol w:w="200"/>
        <w:gridCol w:w="200"/>
        <w:gridCol w:w="200"/>
        <w:gridCol w:w="263"/>
        <w:gridCol w:w="263"/>
        <w:gridCol w:w="377"/>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75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(in thousands)</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Charges recorded in cost of goods sold</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2"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Expenses related to suspension and substantial cessation of operational activities in China</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$ 1,721</w:t>
            </w:r>
          </w:p>
        </w:tc>
      </w:tr>
      <w:tr>
        <w:trPr/>
        <w:tc>
          <w:tcPr>
            <w:tcW w:w="6902"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charges recorded in cost of goods sold</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$ 1,721</w:t>
            </w:r>
          </w:p>
        </w:tc>
      </w:tr>
      <w:tr>
        <w:trPr/>
        <w:tc>
          <w:tcPr>
            <w:tcW w:w="9302" w:type="dxa"/>
            <w:gridSpan w:val="24"/>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2"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Charges recorded in operating expenses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2"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impairment charge related to certain long-lived assets</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$ 77,414</w:t>
            </w:r>
          </w:p>
        </w:tc>
      </w:tr>
      <w:tr>
        <w:trPr/>
        <w:tc>
          <w:tcPr>
            <w:tcW w:w="582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Certain non-routine SG&amp;A expenses</w:t>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$ 838</w:t>
            </w:r>
          </w:p>
        </w:tc>
      </w:tr>
      <w:tr>
        <w:trPr/>
        <w:tc>
          <w:tcPr>
            <w:tcW w:w="9302"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Incremental legal and other fees and expenses related to a contractual dispute with a former co-manufacturer</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$ 662</w:t>
            </w:r>
          </w:p>
        </w:tc>
      </w:tr>
      <w:tr>
        <w:trPr/>
        <w:tc>
          <w:tcPr>
            <w:tcW w:w="6902"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$ 555</w:t>
            </w:r>
          </w:p>
        </w:tc>
      </w:tr>
      <w:tr>
        <w:trPr/>
        <w:tc>
          <w:tcPr>
            <w:tcW w:w="9302"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Expenses related to suspension and substantial cessation of operational activities in China</w:t>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$ 36</w:t>
            </w:r>
          </w:p>
        </w:tc>
      </w:tr>
      <w:tr>
        <w:trPr/>
        <w:tc>
          <w:tcPr>
            <w:tcW w:w="6902"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charges recorded in operating expenses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$ 79,504</w:t>
            </w:r>
          </w:p>
        </w:tc>
      </w:tr>
      <w:tr>
        <w:trPr/>
        <w:tc>
          <w:tcPr>
            <w:tcW w:w="9302"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$ 81,225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Total other income, net, was $1.6 million in the third quarter of 2025, compared to total other income, net, of $4.4 million in the year-ago period. The decrease in total other income, net, was primarily due to a reduction in net realized and unrealized foreign currency transaction gains and an increase in interest expense related to leases and to the Company’s delayed draw term loan facility, partially offset by benefit from the remeasurement of warrant liability and interest income.</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Net loss was $110.7 million in the third quarter of 2025, compared to $26.6 million in the year-ago period. Net loss per common share was $1.44 in the third quarter of 2025, compared to $0.41 in the year-ago period. The increase in net loss in the third quarter of 2025 was primarily driven by the increase in loss from operations and the decrease in total other income, net.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Adjusted EBITDA was a loss of $21.6 million, or -30.8% of net revenues, in the third quarter of 2025, compared to an Adjusted EBITDA loss of $19.8 million, or -24.4% of net revenues, in the year-ago period.</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Balance Sheet and Cash Flow Highlights</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The Company’s cash and cash equivalents balance, including restricted cash, was $131.1 million and total outstanding debt was $1.2 billion as of September 27, 2025. Net cash used in operating activities was $98.1 million in the nine months ended September 27, 2025, compared to $69.9 million in the year-ago period. Capital expenditures totaled $9.3 million in the nine months ended September 27, 2025, compared to $4.5 million in the year-ago period. Net cash used in investing activities was $8.0 million in the nine months ended September 27, 2025, compared to $10,000 in the year-ago period. Net cash provided by financing activities was $87.8 million in the nine months ended September 27, 2025, compared to net cash used in financing activities of $1.3 million in the year-ago period. Net cash provided by financing activities in the nine months ended September 27, 2025 included draws in the aggregate amount of $100.0 million from the Company’s Delayed Draw Term Loan Facility with Unprocessed Foods, LLC, partially offset by related debt issuance costs.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Subsequent to the end of the third quarter, on October 29, 2025, the Company announced the final tender results of its previously-announced exchange offer (the “Exchange Offer”) to exchange any and all of its 2027 convertible notes for a pro rata portion of: (i) up to $202.5 million in aggregate principal amount of new convertible second lien notes; and (ii) up to 326,190,370 shares of the Company’s common stock. Following the final settlement date of the Exchange Offer on October 30, 2025 (the “Final Settlement Date”), a total of (i) $209,721,000 in aggregate principal amount of new convertible notes (inclusive of $12.5 million in aggregate principal amount of new convertible notes as payment to certain holders of 2027 convertible notes that had entered into a transaction support agreement with the Company related to the Exchange Offer) and (ii) 317,834,446 shares of the Company’s common stock have been issued by the Company in connection with the Exchange Offer. The 2027 convertible notes tendered in the Exchange Offer represented 97.44% of the aggregate outstanding principal amount of the 2027 convertible notes. Following the Final Settlement Date, $29,459,000 in aggregate principal amount of the 2027 convertible notes remained outstanding.</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In addition, subsequent to the end of the third quarter, the Company sold 58,888,790 shares of common stock under its “at-the-market” offering program (“ATM Program”) for an aggregate offering price of $151.7 million. Sales agent’s commissions related to these sales under the ATM Program were $3.0 million, resulting in aggregate net proceeds of approximately $148.7 million. As of October 27, 2025, the Company had approximately $2,000 in capacity remaining for further sale of shares of common stock under the ATM Program.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2025 Outlook</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 continues to experience an elevated level of uncertainty within its operating environment, which has, and management believes could continue to have, unforeseen impacts on the Company’s actual realized results. In light of this uncertainty, the Company is limiting its revised outlook to the following:</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In the fourth quarter of 2025, net revenues are expected to be in the range of $60 million to $65 million.</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 xml:space="preserve">Conference Call and Webcast </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The Company will host a conference call to discuss these results at 5:00 p.m. Eastern, 2:00 p.m. Pacific on Tuesday, November 11, 2025. Investors interested in participating in the live call can dial 412-902-4255. There will also be a simultaneous, live webcast available on the Investors section of the Company’s website at www.beyondmeat.com. The webcast will also be archived.</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About Beyond Meat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2"/>
        </w:rPr>
      </w:pPr>
      <w:r>
        <w:rPr>
          <w:rFonts w:ascii="Arial;sans-serif" w:hAnsi="Arial;sans-serif"/>
          <w:b w:val="false"/>
          <w:color w:val="000000"/>
          <w:sz w:val="22"/>
        </w:rPr>
        <w:t>Beyond Meat, Inc. (NASDAQ: BYND) is a leading plant-based meat company offering a portfolio of revolutionary plant-based meats made from simple ingredients without GMOs, no added hormones or antibiotics, and 0 mg of cholesterol per serving. Founded in 2009, Beyond Meat products are designed to have the same taste and texture as animal-based meat while being better for people and the planet. Beyond Meat’s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Visit www.BeyondMeat.com and follow @BeyondMeat on Facebook, Instagram, Threads and LinkedIn.</w:t>
      </w:r>
    </w:p>
    <w:p>
      <w:pPr>
        <w:pStyle w:val="TextBody"/>
        <w:bidi w:val="0"/>
        <w:spacing w:before="0" w:after="0"/>
        <w:jc w:val="both"/>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Certain statements in this release constitute “forward-looking statements" within the meaning of the federal securities laws, including statements related to the Company’s expectations with respect to its fourth quarter 2025 outlook.</w: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Forward-looking statements are based on management's current opinions, expectations, beliefs, plans, objectives, assumptions and projections regarding financial performance, prospects, future events and future results, including ongoing uncertainty related to macroeconomic issues, including high inflation and interest rates, prolonged, weakening demand in the plant-based meat category, ongoing concerns about the likelihood of a recession and increased competition, among other matters, and involve known and unknown risks that are difficult to predict. In some cases, you can identify forward-looking statements by the use of words such as “may,” “could,” “expect,” “intend,” “plan,” “seek,” “anticipate,” “believe,” “estimate,” “project,” “predict,” “outlook,” “potential,” “continue,” “likely,” “will,” “would” and variations of these terms and similar expressions, or the negative of these terms or similar expressions. These forward-looking statements are only predictions, not historical fact, and involve certain risks and uncertainties, as well as assumptions. Forward-looking statements should not be read as a guarantee of future performance or results, and will not necessarily be accurate indications of the times at, or by which or whether, such performance or results will be achieved.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results to differ materially from forward-looking statements made herein including, but not limited to, the sufficiency of our cash and cash equivalents to meet our liquidity needs, including estimates of our expenses, future revenues, capital expenditures and capital requirements; our ability to obtain additional equity or debt financing, the terms of any such financing, and our ability to continue to bolster our balance sheet; risks associated with our indebtedness, leverage and liquidity relating to our significant debt, including our ability to repay our indebtedness, limitations on our cash flows from operating activities and our ability to satisfy our obligations under each of the Loan and Security Agreement dated as of May 7, 2025 by and between the Company and Unprocessed Foods, LLC, an affiliate of Ahimsa Foundation, as lender (the “Loan and Security Agreement”), our 0% Convertible Senior Notes due 2027 (the “2027 Notes”) and our 7.00% Convertible Senior Secured Second Lien PIK Toggle Notes due 2030 (the “2030 Notes” and, together with the 2027 Notes, the “Notes”) issued in the Exchange Offer, and the covenants in the respective indentures relating to such Notes; our ability to refinance the Notes; our ability to raise the funds necessary to repurchase the Notes for cash, under certain circumstances, or to pay any cash amounts due under the Notes; our ability to pay tax liabilities arising from cancellation of indebtedness income in connection with the Exchange Offer; the impact of the Exchange Offer on future availability of our pre-change net operating loss carryforwards and other tax attributes to offset our future net taxable income; the annual limitations on utilization of any remaining operating loss and tax credit carryforwards due to ownership change limitations provided by the Internal Revenue Code and similar state tax provisions; the significant dilution to stockholders that resulted from the Exchange Offer and which will result if we exchange any portion of our outstanding Notes for equity, issue shares of our common stock underlying the 2030 Notes, including in connection with conversions of the 2030 Notes pursuant to the terms thereof, or if the lenders under the Loan and Security Agreement exercise their related warrants to purchase shares of our common stock (the “Warrants”); provisions in the respective indentures governing the Notes and the Loan and Security Agreement delaying or preventing an otherwise beneficial takeover of us; and any adverse impact on our reported financial condition and results from the accounting methods for the Notes; a further decrease in demand, and the underlying factors negatively impacting demand, in the plant-based meat category, including the exacerbation of weakness in the category by macroeconomic trends; market price fluctuations in the price of our common stock which may reflect market and trading dynamics unrelated to our underlying business, operating and financial performance or prospects or macro or industry fundamentals which may not coincide in timing with the disclosure of news or developments by or affecting us, causing the market price of our common stock to fluctuate dramatically or decline rapidly, regardless of any developments in our business or financial results; the impact of general economic conditions in the U.S. and international markets on us, our customers, our suppliers, our vendors and consumers, including concerns related to high inflation, geopolitical and economic uncertainty and instability, a potential recession, the ongoing shutdown of the federal government including regulatory agencies, tariffs and trade wars, and the effects of those conditions on consumer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spending; the impact of adverse and uncertain political conditions in the U.S. and international markets, such as greater restrictions on free trade through significant increases in tariffs on raw materials, ingredients, finished goods and other products and supplies imported into the United States and increased uncertainty surrounding international trade policy and regulations, trade wars, including through the implementation of retaliatory tariffs or related counter-measures, and the negative effects of anti-American sentiment as well as the impact of inflation and higher interest rates on consumer behavior, including higher food, grocery, raw materials, transportation, energy, labor and fuel costs; risks and uncertainties related to identifying and executing certain cost-reduction initiatives, cost structure improvements, workforce reductions and executive leadership changes, and the timing and success of continuing to reduce operating expenses and achieving our profitability and financial performance objectives; the timing and success of narrowing our commercial focus to certain anticipated growth opportunities; accelerating activities that prioritize gross margin expansion and cash generation, including as part of our review of our global operations initiated in 2023 (“Global Operations Review”); changes to our pricing architecture within certain channels; cash-accretive inventory reduction initiatives; and further cost-reduction initiatives; our ability to successfully execute our Global Operations Review and any resulting strategic plans, including the exit or discontinuation of select product lines; the impact of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workforce reductions; and the suspension and substantial cessation of our operational activities in China in the first half of 2025; matters relating to our El Segundo Campus and Innovation Center (“Campus Headquarters”) including, without limitation, the ability to meet our obligations under our Campus Headquarters lease, as amended from time to time (the “Campus Lease”), the timing of occupancy and completion of the build-out of our remaining space, any cost overruns or delays, the impact of workforce reductions or other cost-reduction initiatives on our space demands, the impact of the surrender of a portion of the existing premises; the impact of the sublease of a portion of the existing premises, and the timing and success of surrendering, subleasing, assigning or otherwise transferring the remaining excess space or negotiating additional partial lease terminations and/or subleases or other dispositions of our Campus Headquarters on terms advantageous to us or at all, including any potential additional impairment charges that may result; our ability to meet our obligations under leases for our corporate offices, manufacturing facilities and warehouses, or risks related to excess space capacity under our leases due to workforce reductions or other cost-reduction initiatives; reduced consumer confidence and changes in consumer spending, including spending to purchase our products, and negative trends in consumer purchasing patterns due to levels of consumers’ disposable income, credit availability and debt levels, and economic conditions, including due to potential recessionary and inflationary pressures; our inability to properly manage and ultimately sell our inventory in a timely manner, which has in the past and could in the future require us to sell our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products through liquidation channels at lower prices, write-down or write-off obsolete inventory, or increase inventory provision; impairment charges, including due to any future changes in estimates, judgments or assumptions, failure to achieve forecasted operating results, weakness in the economic environment, changes in market conditions, declines in our market capitalization, failure to sublease, assign or otherwise transfer the remaining excess space or negotiate additional partial lease terminations and/or subleases or other dispositions of our Campus Headquarters on terms advantageous to us or at all, and the suspension and substantial cessation of our operational activities in China in the first half of 2025; our ability to accurately predict consumer taste preferences, trends and demand and successfully innovate, introduce and commercialize new products, such as our Beyond Ground, Beyond Steak Filet, Beyond Chicken Pieces, Beyond Sun Sausage and Beyond Steak lines, and improve existing products such as our Beyond IV platform, including in new geographic markets; the effects of competitive activity from our market competitors and new market entrants; 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 disruption to, and the impact of uncertainty in, our domestic and international supply chain, including labor shortages and disruption, shipping delays and disruption, the impact of tariffs on raw materials, ingredients, finished goods and other products and supplies imported into the U.S., and the impact of cyber incidents at suppliers and vendors; our ability to streamline operations and improve cost efficiencies, which could result in the contraction of our business and the continued implementation of significant cost cutting measures such as further downsizing and exiting certain operations, including product lines, domestically and/or abroad; the impact of uncertainty as a result of doing business internationally, including as a result of the suspension and substantial cessation of our operational activities in China in the first half of 2025; the volatility of or inability to access the capital markets, including due to macroeconomic factors, geopolitical tensions or the outbreak of hostilities or war—for example, the war in Ukraine and the conflict in Israel, Gaza and surrounding areas; 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planned new products or recently launched products, including Beyond Ground, Beyond Steak Filet, Beyond Chicken Pieces, Beyond Steak, our Beyond IV platform and Beyond Sun Sausage; 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 the timing and success of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distribution expansion and new product introductions, including the timing and success of planned new products or recently launched products, such as Beyond Ground, Beyond Steak Filet, Beyond Chicken Pieces, Beyond Steak, our Beyond IV platform and Beyond Sun Sausage, in increasing revenues and market share; our ability to differentiate and continuously create innovative products, respond to competitive innovation and achieve speed-to-market, including the timing and success of planned new products or recently launched products such as Beyond Ground, Beyond Steak Filet, Beyond Chicken Pieces, Beyond Steak, our Beyond IV platform and Beyond Sun Sausage; the timing and success of strategic Quick Service Restaurant (“QSR”) partnership launches and limited time offerings resulting in permanent menu items and our ability to attract and retain QSR and other strategic customers; the outcomes of, and costs related to, legal or administrative proceedings, or new legal or administrative proceedings filed against us; foreign currency exchange rate fluctuations; the effectiveness of our business systems and processes; our estimates of the size of our market opportunities and ability to accurately forecast market growth; our ability to effectively optimize our manufacturing and production capacity, and real estate footprint, including consolidating manufacturing facilities and production lines, exiting co-manufacturing arrangements or entering into new arrangements under terms that are ultimately beneficial to us and effectively managing capacity for specific products with shifts in demand; risks associated with underutilization of capacity which have in the past and could in the future give rise to increased cost of goods sold per unit, underutilization fees, termination fees and other costs to exit certain supply chain arrangements and product lines, and/or the write-down or write-off of certain equipment and other fixed assets and impairment charges, all of which could negatively impact gross margin; our ability to accurately forecast our future results of operations and financial goals or targets, including as a result of fluctuations in demand for our products and in the plant-based meat category generally, increased competition, and the impact of broader macroeconomic conditions and market uncertainty; our ability to accurately forecast demand for our products and manage our inventory, including the impact of customer orders ahead of holidays and the timing of customer promotions, shelf reset activities, and planned price increases in certain channels as a result of tariffs or otherwise; customer and distributor changes and buying patterns, such as reductions in targeted inventory levels; and supply chain and labor disruptions, including due to the impact of cyber incidents at suppliers and vendors; our operational effectiveness and ability to fulfill orders in full and on time; variations in product selling prices and costs, the timing and success of changes to our pricing architecture within certain channels, our ability to pass on price increases in full or at all, including due to the impact of tariffs and macroeconomic conditions, and the mix of products sold; our ability to successfully enter new geographic markets, manage our international business and comply with any applicable laws and regulations, including risks associated with doing business in foreign countries, and our ability to comply with the U.S. Foreign Corrupt Practices Act or other anti-corruption laws; the effects of global outbreaks of pandemics (such as the COVID-19 pandemic), epidemics or other public health crises, or fear of such crises; the success of our marketing initiatives and the ability to maintain and grow our brand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jc w:val="left"/>
        <w:rPr>
          <w:rFonts w:ascii="Arial;sans-serif" w:hAnsi="Arial;sans-serif"/>
          <w:b w:val="false"/>
          <w:color w:val="000000"/>
          <w:sz w:val="22"/>
        </w:rPr>
      </w:pPr>
      <w:r>
        <w:rPr>
          <w:rFonts w:ascii="Arial;sans-serif" w:hAnsi="Arial;sans-serif"/>
          <w:b w:val="false"/>
          <w:color w:val="000000"/>
          <w:sz w:val="22"/>
        </w:rPr>
        <w:t xml:space="preserve">awareness, maintain, protect and enhance our brand, or rebrand altogether, attract and retain new customers and maintain and grow our market share, particularly while we are seeking to reduce our operating expenses; our ability to attract, maintain and effectively expand our relationships with key strategic foodservice partners; our ability to attract and retain our suppliers, distributors, vendors, co-manufacturers and customers; our ability to procure sufficient high-quality raw materials at competitive prices to manufacture our products; the availability of pea and other proteins and avocado oil that meet our standards; our ability to diversify the protein sources and avocado oil sources used for our products; our ability to successfully execute our strategic initiatives; the volatility associated with ingredient, packaging, transportation and other input costs, including due to the impact of tariffs; our ability to keep pace with technological changes impacting the development of our products and implementation of our business needs; 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 potential impact on our supply chain, including on customer demand, order fulfillment and lost sales, and the resulting timing and/or amount of net revenues recognized; the ability of our transportation providers to ship and deliver our products in a timely and cost-effective manner; senior management and key personnel changes, the attraction, training and retention of qualified employees and key personnel, and our ability to maintain our company culture; the effects of organizational changes including reductions-in-force and realignment of reporting structures; 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 the impact of potential workplace hazards; the effects of natural or man-made catastrophic or severe weather events, including events brought on by climate change, particularly involving our or any of our co-manufacturers’ manufacturing facilities, our suppliers’ facilities or any other vital aspects of our supply chain; the effectiveness of our internal controls; accounting estimates based on judgment and assumptions that may differ from actual results; changes in laws and government regulation, and their enforcement, affecting our business, including the U.S. Food and Drug Administration (“FDA”) and the U.S. Federal Trade Commission governmental regulation, and state, local and foreign regulation, and any adverse effects due to the recent U.S. government shutdown and potential disruptions at the FDA, SEC and other government agencies and regulatory authorities; new or pending legislation, or changes in laws, regulations or policies of governmental agencies or regulators, both in the U.S. and abroad, affecting plant-based meat, the labeling, packaging or naming of our products, including requirements regarding nutrient content claims, or our brand name or logo; the failure of acquisitions and other investments to be efficiently integrated and produce the results we anticipate; risks inherent in investment in real estate; adverse developments affecting the financial services industry; the financial condition of, and our relationships with our suppliers, vendors, co-manufacturers, distributors, retailers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and foodservice customers, and their future decisions regarding their relationships with us; our ability and the ability of our suppliers, vendors and co-manufacturers to comply with food safety, environmental or other laws or regulations and the impact of any non-compliance on our operations, brand reputation and ability to fulfill orders in full and on time; seasonality, including increased levels of grilling activity and higher levels of purchasing by customers ahead of holidays, customer shelf reset activity and the timing of product restocking by our retail customers; the impact of increased scrutiny from a variety of stakeholders, institutional investors and governmental bodies on environmental, social and governance practices; our, our suppliers’ and our co-manufacturers’ ability to protect our proprietary technology, intellectual property and trade secrets adequately; the impact of changes in tax laws; and the risks discussed under the heading “Risk Factors” in the Company’s Annual Report on Form 10-K for the year ended December 31, 2024 filed with the Securities and Exchange Commission (the “SEC”) on March 5, 2025, the Company’s Quarterly Report on Form 10-Q for the fiscal quarter ended March 29, 2025 filed with the SEC on May 8, 2025, the Company’s Quarterly Report on Form 10-Q for the fiscal quarter ended June 28, 2025 filed with the SEC on August 8,2025, the Company’s Quarterly Report on Form 10-Q for the fiscal quarter ended September 27, 2025 to be filed with the SEC, and under the heading “Supplementary Risk Factors” in the Company’s Current Report on Form 8-K filed with the SEC on October 6, 2025, as well as other factors described from time to time in the Company's filings with the SEC. All forward-looking statements attributable to us or persons acting on our behalf are expressly qualified in their entirety by the cautionary statements set forth above. Such forward-looking statements are made only as of the date of this release. Beyond Meat undertakes no obligation to publicly update or revise any forward-looking statement because of new information, future events, changes in assumptions or otherwise, except to the extent required by applicable laws. If we do update one or more forward-looking statements, no inference should be made that we will make additional updates with respect to those or other forward-looking statements.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 Company refers to certain financial measures that are not recognized under U.S. generally accepted accounting principles (GAAP) in this press release, including: Adjusted loss from operations, Adjusted operating margin, Adjusted net loss, Adjusted net loss per diluted common share, Adjusted EBITDA and Adjusted EBITDA as a % of net revenues. See “Non-GAAP Financial Measures” below for additional information and reconciliations of such non-GAAP financial measures.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Availability of Information on Beyond Meat’s Website and Social Media Channels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Investors and others should note that Beyond Meat routinely announces material information to investors and the marketplace using SEC filings, press releases, public conference calls, webcasts and the Beyond Meat Investor Relations website. We also intend to use certain social media channels as a means of disclosing information about us and our products to consumers, our customers, investors and the public (e.g., @BeyondMeat on Facebook, Instagram, Threads, LinkedIn and Reddit). The information posted on social media channels is not incorporated by reference in this press release or in any other report or document we file with the SEC. While not all of the information that the Company posts to the Beyond Meat Investor Relations website or to social media accounts is of a material nature, some information could be deemed to be material. Accordingly, the Company encourages investors, the media and others interested in Beyond Meat to review the information that it shares at the “Investors” link located at the bottom of the Company’s webpage at https://investors.beyondmeat.com/investor-relations and to sign up for and regularly follow the Company’s social media accounts. Users may automatically receive email alerts and other information about the Company when enrolling an email address by visiting “Request Email Alerts” in the “Investors” section of Beyond Meat’s website at https://investors.beyondmeat.com/investor-relations. </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Media:</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 Zackai</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shira.zackai@beyondmeat.com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Investors: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Raphael Gross</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beyondmeat@icrinc.com</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03"/>
        <w:gridCol w:w="872"/>
        <w:gridCol w:w="871"/>
        <w:gridCol w:w="109"/>
        <w:gridCol w:w="109"/>
        <w:gridCol w:w="109"/>
        <w:gridCol w:w="283"/>
        <w:gridCol w:w="1017"/>
        <w:gridCol w:w="125"/>
        <w:gridCol w:w="109"/>
        <w:gridCol w:w="109"/>
        <w:gridCol w:w="109"/>
        <w:gridCol w:w="338"/>
        <w:gridCol w:w="957"/>
        <w:gridCol w:w="130"/>
        <w:gridCol w:w="109"/>
        <w:gridCol w:w="109"/>
        <w:gridCol w:w="109"/>
        <w:gridCol w:w="283"/>
        <w:gridCol w:w="1017"/>
        <w:gridCol w:w="125"/>
        <w:gridCol w:w="109"/>
        <w:gridCol w:w="109"/>
        <w:gridCol w:w="109"/>
        <w:gridCol w:w="281"/>
        <w:gridCol w:w="1012"/>
        <w:gridCol w:w="183"/>
      </w:tblGrid>
      <w:tr>
        <w:trPr/>
        <w:tc>
          <w:tcPr>
            <w:tcW w:w="140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70,218 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81,006 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213,907 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249,794 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199,151 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218,101 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7,230 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14,308 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31,693 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18,186 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21,478 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122,598 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128,529 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119,561 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45,217 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218,198 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150,007 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(112,331)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(30,909)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(203,442)</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(118,314)</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2,933 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(110,681)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(26,532)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(192,769)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(115,381)</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(110,688)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(115,416)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common shares outstanding—basic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76,670,868 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65,060,729 </w:t>
            </w:r>
          </w:p>
        </w:tc>
        <w:tc>
          <w:tcPr>
            <w:tcW w:w="1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76,455,931 </w:t>
            </w:r>
          </w:p>
        </w:tc>
        <w:tc>
          <w:tcPr>
            <w:tcW w:w="12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64,880,008 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40" w:after="283"/>
        <w:jc w:val="left"/>
        <w:rPr/>
      </w:pPr>
      <w:r>
        <w:rPr/>
      </w:r>
    </w:p>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22"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tbl>
      <w:tblPr>
        <w:tblW w:w="9095" w:type="dxa"/>
        <w:jc w:val="left"/>
        <w:tblInd w:w="0" w:type="dxa"/>
        <w:tblLayout w:type="fixed"/>
        <w:tblCellMar>
          <w:top w:w="28" w:type="dxa"/>
          <w:left w:w="28" w:type="dxa"/>
          <w:bottom w:w="28" w:type="dxa"/>
          <w:right w:w="28" w:type="dxa"/>
        </w:tblCellMar>
      </w:tblPr>
      <w:tblGrid>
        <w:gridCol w:w="1759"/>
        <w:gridCol w:w="1544"/>
        <w:gridCol w:w="1572"/>
        <w:gridCol w:w="285"/>
        <w:gridCol w:w="1384"/>
        <w:gridCol w:w="146"/>
        <w:gridCol w:w="146"/>
        <w:gridCol w:w="146"/>
        <w:gridCol w:w="146"/>
        <w:gridCol w:w="285"/>
        <w:gridCol w:w="1382"/>
        <w:gridCol w:w="146"/>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4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54" w:type="dxa"/>
            <w:tcBorders/>
          </w:tcPr>
          <w:p>
            <w:pPr>
              <w:pStyle w:val="TableContents"/>
              <w:bidi w:val="0"/>
              <w:spacing w:before="0" w:after="283"/>
              <w:jc w:val="left"/>
              <w:rPr>
                <w:sz w:val="4"/>
                <w:szCs w:val="4"/>
              </w:rPr>
            </w:pPr>
            <w:r>
              <w:rPr>
                <w:sz w:val="4"/>
                <w:szCs w:val="4"/>
              </w:rPr>
            </w:r>
          </w:p>
        </w:tc>
      </w:tr>
      <w:tr>
        <w:trPr/>
        <w:tc>
          <w:tcPr>
            <w:tcW w:w="894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54" w:type="dxa"/>
            <w:tcBorders/>
          </w:tcPr>
          <w:p>
            <w:pPr>
              <w:pStyle w:val="TableContents"/>
              <w:bidi w:val="0"/>
              <w:spacing w:before="0" w:after="283"/>
              <w:jc w:val="left"/>
              <w:rPr>
                <w:sz w:val="4"/>
                <w:szCs w:val="4"/>
              </w:rPr>
            </w:pPr>
            <w:r>
              <w:rPr>
                <w:sz w:val="4"/>
                <w:szCs w:val="4"/>
              </w:rPr>
            </w:r>
          </w:p>
        </w:tc>
      </w:tr>
      <w:tr>
        <w:trPr/>
        <w:tc>
          <w:tcPr>
            <w:tcW w:w="894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54" w:type="dxa"/>
            <w:tcBorders/>
          </w:tcPr>
          <w:p>
            <w:pPr>
              <w:pStyle w:val="TableContents"/>
              <w:bidi w:val="0"/>
              <w:spacing w:before="0" w:after="283"/>
              <w:jc w:val="left"/>
              <w:rPr>
                <w:sz w:val="4"/>
                <w:szCs w:val="4"/>
              </w:rPr>
            </w:pPr>
            <w:r>
              <w:rPr>
                <w:sz w:val="4"/>
                <w:szCs w:val="4"/>
              </w:rPr>
            </w:r>
          </w:p>
        </w:tc>
      </w:tr>
      <w:tr>
        <w:trPr/>
        <w:tc>
          <w:tcPr>
            <w:tcW w:w="894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43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vMerge w:val="continue"/>
            <w:tcBorders/>
            <w:tcMar>
              <w:top w:w="0" w:type="dxa"/>
              <w:left w:w="0" w:type="dxa"/>
              <w:bottom w:w="0" w:type="dxa"/>
              <w:right w:w="0" w:type="dxa"/>
            </w:tcMar>
            <w:vAlign w:val="center"/>
          </w:tcPr>
          <w:p>
            <w:pPr>
              <w:pStyle w:val="Normal"/>
              <w:bidi w:val="0"/>
              <w:jc w:val="left"/>
              <w:rPr/>
            </w:pPr>
            <w:r>
              <w:rPr/>
            </w:r>
          </w:p>
        </w:tc>
        <w:tc>
          <w:tcPr>
            <w:tcW w:w="181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38" w:type="dxa"/>
            <w:gridSpan w:val="3"/>
            <w:vMerge w:val="continue"/>
            <w:tcBorders/>
            <w:tcMar>
              <w:top w:w="0" w:type="dxa"/>
              <w:left w:w="0" w:type="dxa"/>
              <w:bottom w:w="0" w:type="dxa"/>
              <w:right w:w="0" w:type="dxa"/>
            </w:tcMar>
            <w:vAlign w:val="center"/>
          </w:tcPr>
          <w:p>
            <w:pPr>
              <w:pStyle w:val="Normal"/>
              <w:bidi w:val="0"/>
              <w:jc w:val="left"/>
              <w:rPr/>
            </w:pPr>
            <w:r>
              <w:rPr/>
            </w:r>
          </w:p>
        </w:tc>
        <w:tc>
          <w:tcPr>
            <w:tcW w:w="181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117,296 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131,913 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110,294 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113,444 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288,638 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286,456 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1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254,387 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184,887 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123,975 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 in unconsolidated joint venture</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599,669 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678,146 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 and stockholders’ deficit:</w:t>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46,091 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settlement</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finance lease liabilities</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61,453 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Convertible senior notes, net</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1,144,427 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1,141,476 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Delayed draw term loan, net</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77,734 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Delayed draw term loan warrants</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813"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6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 and other long-term liabilities</w:t>
            </w:r>
          </w:p>
        </w:tc>
        <w:tc>
          <w:tcPr>
            <w:tcW w:w="16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79,083 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2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1,320,092 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3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1,217,901 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41"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50"/>
        <w:gridCol w:w="2177"/>
        <w:gridCol w:w="2186"/>
        <w:gridCol w:w="243"/>
        <w:gridCol w:w="1018"/>
        <w:gridCol w:w="125"/>
        <w:gridCol w:w="124"/>
        <w:gridCol w:w="124"/>
        <w:gridCol w:w="124"/>
        <w:gridCol w:w="241"/>
        <w:gridCol w:w="1009"/>
        <w:gridCol w:w="124"/>
        <w:gridCol w:w="160"/>
      </w:tblGrid>
      <w:tr>
        <w:trPr/>
        <w:tc>
          <w:tcPr>
            <w:tcW w:w="2550"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7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vMerge w:val="continue"/>
            <w:tcBorders/>
            <w:tcMar>
              <w:top w:w="0" w:type="dxa"/>
              <w:left w:w="0" w:type="dxa"/>
              <w:bottom w:w="0" w:type="dxa"/>
              <w:right w:w="0" w:type="dxa"/>
            </w:tcMar>
            <w:vAlign w:val="center"/>
          </w:tcPr>
          <w:p>
            <w:pPr>
              <w:pStyle w:val="Normal"/>
              <w:bidi w:val="0"/>
              <w:jc w:val="left"/>
              <w:rPr/>
            </w:pPr>
            <w:r>
              <w:rPr/>
            </w:r>
          </w:p>
        </w:tc>
        <w:tc>
          <w:tcPr>
            <w:tcW w:w="13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2" w:type="dxa"/>
            <w:gridSpan w:val="3"/>
            <w:vMerge w:val="continue"/>
            <w:tcBorders/>
            <w:tcMar>
              <w:top w:w="0" w:type="dxa"/>
              <w:left w:w="0" w:type="dxa"/>
              <w:bottom w:w="0" w:type="dxa"/>
              <w:right w:w="0" w:type="dxa"/>
            </w:tcMar>
            <w:vAlign w:val="center"/>
          </w:tcPr>
          <w:p>
            <w:pPr>
              <w:pStyle w:val="Normal"/>
              <w:bidi w:val="0"/>
              <w:jc w:val="left"/>
              <w:rPr/>
            </w:pPr>
            <w:r>
              <w:rPr/>
            </w:r>
          </w:p>
        </w:tc>
        <w:tc>
          <w:tcPr>
            <w:tcW w:w="137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deficit:</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Preferred stock, par value $0.0001 per share—500,000 shares authorized, none issued and outstanding</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par value $0.0001 per share—500,000,000 shares authorized; 76,751,920 shares and 76,065,969 shares issued and outstanding at September 27, 2025 and December 31, 2024, respectively</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657,549 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644,004 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(1,434,377)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(1,241,531)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deficit</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(784,065)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(601,208)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deficit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599,669 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678,146 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92"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24"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40"/>
        <w:jc w:val="center"/>
        <w:rPr/>
      </w:pPr>
      <w:r>
        <w:rPr/>
      </w:r>
    </w:p>
    <w:tbl>
      <w:tblPr>
        <w:tblW w:w="10205" w:type="dxa"/>
        <w:jc w:val="center"/>
        <w:tblInd w:w="0" w:type="dxa"/>
        <w:tblLayout w:type="fixed"/>
        <w:tblCellMar>
          <w:top w:w="28" w:type="dxa"/>
          <w:left w:w="28" w:type="dxa"/>
          <w:bottom w:w="28" w:type="dxa"/>
          <w:right w:w="28" w:type="dxa"/>
        </w:tblCellMar>
      </w:tblPr>
      <w:tblGrid>
        <w:gridCol w:w="2141"/>
        <w:gridCol w:w="1832"/>
        <w:gridCol w:w="1844"/>
        <w:gridCol w:w="147"/>
        <w:gridCol w:w="147"/>
        <w:gridCol w:w="147"/>
        <w:gridCol w:w="295"/>
        <w:gridCol w:w="1279"/>
        <w:gridCol w:w="152"/>
        <w:gridCol w:w="147"/>
        <w:gridCol w:w="147"/>
        <w:gridCol w:w="147"/>
        <w:gridCol w:w="293"/>
        <w:gridCol w:w="1266"/>
        <w:gridCol w:w="221"/>
      </w:tblGrid>
      <w:tr>
        <w:trPr/>
        <w:tc>
          <w:tcPr>
            <w:tcW w:w="2141"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5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5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r>
      <w:tr>
        <w:trPr/>
        <w:tc>
          <w:tcPr>
            <w:tcW w:w="58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(115,416)</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17,753 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credit losses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and write-down of fixed assets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gains on foreign currency transactions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(11,193)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common stock warrant liability</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Paid-in-kind interest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operating assets and liabilities: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(7,847)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(98,138)</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(69,861)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(9,330)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Proceeds from sale of fixed assets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note receivable on assets previously held for sale</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security deposits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(7,991)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5"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27"/>
        <w:gridCol w:w="1847"/>
        <w:gridCol w:w="1860"/>
        <w:gridCol w:w="147"/>
        <w:gridCol w:w="147"/>
        <w:gridCol w:w="147"/>
        <w:gridCol w:w="298"/>
        <w:gridCol w:w="1216"/>
        <w:gridCol w:w="153"/>
        <w:gridCol w:w="147"/>
        <w:gridCol w:w="147"/>
        <w:gridCol w:w="147"/>
        <w:gridCol w:w="295"/>
        <w:gridCol w:w="1203"/>
        <w:gridCol w:w="224"/>
      </w:tblGrid>
      <w:tr>
        <w:trPr/>
        <w:tc>
          <w:tcPr>
            <w:tcW w:w="222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5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8"/>
              </w:rPr>
            </w:pPr>
            <w:r>
              <w:rPr>
                <w:rFonts w:ascii="Arial;sans-serif" w:hAnsi="Arial;sans-serif"/>
                <w:b/>
                <w:color w:val="000000"/>
                <w:sz w:val="18"/>
              </w:rPr>
              <w:t>September 28, 2024</w:t>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delayed draw term loan</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debt issuance costs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 of minimum withholding taxes on net share settlement of equity awards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87,821 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(1,282)</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(71,153)</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beginning of the period</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145,554 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205,935 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currency exchange rate changes on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end of the period</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131,066 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134,890 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during the period for:</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Issuance of common stock warrants in connection with delayed draw term loan</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additions to property, plant and equipment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obtained in exchange for lease liabilities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Reclassification of pre-paid lease costs to finance lease right-of-use assets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addition to financing leases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722" w:type="dxa"/>
            <w:gridSpan w:val="3"/>
            <w:tcBorders/>
            <w:vAlign w:val="center"/>
          </w:tcPr>
          <w:p>
            <w:pPr>
              <w:pStyle w:val="TableContents"/>
              <w:bidi w:val="0"/>
              <w:spacing w:before="0" w:after="283"/>
              <w:jc w:val="left"/>
              <w:rPr>
                <w:sz w:val="4"/>
                <w:szCs w:val="4"/>
              </w:rPr>
            </w:pPr>
            <w:r>
              <w:rPr>
                <w:sz w:val="4"/>
                <w:szCs w:val="4"/>
              </w:rPr>
            </w:r>
          </w:p>
        </w:tc>
      </w:tr>
      <w:tr>
        <w:trPr/>
        <w:tc>
          <w:tcPr>
            <w:tcW w:w="5934" w:type="dxa"/>
            <w:gridSpan w:val="3"/>
            <w:tcBorders/>
            <w:vAlign w:val="center"/>
          </w:tcPr>
          <w:p>
            <w:pPr>
              <w:pStyle w:val="TableContents"/>
              <w:bidi w:val="0"/>
              <w:spacing w:before="0" w:after="283"/>
              <w:jc w:val="left"/>
              <w:rPr>
                <w:sz w:val="4"/>
                <w:szCs w:val="4"/>
              </w:rPr>
            </w:pPr>
            <w:r>
              <w:rPr>
                <w:sz w:val="4"/>
                <w:szCs w:val="4"/>
              </w:rPr>
            </w:r>
          </w:p>
        </w:tc>
        <w:tc>
          <w:tcPr>
            <w:tcW w:w="4271"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6"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left"/>
        <w:rPr/>
      </w:pPr>
      <w:r>
        <w:rPr/>
      </w:r>
    </w:p>
    <w:p>
      <w:pPr>
        <w:pStyle w:val="TextBody"/>
        <w:bidi w:val="0"/>
        <w:spacing w:lineRule="auto" w:line="417" w:before="0" w:after="180"/>
        <w:jc w:val="left"/>
        <w:rPr>
          <w:rFonts w:ascii="Arial;sans-serif" w:hAnsi="Arial;sans-serif"/>
          <w:b w:val="false"/>
          <w:color w:val="000000"/>
          <w:sz w:val="22"/>
        </w:rPr>
      </w:pPr>
      <w:r>
        <w:rPr>
          <w:rFonts w:ascii="Arial;sans-serif" w:hAnsi="Arial;sans-serif"/>
          <w:b w:val="false"/>
          <w:color w:val="000000"/>
          <w:sz w:val="22"/>
        </w:rPr>
        <w:t>Beyond Meat uses the non-GAAP financial measures set forth below in assessing its operating performance and in its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loss from operations” is defined as loss from operations adjusted to exclude, when applicable, costs attributable to special items, which are those items deemed not to be reflective of the Company’s ongoing normal business activities.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operating margin” is defined as Adjusted loss from operations divided by net revenues.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net loss” is defined as net loss adjusted to exclude, when applicable, costs attributable to special items, which are those items deemed not to be reflective of the Company’s normal business activities.</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net loss per diluted common share” is defined as Adjusted net loss divided by the number of diluted common shares outstanding.</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We consider Adjusted loss from operations, Adjusted operating margin, Adjusted net loss and Adjusted net loss per diluted common share to be useful indicators of operating performance because excluding special items allows for period-over-period comparisons of our ongoing operations. Adjusted net loss per diluted common share is a performance measure and should not be used as a measure of liquidity.</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Adjusted EBITDA” is defined as net loss adjusted to exclude, when applicable, income tax expense (benefit), interest expense, depreciation and amortization expense, share-based compensation expense, non-cash charges related to the suspension and substantial cessation of our operational activities in China, costs related to a partial lease termination of a portion of the Campus Headquarters, non-cash loss from impairment of long-lived assets, accrued litigation settlement costs, remeasurement of warrant liability, and Other, net, including interest income and foreign currency transaction gains and losses.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7"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2"/>
        </w:rPr>
        <w:t>Adjusted EBITDA as a % of net revenues” is defined as Adjusted EBITDA divided by net revenues.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There are a number of limitations related to the use of Adjusted EBITDA and Adjusted EBITDA as a % of net revenues rather than their most directly comparable GAAP measures. Some of these limitations are: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excludes depreciation and amortization expense and, although these are non-cash expenses, the assets being depreciated may have to be replaced in the future increasing our cash requirements;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interest expense, or the cash required to service our debt, which reduces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income tax payments that reduce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share-based compensation expense and therefore does not include all of our compensation costs;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certain cash costs related to a partial lease termination of a portion of the Company’s Campus Headquarters, which reduces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non-cash loss from impairment of long-lived assets and therefore does not include all of our operating expenses;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accrued litigation settlement costs which reduce cash available to us;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non-cash impact of remeasurement of warrant liability;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Adjusted EBITDA does not reflect Other, net, including interest income and foreign currency transaction gains and losses, that may increase or decrease cash available to us; and</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2"/>
        </w:rPr>
        <w:t>other companies, including companies in our industry, may calculate Adjusted EBITDA differently, which reduces its usefulness as a comparative measure.</w:t>
      </w:r>
    </w:p>
    <w:p>
      <w:pPr>
        <w:pStyle w:val="TextBody"/>
        <w:bidi w:val="0"/>
        <w:spacing w:before="0" w:after="0"/>
        <w:jc w:val="left"/>
        <w:rPr/>
      </w:pPr>
      <w:r>
        <w:rPr/>
      </w:r>
    </w:p>
    <w:p>
      <w:pPr>
        <w:pStyle w:val="TextBody"/>
        <w:bidi w:val="0"/>
        <w:spacing w:lineRule="auto" w:line="417" w:before="120" w:after="180"/>
        <w:jc w:val="left"/>
        <w:rPr>
          <w:rFonts w:ascii="Arial;sans-serif" w:hAnsi="Arial;sans-serif"/>
          <w:b w:val="false"/>
          <w:color w:val="000000"/>
          <w:sz w:val="22"/>
        </w:rPr>
      </w:pPr>
      <w:r>
        <w:rPr>
          <w:rFonts w:ascii="Arial;sans-serif" w:hAnsi="Arial;sans-serif"/>
          <w:b w:val="false"/>
          <w:color w:val="000000"/>
          <w:sz w:val="22"/>
        </w:rPr>
        <w:t>The following tables present the reconciliation of Adjusted loss from operations, Adjusted operating margin, Adjusted net loss and Adjusted net loss per diluted common share to their most comparable GAAP measures, loss from operations, operating margin, net loss and net loss per share available to common stockholders—basic and diluted, respectively, each as reported (unaudited):</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8"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0"/>
        <w:gridCol w:w="1032"/>
        <w:gridCol w:w="1035"/>
        <w:gridCol w:w="228"/>
        <w:gridCol w:w="948"/>
        <w:gridCol w:w="309"/>
        <w:gridCol w:w="109"/>
        <w:gridCol w:w="109"/>
        <w:gridCol w:w="109"/>
        <w:gridCol w:w="234"/>
        <w:gridCol w:w="858"/>
        <w:gridCol w:w="318"/>
        <w:gridCol w:w="109"/>
        <w:gridCol w:w="109"/>
        <w:gridCol w:w="109"/>
        <w:gridCol w:w="228"/>
        <w:gridCol w:w="948"/>
        <w:gridCol w:w="309"/>
        <w:gridCol w:w="109"/>
        <w:gridCol w:w="109"/>
        <w:gridCol w:w="109"/>
        <w:gridCol w:w="227"/>
        <w:gridCol w:w="946"/>
        <w:gridCol w:w="364"/>
      </w:tblGrid>
      <w:tr>
        <w:trPr/>
        <w:tc>
          <w:tcPr>
            <w:tcW w:w="1240"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from operations, as reported</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(112,331)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(30,909)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(203,442)</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(118,314)</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suspension and substantial cessation of operational activities in China</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settlement costs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loss from operations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(32,605)</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(30,909)</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(119,395)</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(110,814)</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operations as a % of net revenues</w:t>
            </w:r>
          </w:p>
        </w:tc>
        <w:tc>
          <w:tcPr>
            <w:tcW w:w="11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(160.0)</w:t>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(95.1)</w:t>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w:t>
            </w:r>
          </w:p>
        </w:tc>
        <w:tc>
          <w:tcPr>
            <w:tcW w:w="3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operating margin</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w:t>
            </w:r>
          </w:p>
        </w:tc>
        <w:tc>
          <w:tcPr>
            <w:tcW w:w="3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120" w:after="80"/>
        <w:jc w:val="left"/>
        <w:rPr/>
      </w:pPr>
      <w:r>
        <w:rPr/>
      </w:r>
    </w:p>
    <w:tbl>
      <w:tblPr>
        <w:tblW w:w="10205" w:type="dxa"/>
        <w:jc w:val="left"/>
        <w:tblInd w:w="0" w:type="dxa"/>
        <w:tblLayout w:type="fixed"/>
        <w:tblCellMar>
          <w:top w:w="28" w:type="dxa"/>
          <w:left w:w="28" w:type="dxa"/>
          <w:bottom w:w="28" w:type="dxa"/>
          <w:right w:w="28" w:type="dxa"/>
        </w:tblCellMar>
      </w:tblPr>
      <w:tblGrid>
        <w:gridCol w:w="1594"/>
        <w:gridCol w:w="1081"/>
        <w:gridCol w:w="1083"/>
        <w:gridCol w:w="241"/>
        <w:gridCol w:w="1006"/>
        <w:gridCol w:w="124"/>
        <w:gridCol w:w="109"/>
        <w:gridCol w:w="109"/>
        <w:gridCol w:w="109"/>
        <w:gridCol w:w="250"/>
        <w:gridCol w:w="920"/>
        <w:gridCol w:w="129"/>
        <w:gridCol w:w="109"/>
        <w:gridCol w:w="109"/>
        <w:gridCol w:w="109"/>
        <w:gridCol w:w="241"/>
        <w:gridCol w:w="1006"/>
        <w:gridCol w:w="124"/>
        <w:gridCol w:w="109"/>
        <w:gridCol w:w="109"/>
        <w:gridCol w:w="109"/>
        <w:gridCol w:w="240"/>
        <w:gridCol w:w="1002"/>
        <w:gridCol w:w="183"/>
      </w:tblGrid>
      <w:tr>
        <w:trPr/>
        <w:tc>
          <w:tcPr>
            <w:tcW w:w="159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7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 as reported</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(110,688)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(115,416)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suspension and substantial cessation of operational activities in China</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settlement costs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Adjusted net loss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(36,280)</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(26,576)</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(114,117)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(107,916)</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605" cy="14605"/>
                <wp:effectExtent l="0" t="0" r="0" b="0"/>
                <wp:wrapNone/>
                <wp:docPr id="29" name="Frame2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6"/>
        <w:gridCol w:w="1029"/>
        <w:gridCol w:w="1035"/>
        <w:gridCol w:w="281"/>
        <w:gridCol w:w="994"/>
        <w:gridCol w:w="123"/>
        <w:gridCol w:w="109"/>
        <w:gridCol w:w="109"/>
        <w:gridCol w:w="109"/>
        <w:gridCol w:w="338"/>
        <w:gridCol w:w="933"/>
        <w:gridCol w:w="127"/>
        <w:gridCol w:w="109"/>
        <w:gridCol w:w="109"/>
        <w:gridCol w:w="109"/>
        <w:gridCol w:w="281"/>
        <w:gridCol w:w="994"/>
        <w:gridCol w:w="123"/>
        <w:gridCol w:w="109"/>
        <w:gridCol w:w="109"/>
        <w:gridCol w:w="109"/>
        <w:gridCol w:w="280"/>
        <w:gridCol w:w="990"/>
        <w:gridCol w:w="180"/>
      </w:tblGrid>
      <w:tr>
        <w:trPr/>
        <w:tc>
          <w:tcPr>
            <w:tcW w:w="151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 except share and per share amounts)</w:t>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Numerator:</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loss, as reported</w:t>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(110,688)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(115,416)</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suspension and substantial cessation of operational activities in China</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settlement costs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Adjusted net loss used in computing Adjusted net loss per diluted common share</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(36,280)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(114,117)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(107,916)</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Denominator:</w:t>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 average shares used in computing Adjusted net loss per common share</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76,670,868 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65,060,729 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76,455,931 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64,880,008 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Adjusted net loss per diluted common share</w:t>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470"/>
        <w:gridCol w:w="1220"/>
        <w:gridCol w:w="1223"/>
        <w:gridCol w:w="639"/>
        <w:gridCol w:w="334"/>
        <w:gridCol w:w="332"/>
        <w:gridCol w:w="129"/>
        <w:gridCol w:w="129"/>
        <w:gridCol w:w="129"/>
        <w:gridCol w:w="639"/>
        <w:gridCol w:w="334"/>
        <w:gridCol w:w="332"/>
        <w:gridCol w:w="109"/>
        <w:gridCol w:w="109"/>
        <w:gridCol w:w="109"/>
        <w:gridCol w:w="639"/>
        <w:gridCol w:w="334"/>
        <w:gridCol w:w="332"/>
        <w:gridCol w:w="125"/>
        <w:gridCol w:w="125"/>
        <w:gridCol w:w="125"/>
        <w:gridCol w:w="545"/>
        <w:gridCol w:w="332"/>
        <w:gridCol w:w="411"/>
      </w:tblGrid>
      <w:tr>
        <w:trPr/>
        <w:tc>
          <w:tcPr>
            <w:tcW w:w="14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8"/>
              </w:rPr>
            </w:pPr>
            <w:r>
              <w:rPr>
                <w:rFonts w:ascii="Arial;sans-serif" w:hAnsi="Arial;sans-serif"/>
                <w:b/>
                <w:color w:val="000000"/>
                <w:sz w:val="18"/>
              </w:rPr>
              <w:t>September 28, 2024</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 as reported</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(1.78)</w:t>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charges related to suspension and substantial cessation of operational activities in China</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settlement costs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0.12</w:t>
            </w:r>
          </w:p>
        </w:tc>
      </w:tr>
      <w:tr>
        <w:trPr/>
        <w:tc>
          <w:tcPr>
            <w:tcW w:w="39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9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loss per diluted common share</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30"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180" w:after="120"/>
        <w:jc w:val="left"/>
        <w:rPr>
          <w:rFonts w:ascii="Arial;sans-serif" w:hAnsi="Arial;sans-serif"/>
          <w:b w:val="false"/>
          <w:color w:val="000000"/>
          <w:sz w:val="22"/>
        </w:rPr>
      </w:pPr>
      <w:r>
        <w:rPr>
          <w:rFonts w:ascii="Arial;sans-serif" w:hAnsi="Arial;sans-serif"/>
          <w:b w:val="false"/>
          <w:color w:val="000000"/>
          <w:sz w:val="22"/>
        </w:rPr>
        <w:t>The following table presents the reconciliation of Adjusted EBITDA to its most comparable GAAP measure, net loss, as reported (unaudited):</w:t>
      </w:r>
    </w:p>
    <w:tbl>
      <w:tblPr>
        <w:tblW w:w="10205" w:type="dxa"/>
        <w:jc w:val="left"/>
        <w:tblInd w:w="0" w:type="dxa"/>
        <w:tblLayout w:type="fixed"/>
        <w:tblCellMar>
          <w:top w:w="28" w:type="dxa"/>
          <w:left w:w="28" w:type="dxa"/>
          <w:bottom w:w="28" w:type="dxa"/>
          <w:right w:w="28" w:type="dxa"/>
        </w:tblCellMar>
      </w:tblPr>
      <w:tblGrid>
        <w:gridCol w:w="1411"/>
        <w:gridCol w:w="871"/>
        <w:gridCol w:w="872"/>
        <w:gridCol w:w="109"/>
        <w:gridCol w:w="109"/>
        <w:gridCol w:w="109"/>
        <w:gridCol w:w="222"/>
        <w:gridCol w:w="920"/>
        <w:gridCol w:w="302"/>
        <w:gridCol w:w="109"/>
        <w:gridCol w:w="109"/>
        <w:gridCol w:w="109"/>
        <w:gridCol w:w="227"/>
        <w:gridCol w:w="825"/>
        <w:gridCol w:w="308"/>
        <w:gridCol w:w="109"/>
        <w:gridCol w:w="109"/>
        <w:gridCol w:w="109"/>
        <w:gridCol w:w="222"/>
        <w:gridCol w:w="920"/>
        <w:gridCol w:w="302"/>
        <w:gridCol w:w="109"/>
        <w:gridCol w:w="109"/>
        <w:gridCol w:w="109"/>
        <w:gridCol w:w="222"/>
        <w:gridCol w:w="918"/>
        <w:gridCol w:w="355"/>
      </w:tblGrid>
      <w:tr>
        <w:trPr/>
        <w:tc>
          <w:tcPr>
            <w:tcW w:w="14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Nine Months Ended</w:t>
            </w:r>
          </w:p>
        </w:tc>
      </w:tr>
      <w:tr>
        <w:trPr/>
        <w:tc>
          <w:tcPr>
            <w:tcW w:w="3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u w:val="single"/>
              </w:rPr>
            </w:pPr>
            <w:r>
              <w:rPr>
                <w:rFonts w:ascii="Arial;sans-serif" w:hAnsi="Arial;sans-serif"/>
                <w:b/>
                <w:color w:val="000000"/>
                <w:sz w:val="18"/>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September 28, 2024</w:t>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(110,688)</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(26,576)</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(192,846)</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(115,416)</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3,072 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Depreciation and amortization expense</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20,081 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13,924 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17,753 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Non-cash charges related to suspension and substantial cessation of operational activities in China</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5,579 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20"/>
              </w:rPr>
              <w:t>Costs related to partial lease termination, net of amounts included in depreciation and amortization expense</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from 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77,414 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litigation settlement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Remeasurement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(5,318)</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net</w:t>
            </w:r>
            <w:r>
              <w:rPr>
                <w:rFonts w:ascii="Arial;sans-serif" w:hAnsi="Arial;sans-serif"/>
                <w:b w:val="false"/>
                <w:color w:val="000000"/>
                <w:sz w:val="13"/>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(5,405)</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(12,799)</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(6,005)</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(21,627)</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(19,760)</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(86,078)</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(75,658)</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(157.6)</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w:t>
            </w:r>
          </w:p>
        </w:tc>
        <w:tc>
          <w:tcPr>
            <w:tcW w:w="3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(90.2)</w:t>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w:t>
            </w:r>
          </w:p>
        </w:tc>
        <w:tc>
          <w:tcPr>
            <w:tcW w:w="3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w:t>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3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left"/>
        <w:rPr>
          <w:rFonts w:ascii="Arial;sans-serif" w:hAnsi="Arial;sans-serif"/>
          <w:b w:val="false"/>
          <w:color w:val="000000"/>
          <w:sz w:val="22"/>
        </w:rPr>
      </w:pPr>
      <w:r>
        <w:rPr>
          <w:rFonts w:ascii="Arial;sans-serif" w:hAnsi="Arial;sans-serif"/>
          <w:b w:val="false"/>
          <w:color w:val="000000"/>
          <w:sz w:val="22"/>
        </w:rPr>
        <w:t>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Excludes $1.7 million and $4.9 million in accelerated depreciation related to suspension and substantial cessation of operational activities in China in the three and nine months ended September 27,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$1.7 million and $4.9 million in accelerated depreciation related to suspension and substantial cessation of operational activities in China in the three and nine months ended September 27, 2025, respectively, and $0 and $0.6 million in inventory and asset write-offs related to suspension and substantial cessation of operational activities in China in the three and nine months ended September 27,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$0.2 million and $0.4 million in amortization of lease termination costs apportioned for the three and nine months ended September 27, 2025, respectively, that are already included in Depreciation and amortization expense above. No such costs were incurred in the three and nine months ended September 28,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$0.1 million and $4.1 million in net realized and unrealized foreign currency transaction gains in the three months ended September 27, 2025 and September 28, 2024, respectively. Includes $11.1 million and $0.6 million in net realized and unrealized foreign currency transaction gains in the nine months ended September 27, 2025 and September 28, 2024,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Includes $0.6 million and $1.4 million in interest income in the three months ended September 27, 2025 and September 28, 2024, respectively. Includes $2.0 million and $5.1 million in interest income in the nine months ended September 27, 2025 and September 28, 2024, respectively. Includes $0.5 million in subsidies received from the Jiaxing Economic Development Zone Finance Bureau related to our investment in BYND JX in the nine months ended September 28, 2024.</w:t>
            </w:r>
          </w:p>
        </w:tc>
      </w:tr>
    </w:tbl>
    <w:p>
      <w:pPr>
        <w:pStyle w:val="TextBody"/>
        <w:bidi w:val="0"/>
        <w:ind w:left="0" w:right="0" w:hanging="27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31"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9858</Words>
  <Characters>56119</Characters>
  <CharactersWithSpaces>65248</CharactersWithSpaces>
  <Paragraphs>1120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