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6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Muth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BEYOND MEAT,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BEYOND MEAT,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BYND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Chief Growth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066"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right"/>
              <w:ind w:right="15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EL SEGUNDO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90245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12/16/2019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4,046</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8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w:t>
            </w:r>
          </w:p>
        </w:tc>
        <w:tc>
          <w:tcPr>
            <w:tcW w:w="40" w:type="dxa"/>
            <w:vAlign w:val="bottom"/>
          </w:tcPr>
          <w:p>
            <w:pPr>
              <w:spacing w:after="0"/>
              <w:rPr>
                <w:sz w:val="23"/>
                <w:szCs w:val="23"/>
                <w:color w:val="auto"/>
              </w:rPr>
            </w:pPr>
          </w:p>
        </w:tc>
        <w:tc>
          <w:tcPr>
            <w:tcW w:w="1360" w:type="dxa"/>
            <w:vAlign w:val="bottom"/>
            <w:gridSpan w:val="3"/>
          </w:tcPr>
          <w:p>
            <w:pPr>
              <w:jc w:val="right"/>
              <w:ind w:right="298"/>
              <w:spacing w:after="0"/>
              <w:rPr>
                <w:sz w:val="20"/>
                <w:szCs w:val="20"/>
                <w:color w:val="auto"/>
              </w:rPr>
            </w:pPr>
            <w:r>
              <w:rPr>
                <w:rFonts w:ascii="Arial" w:cs="Arial" w:eastAsia="Arial" w:hAnsi="Arial"/>
                <w:sz w:val="18"/>
                <w:szCs w:val="18"/>
                <w:color w:val="0000FF"/>
              </w:rPr>
              <w:t>210,734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8"/>
                <w:szCs w:val="18"/>
                <w:color w:val="0000FF"/>
                <w:w w:val="86"/>
              </w:rPr>
              <w:t>12/16/2019</w:t>
            </w:r>
            <w:r>
              <w:rPr>
                <w:rFonts w:ascii="Arial" w:cs="Arial" w:eastAsia="Arial" w:hAnsi="Arial"/>
                <w:sz w:val="22"/>
                <w:szCs w:val="22"/>
                <w:color w:val="008000"/>
                <w:w w:val="86"/>
                <w:vertAlign w:val="superscript"/>
              </w:rPr>
              <w:t>(1)</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4,046</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75</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8"/>
                <w:szCs w:val="18"/>
                <w:color w:val="0000FF"/>
              </w:rPr>
              <w:t>206,688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12/17/2019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3,954</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8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w:t>
            </w:r>
          </w:p>
        </w:tc>
        <w:tc>
          <w:tcPr>
            <w:tcW w:w="40" w:type="dxa"/>
            <w:vAlign w:val="bottom"/>
          </w:tcPr>
          <w:p>
            <w:pPr>
              <w:spacing w:after="0"/>
              <w:rPr>
                <w:sz w:val="23"/>
                <w:szCs w:val="23"/>
                <w:color w:val="auto"/>
              </w:rPr>
            </w:pPr>
          </w:p>
        </w:tc>
        <w:tc>
          <w:tcPr>
            <w:tcW w:w="1360" w:type="dxa"/>
            <w:vAlign w:val="bottom"/>
            <w:gridSpan w:val="3"/>
          </w:tcPr>
          <w:p>
            <w:pPr>
              <w:jc w:val="right"/>
              <w:ind w:right="298"/>
              <w:spacing w:after="0"/>
              <w:rPr>
                <w:sz w:val="20"/>
                <w:szCs w:val="20"/>
                <w:color w:val="auto"/>
              </w:rPr>
            </w:pPr>
            <w:r>
              <w:rPr>
                <w:rFonts w:ascii="Arial" w:cs="Arial" w:eastAsia="Arial" w:hAnsi="Arial"/>
                <w:sz w:val="18"/>
                <w:szCs w:val="18"/>
                <w:color w:val="0000FF"/>
              </w:rPr>
              <w:t>210,642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8"/>
                <w:szCs w:val="18"/>
                <w:color w:val="0000FF"/>
                <w:w w:val="86"/>
              </w:rPr>
              <w:t>12/17/2019</w:t>
            </w:r>
            <w:r>
              <w:rPr>
                <w:rFonts w:ascii="Arial" w:cs="Arial" w:eastAsia="Arial" w:hAnsi="Arial"/>
                <w:sz w:val="22"/>
                <w:szCs w:val="22"/>
                <w:color w:val="008000"/>
                <w:w w:val="86"/>
                <w:vertAlign w:val="superscript"/>
              </w:rPr>
              <w:t>(1)</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3,954</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75</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8"/>
                <w:szCs w:val="18"/>
                <w:color w:val="0000FF"/>
              </w:rPr>
              <w:t>206,688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12/16/2019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4,046</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02/14/2028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4,046</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214,717</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jc w:val="right"/>
              <w:ind w:right="151"/>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12/17/2019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3,954</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02/14/2028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3,954</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210,763</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jc w:val="right"/>
              <w:ind w:right="151"/>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of stock option granted under the 2011 Equity Incentive Plan on February 15, 2018; the option vested and became exercisable as to 25% of the total shares on May 30, 2018, and 1/48th of the total shares vests and becomes exercisable monthly thereafter such that the option is fully vested and exercisable on May 30, 2021, subject to an Executive Change in Control Severance Agreement by and between the Reporting Person and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Teri L. Witteman,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12/18/2019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1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1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8612"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2019-12-18T19:44:00Z</dcterms:created>
  <dcterms:modified xsi:type="dcterms:W3CDTF">2019-12-18T19:44:00Z</dcterms:modified>
</cp:coreProperties>
</file>