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Muth Charles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BEYOND MEAT,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119 STANDARD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BEYOND MEAT,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BYND</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03/25/2020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7"/>
        <w:spacing w:after="0"/>
        <w:rPr>
          <w:sz w:val="20"/>
          <w:szCs w:val="20"/>
          <w:color w:val="auto"/>
        </w:rPr>
      </w:pPr>
      <w:r>
        <w:rPr>
          <w:rFonts w:ascii="Arial" w:cs="Arial" w:eastAsia="Arial" w:hAnsi="Arial"/>
          <w:sz w:val="17"/>
          <w:szCs w:val="17"/>
          <w:color w:val="0000FF"/>
        </w:rPr>
        <w:t>Chief Growth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EL SEGUNDO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90245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jc w:val="center"/>
              <w:ind w:left="592"/>
              <w:spacing w:after="0"/>
              <w:rPr>
                <w:sz w:val="20"/>
                <w:szCs w:val="20"/>
                <w:color w:val="auto"/>
              </w:rPr>
            </w:pPr>
            <w:r>
              <w:rPr>
                <w:rFonts w:ascii="Arial" w:cs="Arial" w:eastAsia="Arial" w:hAnsi="Arial"/>
                <w:sz w:val="17"/>
                <w:szCs w:val="17"/>
                <w:color w:val="0000FF"/>
                <w:w w:val="89"/>
              </w:rPr>
              <w:t>03/25/2020</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8,000</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w:t>
            </w:r>
          </w:p>
        </w:tc>
        <w:tc>
          <w:tcPr>
            <w:tcW w:w="40" w:type="dxa"/>
            <w:vAlign w:val="bottom"/>
          </w:tcPr>
          <w:p>
            <w:pPr>
              <w:spacing w:after="0"/>
              <w:rPr>
                <w:sz w:val="22"/>
                <w:szCs w:val="22"/>
                <w:color w:val="auto"/>
              </w:rPr>
            </w:pPr>
          </w:p>
        </w:tc>
        <w:tc>
          <w:tcPr>
            <w:tcW w:w="1300" w:type="dxa"/>
            <w:vAlign w:val="bottom"/>
            <w:gridSpan w:val="3"/>
          </w:tcPr>
          <w:p>
            <w:pPr>
              <w:ind w:left="420"/>
              <w:spacing w:after="0"/>
              <w:rPr>
                <w:sz w:val="20"/>
                <w:szCs w:val="20"/>
                <w:color w:val="auto"/>
              </w:rPr>
            </w:pPr>
            <w:r>
              <w:rPr>
                <w:rFonts w:ascii="Arial" w:cs="Arial" w:eastAsia="Arial" w:hAnsi="Arial"/>
                <w:sz w:val="17"/>
                <w:szCs w:val="17"/>
                <w:color w:val="0000FF"/>
              </w:rPr>
              <w:t>227,028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2"/>
              <w:spacing w:after="0"/>
              <w:rPr>
                <w:sz w:val="20"/>
                <w:szCs w:val="20"/>
                <w:color w:val="auto"/>
              </w:rPr>
            </w:pPr>
            <w:r>
              <w:rPr>
                <w:rFonts w:ascii="Arial" w:cs="Arial" w:eastAsia="Arial" w:hAnsi="Arial"/>
                <w:sz w:val="17"/>
                <w:szCs w:val="17"/>
                <w:color w:val="0000FF"/>
                <w:w w:val="89"/>
              </w:rPr>
              <w:t>03/25/2020</w:t>
            </w:r>
          </w:p>
        </w:tc>
        <w:tc>
          <w:tcPr>
            <w:tcW w:w="8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8,000</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219,028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03/25/2020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rPr>
                <w:sz w:val="20"/>
                <w:szCs w:val="20"/>
                <w:color w:val="auto"/>
              </w:rPr>
            </w:pPr>
            <w:r>
              <w:rPr>
                <w:rFonts w:ascii="Arial" w:cs="Arial" w:eastAsia="Arial" w:hAnsi="Arial"/>
                <w:sz w:val="13"/>
                <w:szCs w:val="13"/>
                <w:color w:val="0000FF"/>
              </w:rPr>
              <w:t>8,000</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02/14/2028</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8,000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186,763</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w:t>
      </w:r>
    </w:p>
    <w:p>
      <w:pPr>
        <w:spacing w:after="0" w:line="45" w:lineRule="exact"/>
        <w:rPr>
          <w:rFonts w:ascii="Arial" w:cs="Arial" w:eastAsia="Arial" w:hAnsi="Arial"/>
          <w:sz w:val="13"/>
          <w:szCs w:val="13"/>
          <w:color w:val="008000"/>
        </w:rPr>
      </w:pPr>
    </w:p>
    <w:p>
      <w:pPr>
        <w:jc w:val="both"/>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Exercise of stock option granted under the 2011 Equity Incentive Plan on February 15, 2018; the option vested and became exercisable as to 25% of the total shares on May 30, 2018, and 1/48th of the total shares vests and becomes exercisable monthly thereafter such that the option is fully vested and exercisable on May 30, 2021, subject to an Executive Change in Control Severance Agreement by and between the Reporting Person and the Issuer.</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Teri L. Witteman,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6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Charles</w:t>
      </w:r>
      <w:r>
        <w:rPr>
          <w:sz w:val="20"/>
          <w:szCs w:val="20"/>
          <w:color w:val="auto"/>
        </w:rPr>
        <w:tab/>
      </w:r>
      <w:r>
        <w:rPr>
          <w:rFonts w:ascii="Arial" w:cs="Arial" w:eastAsia="Arial" w:hAnsi="Arial"/>
          <w:sz w:val="15"/>
          <w:szCs w:val="15"/>
          <w:color w:val="0000FF"/>
        </w:rPr>
        <w:t>03/27/2020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Muth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32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8612"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2020-03-27T16:15:27Z</dcterms:created>
  <dcterms:modified xsi:type="dcterms:W3CDTF">2020-03-27T16:15:27Z</dcterms:modified>
</cp:coreProperties>
</file>