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18, 2024.</w:t>
      </w:r>
    </w:p>
    <w:p>
      <w:pPr>
        <w:spacing w:after="0" w:line="23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BEYOND MEAT,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84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26-4087597</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888 N. Douglas Street, Suite 100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 Segundo, California 90245</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(866) 756-4112</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Ethan Brown</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Beyond Meat, Inc.</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888 N. Douglas Street, Suite 100</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 Segundo, California 90245</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(866) 756-4112</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Gregory P. Rodgers, Esq.</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Cathy A. Birkeland, Esq.</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Alexa Berlin, Esq.</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1271 Avenue of the Americas</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New York, NY 10020</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161290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p>
      <w:pPr>
        <w:ind w:right="1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18" w:lineRule="exact"/>
        <w:rPr>
          <w:sz w:val="24"/>
          <w:szCs w:val="24"/>
          <w:color w:val="auto"/>
        </w:rPr>
      </w:pPr>
    </w:p>
    <w:p>
      <w:pPr>
        <w:ind w:left="44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63" w:lineRule="exact"/>
        <w:rPr>
          <w:sz w:val="24"/>
          <w:szCs w:val="24"/>
          <w:color w:val="auto"/>
        </w:rPr>
      </w:pPr>
    </w:p>
    <w:p>
      <w:pPr>
        <w:ind w:right="3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right="2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righ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75" w:lineRule="exact"/>
        <w:rPr>
          <w:sz w:val="24"/>
          <w:szCs w:val="24"/>
          <w:color w:val="auto"/>
        </w:rPr>
      </w:pPr>
    </w:p>
    <w:p>
      <w:pPr>
        <w:ind w:right="60" w:firstLine="440"/>
        <w:spacing w:after="0" w:line="281"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121285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32" w:right="479" w:bottom="0" w:gutter="0" w:footer="0" w:header="0"/>
        </w:sectPr>
      </w:pPr>
    </w:p>
    <w:bookmarkStart w:id="1" w:name="page2"/>
    <w:bookmarkEnd w:id="1"/>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FF433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18,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173990</wp:posOffset>
            </wp:positionV>
            <wp:extent cx="110553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55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Beyond Meat,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1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13 OF THIS PROSPECTUS AND ANY SIMILAR SECTION CONTAINED IN THE APPLICABLE PROSPECTUS SUPPLEMENT AND IN THE DOCUMENTS INCORPORATED BY REFERENCE HEREIN OR THEREIN CONCERNING FACTORS YOU SHOULD CONSIDER BEFORE INVESTING IN OUR SECURITIES.</w:t>
      </w:r>
    </w:p>
    <w:p>
      <w:pPr>
        <w:spacing w:after="0" w:line="18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“BYND.” On March 15, 2024, the last reported sale price of our common stock on the Nasdaq Global Select Market was $8.50 per share.</w:t>
      </w:r>
    </w:p>
    <w:p>
      <w:pPr>
        <w:spacing w:after="0" w:line="158"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40" w:type="dxa"/>
            <w:vAlign w:val="bottom"/>
          </w:tcPr>
          <w:p>
            <w:pPr>
              <w:spacing w:after="0"/>
              <w:rPr>
                <w:sz w:val="20"/>
                <w:szCs w:val="20"/>
                <w:color w:val="auto"/>
              </w:rPr>
            </w:pPr>
          </w:p>
        </w:tc>
      </w:tr>
      <w:tr>
        <w:trPr>
          <w:trHeight w:val="418"/>
        </w:trPr>
        <w:tc>
          <w:tcPr>
            <w:tcW w:w="67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NOTE REGARDING FORWARD-LOOKING STATEMENTS</w:t>
            </w:r>
          </w:p>
        </w:tc>
        <w:tc>
          <w:tcPr>
            <w:tcW w:w="216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67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5440" w:type="dxa"/>
            <w:vAlign w:val="bottom"/>
            <w:gridSpan w:val="1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6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51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6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370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24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6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6"/>
          </w:tcPr>
          <w:p>
            <w:pPr>
              <w:spacing w:after="0"/>
              <w:rPr>
                <w:sz w:val="17"/>
                <w:szCs w:val="17"/>
                <w:color w:val="auto"/>
              </w:rPr>
            </w:pPr>
          </w:p>
        </w:tc>
        <w:tc>
          <w:tcPr>
            <w:tcW w:w="3180" w:type="dxa"/>
            <w:vAlign w:val="bottom"/>
            <w:gridSpan w:val="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SECURITIES</w:t>
            </w:r>
          </w:p>
        </w:tc>
        <w:tc>
          <w:tcPr>
            <w:tcW w:w="4920" w:type="dxa"/>
            <w:vAlign w:val="bottom"/>
            <w:gridSpan w:val="9"/>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6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up to a total dollar amount of $250.0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94"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obtained by us or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When we refer to “Beyond Meat,” “we,” “our,” “us” and the “Company” in this prospectus, we mean Beyond Meat, Inc., a Delaware corporation, and its consolidated subsidiaries, unless otherwise specified. When we refer to “you,” we mean the potential holders of the applicable series of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REGARDING FORWARD-LOOKING STATEMENTS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within the meaning of the federal securities laws that involve risks and uncertainties concerning the business, products and financial results of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7" w:lineRule="exact"/>
        <w:rPr>
          <w:sz w:val="20"/>
          <w:szCs w:val="20"/>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higher interest rates across the economy, including higher food, grocery, raw materials, transportation, energy, labor and fuel costs;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decrease in demand, and the underlying factors negatively impacting demand, in the plant-based meat category;</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certain cost-reduction initiatives, cost structure improvements, workforce reductions and executive leadership changes, and the timing and success of reducing operating expenses and achieving certain financial goals and cash flow positive objectives;</w:t>
      </w:r>
    </w:p>
    <w:p>
      <w:pPr>
        <w:spacing w:after="0" w:line="81"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narrowing our commercial focus to certain growth opportunities; accelerating activities that prioritize gross margin expansion and cash generation, including as part of our review of our global operations that we announced in November 2023 (the “Global Operations Review”); changes to our pricing architecture within certain channels; and accelerated, cash-accretive inventory reduction initiatives;</w:t>
      </w:r>
    </w:p>
    <w:p>
      <w:pPr>
        <w:spacing w:after="0" w:line="85" w:lineRule="exact"/>
        <w:rPr>
          <w:rFonts w:ascii="Times New Roman" w:cs="Times New Roman" w:eastAsia="Times New Roman" w:hAnsi="Times New Roman"/>
          <w:sz w:val="18"/>
          <w:szCs w:val="18"/>
          <w:color w:val="auto"/>
        </w:rPr>
      </w:pPr>
    </w:p>
    <w:p>
      <w:pPr>
        <w:ind w:left="960" w:right="42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Global Operations Review, including the exit or discontinuation of select product lines such as Beyond Meat Jerky; the impact of non-cash charges such as provision for excess and obsolete inventory, accelerated depreciation on planned write-offs and disposals of fixed assets, and losses on sale and write-down of fixed assets; further optimization of our manufacturing capacity and real estate footprint; and the continued review of our operations in China;</w:t>
      </w:r>
    </w:p>
    <w:p>
      <w:pPr>
        <w:spacing w:after="0" w:line="85"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uncertain economic and political conditions in the U.S. and international markets, including concerns about the likelihood of an economic recession, downturn or periods of rising or high inflation;</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confidence and changes in consumer spending, including spending to purchase our products, and negative trends in consumer purchasing patterns due to levels of consumers’ disposable income, credit availability and debt levels, and economic conditions, including due to recessionary and inflationary pressures;</w:t>
      </w:r>
    </w:p>
    <w:p>
      <w:pPr>
        <w:spacing w:after="0" w:line="81"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properly manage and ultimately sell our inventory in a timely manner, which could require us to sell our products through liquidation channels at lower prices, write-down or write-off obsolete inventory, or increase inventory provision;</w:t>
      </w:r>
    </w:p>
    <w:p>
      <w:pPr>
        <w:spacing w:after="0" w:line="67" w:lineRule="exact"/>
        <w:rPr>
          <w:rFonts w:ascii="Times New Roman" w:cs="Times New Roman" w:eastAsia="Times New Roman" w:hAnsi="Times New Roman"/>
          <w:sz w:val="18"/>
          <w:szCs w:val="18"/>
          <w:color w:val="auto"/>
        </w:rPr>
      </w:pPr>
    </w:p>
    <w:p>
      <w:pPr>
        <w:ind w:left="960" w:right="160" w:hanging="424"/>
        <w:spacing w:after="0" w:line="312"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impairment charges, including due to any future changes in estimates, judgments or assumptions, failure to achieve forecasted operating results, weakness in the economic environment, changes in market conditions and/or declines in our market capitalization;</w:t>
      </w:r>
    </w:p>
    <w:p>
      <w:pPr>
        <w:spacing w:after="0" w:line="45" w:lineRule="exact"/>
        <w:rPr>
          <w:rFonts w:ascii="Times New Roman" w:cs="Times New Roman" w:eastAsia="Times New Roman" w:hAnsi="Times New Roman"/>
          <w:sz w:val="17"/>
          <w:szCs w:val="17"/>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including estimates of our expenses, future revenues, capital expenditures, capital requirements and our needs for and ability to obtain additional financing, if at all;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 w:name="page6"/>
    <w:bookmarkEnd w:id="5"/>
    <w:p>
      <w:pPr>
        <w:ind w:left="424" w:right="2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accurately predict consumer taste preferences, trends and demand and successfully innovate, introduce and commercialize new products and improve existing products such as our new Beyond IV platform, including in new geographic markets;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competitive activity from our market competitors and new market entrants;</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and the impact of uncertainty in, our domestic and international supply chain, including labor shortages and disruption, shipping delays and disruption, and the impact of cyber incidents at suppliers and vendors;</w:t>
      </w:r>
    </w:p>
    <w:p>
      <w:pPr>
        <w:spacing w:after="0" w:line="67" w:lineRule="exact"/>
        <w:rPr>
          <w:rFonts w:ascii="Times New Roman" w:cs="Times New Roman" w:eastAsia="Times New Roman" w:hAnsi="Times New Roman"/>
          <w:sz w:val="18"/>
          <w:szCs w:val="18"/>
          <w:color w:val="auto"/>
        </w:rPr>
      </w:pPr>
    </w:p>
    <w:p>
      <w:pPr>
        <w:ind w:left="424" w:right="34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streamline operations and improve cost efficiencies, which could result in the contraction of our business and the implementation of significant cost cutting measures such as further downsizing and exiting certain operations, including product lines, domestically and/or abroad;</w:t>
      </w:r>
    </w:p>
    <w:p>
      <w:pPr>
        <w:spacing w:after="0" w:line="81"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uncertainty as a result of doing business in China and Europe, including as a result of our continued review of our operations in China;</w:t>
      </w:r>
    </w:p>
    <w:p>
      <w:pPr>
        <w:spacing w:after="0" w:line="67"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or inability to access the capital markets, including due to macroeconomic factors, our loss of well-known seasoned issuer status, geopolitical tensions or the outbreak of hostilities or war—for example, the war in Ukraine and the conflict in Israel, Gaza and surrounding areas;</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the Beyond IV launch;</w:t>
      </w:r>
    </w:p>
    <w:p>
      <w:pPr>
        <w:spacing w:after="0" w:line="85"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spacing w:after="0" w:line="8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distribution expansion and new product introductions, including the timing and success of the Beyond IV launch, in increasing revenues and market share;</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strategic Quick Service Restaurant partnership launches and limited time offerings resulting in permanent menu items;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cost-down initiatives intended to improve our profitability;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business systems and processes;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 and ability to accurately forecast market growth;</w:t>
      </w:r>
    </w:p>
    <w:p>
      <w:pPr>
        <w:spacing w:after="0" w:line="130" w:lineRule="exact"/>
        <w:rPr>
          <w:rFonts w:ascii="Times New Roman" w:cs="Times New Roman" w:eastAsia="Times New Roman" w:hAnsi="Times New Roman"/>
          <w:sz w:val="18"/>
          <w:szCs w:val="18"/>
          <w:color w:val="auto"/>
        </w:rPr>
      </w:pPr>
    </w:p>
    <w:p>
      <w:pPr>
        <w:ind w:left="424" w:right="4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optimize our manufacturing and production capacity, and real estate footprint, including consolidating manufacturing facilities and production lines, exiting co-manufacturing arrangements and effectively managing capacity for specific products with shifts in demand;</w:t>
      </w:r>
    </w:p>
    <w:p>
      <w:pPr>
        <w:spacing w:after="0" w:line="81"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underutilization of capacity which could give rise to increased costs per unit, underutilization fees, termination fees and other costs to exit certain supply chain arrangements and product lines, and/or the write-down or write-off of certain equipment and other fixed assets;</w:t>
      </w:r>
    </w:p>
    <w:p>
      <w:pPr>
        <w:spacing w:after="0" w:line="81"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future results of operations and financial goals or targets, including as a result of fluctuations in demand for our products and in the plant-based meat category generally and increased competition;</w:t>
      </w:r>
    </w:p>
    <w:p>
      <w:pPr>
        <w:spacing w:after="0" w:line="67"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and manage our inventory, including the impact of customer orders ahead of holidays and shelf reset activities, customer and distributor changes and buying patterns, such as reductions in targeted inventory levels, and supply chain and labor disruptions, including due to the impact of cyber incidents at suppliers and vendors;</w:t>
      </w:r>
    </w:p>
    <w:p>
      <w:pPr>
        <w:spacing w:after="0" w:line="108"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44"/>
          </w:cols>
          <w:pgMar w:left="976" w:top="270" w:right="479" w:bottom="1440" w:gutter="0" w:footer="0" w:header="0"/>
        </w:sectPr>
      </w:pPr>
    </w:p>
    <w:bookmarkStart w:id="6" w:name="page7"/>
    <w:bookmarkEnd w:id="6"/>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operational effectiveness and ability to fulfill orders in full and on time;</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selling prices and costs, the timing and success of changes to our pricing architecture within certain channels, and the mix of products sold;</w:t>
      </w:r>
    </w:p>
    <w:p>
      <w:pPr>
        <w:spacing w:after="0" w:line="67"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geographic markets, manage our international business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w:t>
      </w:r>
    </w:p>
    <w:p>
      <w:pPr>
        <w:spacing w:after="0" w:line="85"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outbreaks of pandemics (such as the COVID-19 pandemic), epidemics or other public health crises, or fear of such crises;</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initiatives and the ability to maintain and grow our brand awareness, maintain, protect and enhance our brand, attract and retain new customers and maintain and grow our market share, particularly while we are seeking to reduce our operating expenses;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maintain and effectively expand our relationships with key strategic foodservice partners;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our suppliers, distributors, co-manufacturers and customers;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sufficient high-quality raw materials at competitive prices to manufacture our products;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pea and other proteins and avocado oil that meet our standards;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diversify the protein sources used for our products;</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differentiate and continuously create innovative products, respond to competitive innovation and achieve speed-to-market, including the timing and success of the Beyond IV launch;</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initiatives;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associated with ingredient, packaging, transportation and other input costs;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changes impacting the development of our products and implementation of our business needs;</w:t>
      </w:r>
    </w:p>
    <w:p>
      <w:pPr>
        <w:spacing w:after="0" w:line="130" w:lineRule="exact"/>
        <w:rPr>
          <w:rFonts w:ascii="Times New Roman" w:cs="Times New Roman" w:eastAsia="Times New Roman" w:hAnsi="Times New Roman"/>
          <w:sz w:val="18"/>
          <w:szCs w:val="18"/>
          <w:color w:val="auto"/>
        </w:rPr>
      </w:pPr>
    </w:p>
    <w:p>
      <w:pPr>
        <w:ind w:left="424" w:right="340" w:hanging="424"/>
        <w:spacing w:after="0" w:line="289"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disruption in, or breach in security of our or our suppliers’ or vendors’ information technology systems, and resultant interruptions in service and any related impact on our reputation, including data privacy, and any potential impact on our supply chain, including on customer demand, order fulfillment and lost sales, and the resulting timing and/or amount of net revenues recognized;</w:t>
      </w:r>
    </w:p>
    <w:p>
      <w:pPr>
        <w:spacing w:after="0" w:line="63"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transportation providers to ship and deliver our products in a timely and cost effective manner;</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and key personnel changes, the attraction, training and retention of qualified employees and key personnel, and our ability to maintain our company culture;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organizational changes including reductions-in-force and realignment of reporting structures;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operations conducted by joint ventures where we share ownership and management of a company with one or more parties who may not have the same goals, strategies or priorities as we do and where we do not receive all of the financial benefit;</w:t>
      </w:r>
    </w:p>
    <w:p>
      <w:pPr>
        <w:spacing w:after="0" w:line="9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4"/>
          </w:cols>
          <w:pgMar w:left="976" w:top="270" w:right="459" w:bottom="1440" w:gutter="0" w:footer="0" w:header="0"/>
        </w:sectPr>
      </w:pPr>
    </w:p>
    <w:bookmarkStart w:id="7" w:name="page8"/>
    <w:bookmarkEnd w:id="7"/>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impact of the discontinuation of the Beyond Meat Jerky product line;</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workplace hazards;</w:t>
      </w:r>
    </w:p>
    <w:p>
      <w:pPr>
        <w:spacing w:after="0" w:line="130" w:lineRule="exact"/>
        <w:rPr>
          <w:rFonts w:ascii="Times New Roman" w:cs="Times New Roman" w:eastAsia="Times New Roman" w:hAnsi="Times New Roman"/>
          <w:sz w:val="18"/>
          <w:szCs w:val="18"/>
          <w:color w:val="auto"/>
        </w:rPr>
      </w:pPr>
    </w:p>
    <w:p>
      <w:pPr>
        <w:ind w:left="424" w:right="34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estimates based on judgment and assumptions that may differ from actual results;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and effects of increased administrative costs related to compliance and reporting obligations;</w:t>
      </w:r>
    </w:p>
    <w:p>
      <w:pPr>
        <w:spacing w:after="0" w:line="130"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debt, including our ability to repay our indebtedness,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w:t>
      </w:r>
    </w:p>
    <w:p>
      <w:pPr>
        <w:spacing w:after="0" w:line="88"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obligations under our El Segundo Campus and Innovation Center (“Campus Headquarters”) lease, the timing of occupancy and completion of the build-out of our space, cost overruns, delays, the impact of workforce reductions or other cost-reduction initiatives on our space demands, and the timing and success of subleasing, assigning or otherwise transferring excess space at our Campus Headquarters;</w:t>
      </w:r>
    </w:p>
    <w:p>
      <w:pPr>
        <w:spacing w:after="0" w:line="85"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obligations under leases for our corporate offices, manufacturing facilities and warehouses, or risks related to excess space capacity under our leases due to workforce reductions or other cost-reduction initiatives;</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 including the U.S. Food and Drug Administration (“FDA”) and the U.S. Federal Trade Commission governmental regulation, and state, local and foreign regulation;</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acquisitions and other investments to be efficiently integrated and produce the results we anticipate;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investment in real estate;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suppliers and co-manufacturers to comply with food safety, environmental or other laws or regulations and the impact of any non-compliance on our operations, brand reputation and ability to fulfill customer orders in full and on time;</w:t>
      </w:r>
    </w:p>
    <w:p>
      <w:pPr>
        <w:spacing w:after="0" w:line="94"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4"/>
          </w:cols>
          <w:pgMar w:left="976" w:top="270" w:right="439" w:bottom="1440" w:gutter="0" w:footer="0" w:header="0"/>
        </w:sectPr>
      </w:pPr>
    </w:p>
    <w:bookmarkStart w:id="8" w:name="page9"/>
    <w:bookmarkEnd w:id="8"/>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seasonality, including increased levels of grilling activity and higher levels of purchasing by customers ahead of holidays, customer shelf reset activity and the timing of product restocking by our retail customers;</w:t>
      </w:r>
    </w:p>
    <w:p>
      <w:pPr>
        <w:spacing w:after="0" w:line="67" w:lineRule="exact"/>
        <w:rPr>
          <w:rFonts w:ascii="Times New Roman" w:cs="Times New Roman" w:eastAsia="Times New Roman" w:hAnsi="Times New Roman"/>
          <w:sz w:val="18"/>
          <w:szCs w:val="18"/>
          <w:color w:val="auto"/>
        </w:rPr>
      </w:pPr>
    </w:p>
    <w:p>
      <w:pPr>
        <w:ind w:left="960" w:right="220" w:hanging="424"/>
        <w:spacing w:after="0" w:line="312"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increased scrutiny from a variety of stakeholders, institutional investors and governmental bodies on environmental, social and governance (“ESG”) practices, including expanding mandatory and voluntary reporting, diligence and disclosure on ESG matters;</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legal or administrative proceedings, or new legal or administrative proceedings filed against us;</w:t>
      </w:r>
    </w:p>
    <w:p>
      <w:pPr>
        <w:spacing w:after="0" w:line="130"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our suppliers’ and our co-manufacturers’ ability to protect our proprietary technology, intellectual property and trade secrets adequately;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trade wars;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and</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discussed in Part I, Item 1A, Risk Factors, included in our most recent Annual Report on Form 10-K and in any subsequent Annual Reports on Form 10-K, Quarterly Reports on Form 10-Q or Current Reports on Form 8-K, and those discussed in other documents we file from time to time with the SEC.</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This prospectus also contains estimates and other statistical data obtained from independent parties and by us relating to market size and growth and other data about our industry and ultimate consumers. The number of retail and foodservice outlets where Beyond Meat branded products are available was derived from rolling 52-week data as of December 2023 and excludes outlets unique to Beyond Meat Jerky. As of December 2023, total U.S. retail outlets unique to Beyond Meat Jerky were approximately 44,000 on a rolling 52-week basis, or approximately 2,300 on a rolling 12-week basis . This data involves a number of assumptions and limitations, and you are cautioned not to give undue weight to such estimates and data. In 2023, we continued the process of renegotiating certain contracts and changing operating activities related to Beyond Meat Jerky and assumed distribution responsibilities for Beyond Meat Jerky in the fourth quarter of 2023. In 2023, as part of our Global Operations Review, we made the decision to discontinue the Beyond Meat Jerky product line.</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are expressly qualified in their entirety by the cautionary statements set forth above. Forward-looking statements speak only as of the date of this prospectus.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firstLine="44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“Beyond Meat,” “Beyond Burger,” “Beyond Beef,” “Beyond Sausage,” “Beyond Breakfast Sausage,” “Beyond Meatballs,” “Beyond Chicken,” “Beyond Fried Chicken,” “Beyond Popcorn Chicken,” “Beyond Steak,” the Caped Steer Logo, “Go Beyond,” “Cookout Classic,” “The Future of Protein,” “The Future of Protein Beyond Meat” and design, and “Eat What You Love” are registered or pending trademarks of Beyond Meat, Inc. in the United States and, in some cases, in certain other countries. All other brand names or trademarks appearing in this prospectus are the property of their respective holders. Solely for convenience, the trademarks and trade names contained herein are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http://www.beyondmeat.com</w:t>
      </w:r>
      <w:r>
        <w:rPr>
          <w:rFonts w:ascii="Times New Roman" w:cs="Times New Roman" w:eastAsia="Times New Roman" w:hAnsi="Times New Roman"/>
          <w:sz w:val="18"/>
          <w:szCs w:val="18"/>
          <w:color w:val="auto"/>
        </w:rPr>
        <w:t>. The information on our website, however, is not, and should not be deemed to be, a part of, or incorporated by reference into, this prospectus.</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2022 filed with the SEC on March 1, 2023 from our Definitive Proxy Statement on </w:t>
      </w:r>
      <w:hyperlink r:id="rId3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12, 2023.</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4">
        <w:r>
          <w:rPr>
            <w:rFonts w:ascii="Times New Roman" w:cs="Times New Roman" w:eastAsia="Times New Roman" w:hAnsi="Times New Roman"/>
            <w:sz w:val="18"/>
            <w:szCs w:val="18"/>
            <w:u w:val="single" w:color="auto"/>
            <w:color w:val="0000EE"/>
          </w:rPr>
          <w:t>January 8, 2024</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year ended December 31, 2022, filed with the SEC on March 1, 2023, which updated the description thereof contained in our Registration Statement on </w:t>
      </w:r>
      <w:hyperlink r:id="rId3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April 24, 2019, filed with the SEC on April 24, 2019, and any amendment or report filed with the SEC for the purpose of updating the description.</w:t>
      </w:r>
    </w:p>
    <w:p>
      <w:pPr>
        <w:spacing w:after="0" w:line="180" w:lineRule="exact"/>
        <w:rPr>
          <w:rFonts w:ascii="Times New Roman" w:cs="Times New Roman" w:eastAsia="Times New Roman" w:hAnsi="Times New Roman"/>
          <w:sz w:val="18"/>
          <w:szCs w:val="18"/>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reports and other documents filed with the SEC after the date of the initial filing of the registration statement of which this prospectus forms a part and prior to the</w:t>
      </w:r>
    </w:p>
    <w:p>
      <w:pPr>
        <w:spacing w:after="0" w:line="9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such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Beyond Meat,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888 N. Douglas Street, Suite 100</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El Segundo, California 90245</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(866) 756-4112</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440" w:top="270" w:right="6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8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We sell a range of plant-based meat products across our three core platforms of beef, pork and poultry. As of December 2023, Beyond Meat branded products were available at approximately 133,000 retail and foodservice outlets in more than 65 countries worldwide, across mainstream grocery, mass merchandiser, club store and natural retailer channels, and various food-away-from-home channels, including restaurants, foodservice outlets and schools. The number of retail and foodservice outlets where Beyond Meat branded products are available was derived from rolling 52-week data as of December 2023 and excludes approximately 44,000 U.S. retail outlets unique to Beyond Meat Jerky or 2,300 outlets on a rolling 12-week basis. In 2023, we continued the process of renegotiating certain contracts and changing operating activities related to Beyond Meat Jerky and assumed the distribution responsibilities for Beyond Meat Jerky in the fourth quarter of 2023. As part of our Global Operations Review, we made the decision to discontinue the Beyond Meat Jerky product 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 Our principal executive offices are located at 888 N. Douglas St., Suite 100, El Segundo, CA 90245, and our telephone number is (866) 756-4112. Our website address is </w:t>
      </w:r>
      <w:r>
        <w:rPr>
          <w:rFonts w:ascii="Times New Roman" w:cs="Times New Roman" w:eastAsia="Times New Roman" w:hAnsi="Times New Roman"/>
          <w:sz w:val="18"/>
          <w:szCs w:val="18"/>
          <w:i w:val="1"/>
          <w:iCs w:val="1"/>
          <w:color w:val="auto"/>
        </w:rPr>
        <w:t>www.beyondmeat.com</w:t>
      </w:r>
      <w:r>
        <w:rPr>
          <w:rFonts w:ascii="Times New Roman" w:cs="Times New Roman" w:eastAsia="Times New Roman" w:hAnsi="Times New Roman"/>
          <w:sz w:val="18"/>
          <w:szCs w:val="18"/>
          <w:color w:val="auto"/>
        </w:rPr>
        <w:t>. The information contained on or accessible through our website is not part of this prospectus or any prospectus supplement, and the inclusion of our website address in this prospectus or any prospectus supplement is an inactive textual reference only.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Below is a summary of certain factors that make an investment in our securities speculative or risky. Importantly, this summary does not address all of the risks that we face. Additional discussion of the risks summarized below, as well as other risks that we face, can be found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 If any of the risks actually occurs, our business, financial condition, operating results, cash flows and prospects could be materially and adversely affected. In this case, the trading price of our common stock would likely decline and you might lose part or all of your investment in our common stock. These risks and uncertainties include, but are not limited to, the following:</w:t>
      </w:r>
    </w:p>
    <w:p>
      <w:pPr>
        <w:spacing w:after="0" w:line="90" w:lineRule="exact"/>
        <w:rPr>
          <w:sz w:val="20"/>
          <w:szCs w:val="20"/>
          <w:color w:val="auto"/>
        </w:rPr>
      </w:pPr>
    </w:p>
    <w:p>
      <w:pPr>
        <w:ind w:left="960" w:right="20" w:hanging="424"/>
        <w:spacing w:after="0" w:line="26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Business</w:t>
      </w:r>
      <w:r>
        <w:rPr>
          <w:rFonts w:ascii="Times New Roman" w:cs="Times New Roman" w:eastAsia="Times New Roman" w:hAnsi="Times New Roman"/>
          <w:sz w:val="18"/>
          <w:szCs w:val="18"/>
          <w:color w:val="auto"/>
        </w:rPr>
        <w:t>, such as, adverse and uncertain economic and political conditions in the U.S. and international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concerns about the likelihood of an economic recession, downturn, periods of rising or high inflation or economic uncertainty; risks associated with inflationary price pressures including the effects of higher interest rates; reduced consumer confidence and changes in consumer spending and negative trends in consumer purchasing patterns; our history of losses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 w:name="page14"/>
    <w:bookmarkEnd w:id="13"/>
    <w:p>
      <w:pPr>
        <w:ind w:left="44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ability to achieve or sustain profitability; a continued decrease in demand, and the underlying factors negatively impacting demand in the plant-based meat category; our cost-reduction initiatives, cost structure improvements, workforce reductions and executive leadership changes, and the timing and success of reducing operating expenses and achieving certain financial goals and cash flow positive objectives; the timing and success of narrowing our commercial focus to certain growth opportunities; accelerating activities that prioritize gross margin expansion and cash generation, including as part of our Global Operations Review; changes to our pricing architecture within certain channels; and accelerated, cash-accretive inventory reduction initiatives; our ability to successfully execute our Global Operations Review, including the exit or discontinuation of select product lines such as Beyond Meat Jerky, further optimization of our manufacturing capacity and real estate footprint and the continued review of our operations in China; the substantial non-cash impacts resulting from our Global Operations Review; our ability to accurately forecast demand for our products; our ability to utilize our capacity efficiently or accurately plan our capacity requirements; our ability to sell our inventory in a timely manner which may require us to sell our products through liquidation channels at lower prices, write-down or write-off obsolete inventory, or increase inventory provision; our ability to forecast future results of operations and financial goals or targets; our reliance on a limited number of third-party suppliers and our ability to procure sufficient high quality raw materials; disruptions to our supply chain; limited availability of pea protein that meets our standards; our limited number of distributors; consolidation of customers, loss of a significant customer or our inability to acquire new customers; loss of one or more of our co-manufacturers; damage or disruption at our internal or co-manufacturing facilities; difficulties expanding into new markets; slow, declining or negative revenue growth rates; revenue and earnings fluctuations; seasonal fluctuations; delays in product delivery by third-party transportation providers; failure to retain our senior management and attract and retain employees; use of professional employer organizations to employ certain of our international employees; failure of acquisitions or investments to be efficiently integrated; our ESG practices and reporting of such matters; accounting estimate risks; risks from changes in estimating judgments and assumptions used in the preparation of financial statements in accordance with GAAP or any future impairment charges; technological changes that might impact our products and/or business; and risks stemming from workplace accidents or safety incidents.</w:t>
      </w:r>
    </w:p>
    <w:p>
      <w:pPr>
        <w:spacing w:after="0" w:line="107" w:lineRule="exact"/>
        <w:rPr>
          <w:sz w:val="20"/>
          <w:szCs w:val="20"/>
          <w:color w:val="auto"/>
        </w:rPr>
      </w:pPr>
    </w:p>
    <w:p>
      <w:pPr>
        <w:ind w:left="424" w:right="160" w:hanging="424"/>
        <w:spacing w:after="0" w:line="26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Products</w:t>
      </w:r>
      <w:r>
        <w:rPr>
          <w:rFonts w:ascii="Times New Roman" w:cs="Times New Roman" w:eastAsia="Times New Roman" w:hAnsi="Times New Roman"/>
          <w:sz w:val="18"/>
          <w:szCs w:val="18"/>
          <w:color w:val="auto"/>
        </w:rPr>
        <w:t>, such as, incidents of food safety and food-borne illnesses or advertising or product misbranding;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sales of the Beyond Burger; changing consumer preferences; failure to introduce new products or successfully improve existing products; our ability to accurately predict consumer taste preferences and respond quickly to new trends; risks related to planned price increases of our products and volatility of ingredient and packaging costs.</w:t>
      </w:r>
    </w:p>
    <w:p>
      <w:pPr>
        <w:spacing w:after="0" w:line="81"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Industry and Brand</w:t>
      </w:r>
      <w:r>
        <w:rPr>
          <w:rFonts w:ascii="Times New Roman" w:cs="Times New Roman" w:eastAsia="Times New Roman" w:hAnsi="Times New Roman"/>
          <w:sz w:val="18"/>
          <w:szCs w:val="18"/>
          <w:color w:val="auto"/>
        </w:rPr>
        <w:t>, such as, increased competition in our market and new market entrants; general softness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plant-based meat category; harm to our brand or reputation due to real or perceived quality or health issues with our products; and failure to develop and maintain our brand.</w:t>
      </w:r>
    </w:p>
    <w:p>
      <w:pPr>
        <w:spacing w:after="0" w:line="76"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International Operations</w:t>
      </w:r>
      <w:r>
        <w:rPr>
          <w:rFonts w:ascii="Times New Roman" w:cs="Times New Roman" w:eastAsia="Times New Roman" w:hAnsi="Times New Roman"/>
          <w:sz w:val="18"/>
          <w:szCs w:val="18"/>
          <w:color w:val="auto"/>
        </w:rPr>
        <w:t>, such as, business, regulatory, political, financial and economic risks of doing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 and Europe, including as a result of the continued review of our operations in China; foreign exchange rate fluctuations; and potential violations of the FCPA and other anti-corruption laws.</w:t>
      </w:r>
    </w:p>
    <w:p>
      <w:pPr>
        <w:spacing w:after="0" w:line="76" w:lineRule="exact"/>
        <w:rPr>
          <w:rFonts w:ascii="Times New Roman" w:cs="Times New Roman" w:eastAsia="Times New Roman" w:hAnsi="Times New Roman"/>
          <w:sz w:val="18"/>
          <w:szCs w:val="18"/>
          <w:color w:val="auto"/>
        </w:rPr>
      </w:pPr>
    </w:p>
    <w:p>
      <w:pPr>
        <w:ind w:left="424" w:right="120" w:hanging="424"/>
        <w:spacing w:after="0" w:line="28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Investments</w:t>
      </w:r>
      <w:r>
        <w:rPr>
          <w:rFonts w:ascii="Times New Roman" w:cs="Times New Roman" w:eastAsia="Times New Roman" w:hAnsi="Times New Roman"/>
          <w:sz w:val="18"/>
          <w:szCs w:val="18"/>
          <w:color w:val="auto"/>
        </w:rPr>
        <w:t>, such as, our manufacturing operations in China and the Netherlands; our ownership of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operations of and participation in joint ventures, including the discontinuation of the Beyond Meat Jerky product line.</w:t>
      </w:r>
    </w:p>
    <w:p>
      <w:pPr>
        <w:spacing w:after="0" w:line="60" w:lineRule="exact"/>
        <w:rPr>
          <w:rFonts w:ascii="Times New Roman" w:cs="Times New Roman" w:eastAsia="Times New Roman" w:hAnsi="Times New Roman"/>
          <w:sz w:val="18"/>
          <w:szCs w:val="18"/>
          <w:color w:val="auto"/>
        </w:rPr>
      </w:pPr>
    </w:p>
    <w:p>
      <w:pPr>
        <w:ind w:left="424" w:right="240" w:hanging="424"/>
        <w:spacing w:after="0" w:line="26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Risks Related to Our Intellectual Property, Information Technology, Cybersecurity and Privacy, </w:t>
      </w:r>
      <w:r>
        <w:rPr>
          <w:rFonts w:ascii="Times New Roman" w:cs="Times New Roman" w:eastAsia="Times New Roman" w:hAnsi="Times New Roman"/>
          <w:sz w:val="18"/>
          <w:szCs w:val="18"/>
          <w:color w:val="auto"/>
        </w:rPr>
        <w:t>such as, our ability to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our proprietary technology and intellectual property; our reliance on information technology systems; the occurrence of a cybersecurity incident or other technology disruptions or failure to comply with the laws and regulations relating to privacy and the protection of individual data.</w:t>
      </w:r>
    </w:p>
    <w:p>
      <w:pPr>
        <w:spacing w:after="0" w:line="113"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4"/>
          </w:cols>
          <w:pgMar w:left="976" w:top="270" w:right="459" w:bottom="1440" w:gutter="0" w:footer="0" w:header="0"/>
        </w:sectPr>
      </w:pPr>
    </w:p>
    <w:bookmarkStart w:id="14" w:name="page15"/>
    <w:bookmarkEnd w:id="14"/>
    <w:p>
      <w:pPr>
        <w:ind w:left="424"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Related to Our Lease Obligations, Indebtedness, Financial Position and Need for Additional Capital</w:t>
      </w:r>
      <w:r>
        <w:rPr>
          <w:rFonts w:ascii="Times New Roman" w:cs="Times New Roman" w:eastAsia="Times New Roman" w:hAnsi="Times New Roman"/>
          <w:sz w:val="18"/>
          <w:szCs w:val="18"/>
          <w:color w:val="auto"/>
        </w:rPr>
        <w:t>, such as, delays or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overruns associated with the build out of our new Campus Headquarters and the impact of workforce reductions or other cost-reduction initiatives on our space demands; our ability to sublease, assign or otherwise transfer excess space; failure to meet our significant lease obligations or risks related to excess space capacity under our leases due to workforce reductions or other cost-reduction initiatives; risks related to our convertible senior notes; inability to access restricted cash that collateralizes letters of credit; sufficiency of our cash and cash equivalents to meet our liquidity needs; and failure to obtain additional financing or access capital markets to achieve our goals.</w:t>
      </w:r>
    </w:p>
    <w:p>
      <w:pPr>
        <w:spacing w:after="0" w:line="87" w:lineRule="exact"/>
        <w:rPr>
          <w:rFonts w:ascii="Times New Roman" w:cs="Times New Roman" w:eastAsia="Times New Roman" w:hAnsi="Times New Roman"/>
          <w:sz w:val="18"/>
          <w:szCs w:val="18"/>
          <w:color w:val="auto"/>
        </w:rPr>
      </w:pPr>
    </w:p>
    <w:p>
      <w:pPr>
        <w:ind w:left="424" w:right="200" w:hanging="424"/>
        <w:spacing w:after="0" w:line="28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the Environment, Climate and Weather</w:t>
      </w:r>
      <w:r>
        <w:rPr>
          <w:rFonts w:ascii="Times New Roman" w:cs="Times New Roman" w:eastAsia="Times New Roman" w:hAnsi="Times New Roman"/>
          <w:sz w:val="18"/>
          <w:szCs w:val="18"/>
          <w:color w:val="auto"/>
        </w:rPr>
        <w:t>, such as, a major natural disaster or severe weather event in areas where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or co-manufacturing facilities are located; and negative effects from climate changes.</w:t>
      </w:r>
    </w:p>
    <w:p>
      <w:pPr>
        <w:spacing w:after="0" w:line="60" w:lineRule="exact"/>
        <w:rPr>
          <w:rFonts w:ascii="Times New Roman" w:cs="Times New Roman" w:eastAsia="Times New Roman" w:hAnsi="Times New Roman"/>
          <w:sz w:val="18"/>
          <w:szCs w:val="18"/>
          <w:color w:val="auto"/>
        </w:rPr>
      </w:pPr>
    </w:p>
    <w:p>
      <w:pPr>
        <w:ind w:left="424" w:right="200" w:hanging="424"/>
        <w:spacing w:after="0" w:line="26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Being a Public Company</w:t>
      </w:r>
      <w:r>
        <w:rPr>
          <w:rFonts w:ascii="Times New Roman" w:cs="Times New Roman" w:eastAsia="Times New Roman" w:hAnsi="Times New Roman"/>
          <w:sz w:val="18"/>
          <w:szCs w:val="18"/>
          <w:color w:val="auto"/>
        </w:rPr>
        <w:t>, such as, the effectiveness of our internal controls; limitations in our internal control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undetected errors or fraud; and increased costs associated with complying with the requirements applicable to public companies.</w:t>
      </w:r>
    </w:p>
    <w:p>
      <w:pPr>
        <w:spacing w:after="0" w:line="76" w:lineRule="exact"/>
        <w:rPr>
          <w:rFonts w:ascii="Times New Roman" w:cs="Times New Roman" w:eastAsia="Times New Roman" w:hAnsi="Times New Roman"/>
          <w:sz w:val="18"/>
          <w:szCs w:val="18"/>
          <w:color w:val="auto"/>
        </w:rPr>
      </w:pPr>
    </w:p>
    <w:p>
      <w:pPr>
        <w:ind w:left="424" w:hanging="424"/>
        <w:spacing w:after="0" w:line="259"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Regulatory and Legal Compliance Matters, Litigation and Legal Proceedings</w:t>
      </w:r>
      <w:r>
        <w:rPr>
          <w:rFonts w:ascii="Times New Roman" w:cs="Times New Roman" w:eastAsia="Times New Roman" w:hAnsi="Times New Roman"/>
          <w:sz w:val="18"/>
          <w:szCs w:val="18"/>
          <w:color w:val="auto"/>
        </w:rPr>
        <w:t>, such as, FDA compliance;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government investigations and other regulatory enforcement actions; compliance with international regulations; changes in existing laws or regulations or the adoption of new laws or regulations; failure by our suppliers of raw materials or co-manufacturers to comply with food safety, environmental or other laws or with the specifications and requirements of our products; and ongoing litigation or legal proceedings.</w:t>
      </w:r>
    </w:p>
    <w:p>
      <w:pPr>
        <w:spacing w:after="0" w:line="84" w:lineRule="exact"/>
        <w:rPr>
          <w:rFonts w:ascii="Times New Roman" w:cs="Times New Roman" w:eastAsia="Times New Roman" w:hAnsi="Times New Roman"/>
          <w:sz w:val="18"/>
          <w:szCs w:val="18"/>
          <w:color w:val="auto"/>
        </w:rPr>
      </w:pPr>
    </w:p>
    <w:p>
      <w:pPr>
        <w:ind w:left="424" w:right="8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Risk Factors</w:t>
      </w:r>
      <w:r>
        <w:rPr>
          <w:rFonts w:ascii="Times New Roman" w:cs="Times New Roman" w:eastAsia="Times New Roman" w:hAnsi="Times New Roman"/>
          <w:sz w:val="18"/>
          <w:szCs w:val="18"/>
          <w:color w:val="auto"/>
        </w:rPr>
        <w:t>, such as, high volatility in our share price; reduction in our share price due to a substantial number of sales; decline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share price and trading volume due to adverse or misleading opinions by securities or industry analysts regarding our business; no history of paying dividends or plans to pay dividends to our stockholders in the foreseeable future; provisions included in our charter documents to delay or prevent a change in control of our company; limitation of stockholders’ ability to obtain a favorable judicial forum for disputes due to the exclusive forum provision in our restated certificate of incorporation and forum selection provision in our amended and restated bylaws; and limitation of our ability to utilize our federal net operating loss and tax credit carryforwards.</w:t>
      </w:r>
    </w:p>
    <w:p>
      <w:pPr>
        <w:spacing w:after="0" w:line="119"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4"/>
          </w:cols>
          <w:pgMar w:left="976" w:top="266" w:right="4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Annual Reports on Form 10-K,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“Note Regarding Forward-Looking Statements” included in our most recent Annual Report on Form 10-K and any subsequent Annual Reports on Form 10-K, Quarterly Reports on Form 10-Q or Current Reports on Form 8-K. When determining whether to invest, you should also refer to the other information contained or incorporated in this prospectus and in the applicable prospectus supplement and any applicable free writing prospectus.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6" w:name="page17"/>
    <w:bookmarkEnd w:id="16"/>
    <w:p>
      <w:pPr>
        <w:ind w:left="4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579"/>
          </w:cols>
          <w:pgMar w:left="880" w:top="266"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CAPITAL STOCK</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amended and restated bylaws, each of which has been publicly filed with the SEC. See “Where You Can Find More Information; Incorporation by Reference.”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authorized capital stock consists of 500,500,000 shares of capital stock, par value $0.0001 per share, of which:</w:t>
      </w:r>
    </w:p>
    <w:p>
      <w:pPr>
        <w:spacing w:after="0" w:line="131"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are designated as preferred stock.</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except as required by the listing standards of the Nasdaq Global Select Market (“Nasdaq”), to issue additional shares of our capital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February 28, 2024, we had 64,677,261 shares of common stock issued and outstanding.</w:t>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holder of common stock is entitled to one vote for each share on all matters submitted to a vote of the stockholders, including the election of directors. Our restated certificate of incorporation and amended and restated bylaws do not provide for cumulative voting rights. Because of this, the holders of a majority of the shares of common stock entitled to vote in any uncontested election of directors can elect all of the directors standing for election, if they should so choose;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holders of a plurality of the shares of common stock entitled to vote in any contested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one-third of the stock issued and outstanding and entitled to vote, present in person or represented by proxy, shall constitute a quorum for the transaction of business at all meetings of the stockholders.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18" w:name="page19"/>
    <w:bookmarkEnd w:id="18"/>
    <w:p>
      <w:pPr>
        <w:ind w:left="2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Fully Paid and Nonassessable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 Shareowner Services. The transfer agent and registrar’s address is 1110 Centre Point Curve, Mendota Heights, Minnesota 55120-4101.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decision to declare dividends in the future will be made at the discretion of our board of directors and will depend on, among other things, our results of operations, cash requirements, financial condition, contractual restrictions, and other factors that out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We had no shares of preferred stock outstanding as of February 28, 2024. Our board of directors has the authority, without further action by the stockholders, to issue up to 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will set forth in the applicable prospectus supplement a description of any preferred stock issued by us that may be offered and sold pursuant to this prospectus.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Restated Certificate of Incorporation and Our Amended and Restated Bylaws</w:t>
      </w:r>
    </w:p>
    <w:p>
      <w:pPr>
        <w:spacing w:after="0" w:line="5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in our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board of directors is divided into three classes, designated Class I, Class II, and Class III. Each class has an equal number of directors, as nearly as possible,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19" w:name="page20"/>
    <w:bookmarkEnd w:id="19"/>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consisting of one-third of the total number of directors constituting our entire board of directors. At each annual meeting of stockholders, successors to the class of directors whose term expires at that annual meeting will be elected for a three-year term.</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stockholders may only remove a director for cause by a vote of no less than two-thirds of the shares present in person or by proxy at the meeting and entitled to vote.</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restated certificate of incorporation authorizes only our board of directors to fill vacant directorships.</w:t>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restated certificate of incorporation provides that stockholders do not have the right to cumulate votes in the election of directors.</w:t>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except as otherwise required by law, special meetings of the stockholders may be called only by an officer at the request of a majority of our board of directors, by the chairperson of our board of directors, by the lead independent director or by our Chief Executive Officer.</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first anniversary of the preceding year’s annual meeting.</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Although the amended and restated bylaws do not give our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Amending our Certificate of Incorporation and Bylaws</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may be amended or altered in any manner provided by the Delaware General Corporation Law (the “DGCL”). Our amended and restated bylaws may be adopted, amended, altered, or repealed by stockholders only upon approval of at least a majority of the voting power of all the then outstanding shares of the common stock, except for any amendment of the above provisions, which would require the approval of a two-thirds majority of our then outstanding common stock. Additionally, our restated certificate of incorporation provides that our bylaws may be amended, altered, or repealed by our board of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left="2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but Unissued Shares</w:t>
      </w:r>
    </w:p>
    <w:p>
      <w:pPr>
        <w:spacing w:after="0" w:line="119"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to the selection of an alternative forum, the Court of Chancery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shall be the sole and exclusive forum for:</w:t>
      </w:r>
    </w:p>
    <w:p>
      <w:pPr>
        <w:spacing w:after="0" w:line="112"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or other wrongdoing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restated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restated certificate of incorporation or our amended and restated bylaws;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our amended and restated bylaws providing that stockholders will have been deemed to consent to the personal jurisdiction of the state and federal courts in the State of Delaware for such actions. In addition, our restated certification of incorporation provides, that with respect to any derivative action or proceeding brought on our behalf to enforce any liability or duty created by the Exchange Act or the rules and regulations thereunder, the exclusive forum will be the federal district courts of the United States of America.</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further provides that the federal district courts of the United States of America will be the exclusive forum for resolving any complaint asserting a cause of action arising under the Securities Act of 1933, as amended (the “Securities Act”).</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exclusive forum provisions described above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“BYND.”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440" w:top="270" w:right="5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DEBT SECURITIES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U.S. Bank Trust Company,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only, “Beyond Meat,” “we,” “our” or “us” refer to Beyond Meat, Inc. excluding our subsidiaries, unless expressly stated or the context otherwise requires.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960" w:right="6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3" w:name="page24"/>
    <w:bookmarkEnd w:id="23"/>
    <w:p>
      <w:pPr>
        <w:ind w:left="424" w:right="66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24"/>
          </w:cols>
          <w:pgMar w:left="976" w:top="270" w:right="499" w:bottom="1440" w:gutter="0" w:footer="0" w:header="0"/>
        </w:sectPr>
      </w:pPr>
    </w:p>
    <w:bookmarkStart w:id="24" w:name="page25"/>
    <w:bookmarkEnd w:id="24"/>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right="30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Certificated Debt Securities</w:t>
      </w:r>
      <w:r>
        <w:rPr>
          <w:rFonts w:ascii="Times New Roman" w:cs="Times New Roman" w:eastAsia="Times New Roman" w:hAnsi="Times New Roman"/>
          <w:sz w:val="17"/>
          <w:szCs w:val="17"/>
          <w:color w:val="auto"/>
        </w:rPr>
        <w:t>. You may transfer or exchange certificated debt securities at any office we maintain for this purpose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5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Depositary, and registered in the name of the Depositary or a nominee of the Depositary. Please see “Global Securities.”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Consolidation, Merger and Sale of Assets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960" w:right="40" w:hanging="424"/>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Beyond Meat) is a corporation, partnership, trust or other entity organized and validly existing under the laws of any U.S. domestic jurisdiction and expressly assumes our obligations on the debt securities and under the indenture;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960" w:right="16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Beyond Meat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Beyond Meat;</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26" w:name="page27"/>
    <w:bookmarkEnd w:id="2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960" w:right="14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62"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 (Section 6.13)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compliance with certain conditions:</w:t>
      </w:r>
    </w:p>
    <w:p>
      <w:pPr>
        <w:spacing w:after="0" w:line="66" w:lineRule="exact"/>
        <w:rPr>
          <w:sz w:val="20"/>
          <w:szCs w:val="20"/>
          <w:color w:val="auto"/>
        </w:rPr>
      </w:pPr>
    </w:p>
    <w:p>
      <w:pPr>
        <w:ind w:left="960" w:right="12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960" w:right="20" w:hanging="424"/>
        <w:spacing w:after="0" w:line="25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70"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Personal Liability of Directors, Officers, Employees or Securityholders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66" w:right="51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WARRANTS</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960" w:right="8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meeting of shareholders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Beyond Meat.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66" w:right="499" w:bottom="1440" w:gutter="0" w:footer="0" w:header="0"/>
        </w:sectPr>
      </w:pPr>
    </w:p>
    <w:bookmarkStart w:id="31" w:name="page32"/>
    <w:bookmarkEnd w:id="31"/>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440" w:top="270" w:right="55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PURCHASE CONTRACTS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40" w:top="266" w:right="539" w:bottom="1440" w:gutter="0" w:footer="0" w:header="0"/>
        </w:sectPr>
      </w:pPr>
    </w:p>
    <w:bookmarkStart w:id="33" w:name="page34"/>
    <w:bookmarkEnd w:id="3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UNITS</w:t>
      </w:r>
    </w:p>
    <w:p>
      <w:pPr>
        <w:spacing w:after="0" w:line="229"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440" w:top="266" w:right="5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35" w:name="page36"/>
    <w:bookmarkEnd w:id="35"/>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circumstances, in the event that a successor depositary is not obtained, securities certificates are required to be printed and delivered.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960" w:right="220" w:hanging="424"/>
        <w:spacing w:after="0" w:line="261"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Euroclear and Clearstream</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w:t>
      </w:r>
    </w:p>
    <w:p>
      <w:pPr>
        <w:ind w:right="20"/>
        <w:spacing w:after="0" w:line="252" w:lineRule="auto"/>
        <w:rPr>
          <w:sz w:val="20"/>
          <w:szCs w:val="20"/>
          <w:color w:val="auto"/>
        </w:rPr>
      </w:pPr>
      <w:r>
        <w:rPr>
          <w:rFonts w:ascii="Times New Roman" w:cs="Times New Roman" w:eastAsia="Times New Roman" w:hAnsi="Times New Roman"/>
          <w:sz w:val="18"/>
          <w:szCs w:val="18"/>
          <w:color w:val="auto"/>
        </w:rPr>
        <w:t>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common stock that we issue and sell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Beyond Meat,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Beyond Meat, Inc. incorporated by reference in this Prospectus, and the effectiveness of Beyond Meat,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440" w:top="266" w:right="579"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24" w:lineRule="exact"/>
        <w:rPr>
          <w:sz w:val="20"/>
          <w:szCs w:val="20"/>
          <w:color w:val="auto"/>
        </w:rPr>
      </w:pPr>
    </w:p>
    <w:tbl>
      <w:tblPr>
        <w:tblLayout w:type="fixed"/>
        <w:tblInd w:w="1764"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36,900</w:t>
            </w:r>
            <w:r>
              <w:rPr>
                <w:rFonts w:ascii="Times New Roman" w:cs="Times New Roman" w:eastAsia="Times New Roman" w:hAnsi="Times New Roman"/>
                <w:sz w:val="26"/>
                <w:szCs w:val="26"/>
                <w:color w:val="auto"/>
                <w:w w:val="91"/>
                <w:vertAlign w:val="superscript"/>
              </w:rPr>
              <w:t>(1)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line="226"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a registration fee of $22,040 previously paid by the Company in connection with the filing of a prospectus supplement (the “Prospectus Supplement”), dated May 11, 2023 to a prospectus, dated May 10, 2023, constituting part of the Company’s registration statement on Form S-3ASR (File No. 333-271809) relating to the offer and sale of up to $200,000,000 of the Company’s common stock, par value $0.0001 per share (the “Common Stock”), for which a filing fee of $22,040 was paid based on the fee rate then in effect. All such shares of Common Stock remain unsold, resulting in an offset fee amount of $22,040. Pursuant to Rule 457(p), the registrant is offsetting $22,040 of the fees associated with this registration statement from the filing fee previously paid in connection with the Prospectus Supplement.</w:t>
      </w:r>
    </w:p>
    <w:p>
      <w:pPr>
        <w:ind w:left="424"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33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4"/>
          </w:cols>
          <w:pgMar w:left="436" w:top="266" w:right="459" w:bottom="1440" w:gutter="0" w:footer="0" w:header="0"/>
        </w:sectPr>
      </w:pPr>
    </w:p>
    <w:bookmarkStart w:id="42" w:name="page43"/>
    <w:bookmarkEnd w:id="42"/>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4"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4" w:right="160" w:hanging="4"/>
        <w:spacing w:after="0" w:line="260"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81"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(i) to our directors and officers against loss arising from claims made by reason of breach of duty or other wrongful act, and (ii) to us with respect to payments we may make to our officers and directors pursuant to the above indemnification provision or otherwise as a matter of law.</w:t>
      </w:r>
    </w:p>
    <w:p>
      <w:pPr>
        <w:spacing w:after="0" w:line="176"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and may indemnify our employees and other agents, to the fullest extent permitted by Delaware law.</w:t>
      </w:r>
    </w:p>
    <w:p>
      <w:pPr>
        <w:spacing w:after="0" w:line="162"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w:t>
      </w:r>
    </w:p>
    <w:p>
      <w:pPr>
        <w:spacing w:after="0" w:line="19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4"/>
          </w:cols>
          <w:pgMar w:left="436" w:top="270" w:right="43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16. </w:t>
      </w:r>
      <w:r>
        <w:rPr>
          <w:rFonts w:ascii="Times New Roman" w:cs="Times New Roman" w:eastAsia="Times New Roman" w:hAnsi="Times New Roman"/>
          <w:sz w:val="18"/>
          <w:szCs w:val="18"/>
          <w:b w:val="1"/>
          <w:bCs w:val="1"/>
          <w:i w:val="1"/>
          <w:iCs w:val="1"/>
          <w:color w:val="auto"/>
        </w:rPr>
        <w:t>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780" w:type="dxa"/>
            <w:vAlign w:val="bottom"/>
            <w:gridSpan w:val="13"/>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8"/>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1.1*</w:t>
            </w:r>
          </w:p>
        </w:tc>
        <w:tc>
          <w:tcPr>
            <w:tcW w:w="1240" w:type="dxa"/>
            <w:vAlign w:val="bottom"/>
          </w:tcPr>
          <w:p>
            <w:pPr>
              <w:spacing w:after="0"/>
              <w:rPr>
                <w:sz w:val="24"/>
                <w:szCs w:val="24"/>
                <w:color w:val="auto"/>
              </w:rPr>
            </w:pPr>
          </w:p>
        </w:tc>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00" w:type="dxa"/>
            <w:vAlign w:val="bottom"/>
            <w:tcBorders>
              <w:top w:val="single" w:sz="8" w:color="auto"/>
            </w:tcBorders>
            <w:gridSpan w:val="2"/>
          </w:tcPr>
          <w:p>
            <w:pPr>
              <w:spacing w:after="0"/>
              <w:rPr>
                <w:sz w:val="24"/>
                <w:szCs w:val="24"/>
                <w:color w:val="auto"/>
              </w:rPr>
            </w:pPr>
          </w:p>
        </w:tc>
        <w:tc>
          <w:tcPr>
            <w:tcW w:w="3880" w:type="dxa"/>
            <w:vAlign w:val="bottom"/>
            <w:gridSpan w:val="10"/>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1240" w:type="dxa"/>
            <w:vAlign w:val="bottom"/>
          </w:tcPr>
          <w:p>
            <w:pPr>
              <w:spacing w:after="0"/>
              <w:rPr>
                <w:sz w:val="24"/>
                <w:szCs w:val="24"/>
                <w:color w:val="auto"/>
              </w:rPr>
            </w:pPr>
          </w:p>
        </w:tc>
        <w:tc>
          <w:tcPr>
            <w:tcW w:w="84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Equity Distribution Agreement, dated May 10, 2023, by and between the Company and Goldman Sachs &amp; Co. LLC</w:t>
              </w:r>
            </w:hyperlink>
          </w:p>
        </w:tc>
        <w:tc>
          <w:tcPr>
            <w:tcW w:w="2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(incorporated by reference to the Company’s Current Report on Form 8-K, filed with the SEC on May 11, 2023).</w:t>
              </w:r>
            </w:hyperlink>
          </w:p>
        </w:tc>
        <w:tc>
          <w:tcPr>
            <w:tcW w:w="48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240" w:type="dxa"/>
            <w:vAlign w:val="bottom"/>
          </w:tcPr>
          <w:p>
            <w:pPr>
              <w:spacing w:after="0"/>
              <w:rPr>
                <w:sz w:val="24"/>
                <w:szCs w:val="24"/>
                <w:color w:val="auto"/>
              </w:rPr>
            </w:pPr>
          </w:p>
        </w:tc>
        <w:tc>
          <w:tcPr>
            <w:tcW w:w="8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Restated Certificate of Incorporation of Beyond Meat, Inc. (incorporated by reference to the Company’s Form 10-Q for</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20" w:type="dxa"/>
            <w:vAlign w:val="bottom"/>
            <w:gridSpan w:val="1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the quarterly period ended March 30, 2019, filed with the SEC on June 12, 2019) (File No. 001-38879).</w:t>
              </w:r>
            </w:hyperlink>
          </w:p>
        </w:tc>
      </w:tr>
      <w:tr>
        <w:trPr>
          <w:trHeight w:val="20"/>
        </w:trPr>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240" w:type="dxa"/>
            <w:vAlign w:val="bottom"/>
          </w:tcPr>
          <w:p>
            <w:pPr>
              <w:spacing w:after="0"/>
              <w:rPr>
                <w:sz w:val="24"/>
                <w:szCs w:val="24"/>
                <w:color w:val="auto"/>
              </w:rPr>
            </w:pPr>
          </w:p>
        </w:tc>
        <w:tc>
          <w:tcPr>
            <w:tcW w:w="8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and Restated Bylaws of Beyond Meat, Inc. (incorporated by reference to the Company’s Current Report on</w:t>
              </w:r>
            </w:hyperlink>
          </w:p>
        </w:tc>
        <w:tc>
          <w:tcPr>
            <w:tcW w:w="16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8-K, filed with the SEC on February 13, 2024).</w:t>
              </w:r>
            </w:hyperlink>
          </w:p>
        </w:tc>
        <w:tc>
          <w:tcPr>
            <w:tcW w:w="4780" w:type="dxa"/>
            <w:vAlign w:val="bottom"/>
            <w:gridSpan w:val="1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240" w:type="dxa"/>
            <w:vAlign w:val="bottom"/>
          </w:tcPr>
          <w:p>
            <w:pPr>
              <w:spacing w:after="0"/>
              <w:rPr>
                <w:sz w:val="24"/>
                <w:szCs w:val="24"/>
                <w:color w:val="auto"/>
              </w:rPr>
            </w:pPr>
          </w:p>
        </w:tc>
        <w:tc>
          <w:tcPr>
            <w:tcW w:w="8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Common Stock Certificate (incorporated by reference to the Company’s registration statement on Form S-1/A</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filed with the SEC on March 27, 2019) (File No. 333-228453).</w:t>
              </w:r>
            </w:hyperlink>
          </w:p>
        </w:tc>
        <w:tc>
          <w:tcPr>
            <w:tcW w:w="4100" w:type="dxa"/>
            <w:vAlign w:val="bottom"/>
            <w:gridSpan w:val="11"/>
          </w:tcPr>
          <w:p>
            <w:pPr>
              <w:spacing w:after="0"/>
              <w:rPr>
                <w:sz w:val="17"/>
                <w:szCs w:val="17"/>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Specimen Certificate Representing Preferred Stock.</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Indenture.</w:t>
            </w:r>
          </w:p>
        </w:tc>
      </w:tr>
      <w:tr>
        <w:trPr>
          <w:trHeight w:val="20"/>
        </w:trPr>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Opinion of Latham &amp; Watkins LLP.</w:t>
            </w:r>
          </w:p>
        </w:tc>
      </w:tr>
      <w:tr>
        <w:trPr>
          <w:trHeight w:val="20"/>
        </w:trPr>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2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 accounting firm.</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40" w:type="dxa"/>
            <w:vAlign w:val="bottom"/>
          </w:tcPr>
          <w:p>
            <w:pPr>
              <w:spacing w:after="0"/>
              <w:rPr>
                <w:sz w:val="24"/>
                <w:szCs w:val="24"/>
                <w:color w:val="auto"/>
              </w:rPr>
            </w:pPr>
          </w:p>
        </w:tc>
        <w:tc>
          <w:tcPr>
            <w:tcW w:w="55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Powers of Attorney (incorporated by reference to the signature page hereto).</w:t>
            </w:r>
          </w:p>
        </w:tc>
        <w:tc>
          <w:tcPr>
            <w:tcW w:w="460" w:type="dxa"/>
            <w:vAlign w:val="bottom"/>
            <w:tcBorders>
              <w:top w:val="single" w:sz="8" w:color="0000EE"/>
            </w:tcBorders>
            <w:gridSpan w:val="2"/>
          </w:tcPr>
          <w:p>
            <w:pPr>
              <w:spacing w:after="0"/>
              <w:rPr>
                <w:sz w:val="24"/>
                <w:szCs w:val="24"/>
                <w:color w:val="auto"/>
              </w:rPr>
            </w:pPr>
          </w:p>
        </w:tc>
        <w:tc>
          <w:tcPr>
            <w:tcW w:w="2660" w:type="dxa"/>
            <w:vAlign w:val="bottom"/>
            <w:gridSpan w:val="7"/>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40" w:type="dxa"/>
            <w:vAlign w:val="bottom"/>
          </w:tcPr>
          <w:p>
            <w:pPr>
              <w:spacing w:after="0"/>
              <w:rPr>
                <w:sz w:val="24"/>
                <w:szCs w:val="24"/>
                <w:color w:val="auto"/>
              </w:rPr>
            </w:pPr>
          </w:p>
        </w:tc>
        <w:tc>
          <w:tcPr>
            <w:tcW w:w="8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Statement of Eligibility on Form T-1 under the Trust Indenture Act of 1939, as amended, of U.S. Bank Trust Company,</w:t>
            </w:r>
          </w:p>
        </w:tc>
      </w:tr>
      <w:tr>
        <w:trPr>
          <w:trHeight w:val="196"/>
        </w:trPr>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National Association, as trustee under the indenture filed as Exhibit 4.3 above.</w:t>
            </w:r>
          </w:p>
        </w:tc>
        <w:tc>
          <w:tcPr>
            <w:tcW w:w="2960" w:type="dxa"/>
            <w:vAlign w:val="bottom"/>
            <w:gridSpan w:val="8"/>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7400" w:type="dxa"/>
            <w:vAlign w:val="bottom"/>
            <w:gridSpan w:val="1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124" w:hanging="261"/>
        <w:spacing w:after="0"/>
        <w:tabs>
          <w:tab w:leader="none" w:pos="11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984" w:firstLine="408"/>
        <w:spacing w:after="0" w:line="258" w:lineRule="auto"/>
        <w:tabs>
          <w:tab w:leader="none" w:pos="16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44"/>
          </w:cols>
          <w:pgMar w:left="436" w:top="266" w:right="519" w:bottom="1440" w:gutter="0" w:footer="0" w:header="0"/>
        </w:sectPr>
      </w:pPr>
    </w:p>
    <w:bookmarkStart w:id="44" w:name="page45"/>
    <w:bookmarkEnd w:id="44"/>
    <w:p>
      <w:pPr>
        <w:ind w:left="5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8" w:lineRule="exact"/>
        <w:rPr>
          <w:sz w:val="20"/>
          <w:szCs w:val="20"/>
          <w:color w:val="auto"/>
        </w:rPr>
      </w:pPr>
    </w:p>
    <w:p>
      <w:pPr>
        <w:ind w:left="540" w:right="80" w:firstLine="408"/>
        <w:spacing w:after="0" w:line="282" w:lineRule="auto"/>
        <w:tabs>
          <w:tab w:leader="none" w:pos="12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4" w:lineRule="exact"/>
        <w:rPr>
          <w:sz w:val="20"/>
          <w:szCs w:val="20"/>
          <w:color w:val="auto"/>
        </w:rPr>
      </w:pPr>
    </w:p>
    <w:p>
      <w:pPr>
        <w:jc w:val="both"/>
        <w:ind w:right="40" w:firstLine="419"/>
        <w:spacing w:after="0" w:line="266"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5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54" w:lineRule="exact"/>
        <w:rPr>
          <w:sz w:val="20"/>
          <w:szCs w:val="20"/>
          <w:color w:val="auto"/>
        </w:rPr>
      </w:pPr>
    </w:p>
    <w:p>
      <w:pPr>
        <w:ind w:left="540" w:firstLine="401"/>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2" w:lineRule="exact"/>
        <w:rPr>
          <w:sz w:val="20"/>
          <w:szCs w:val="20"/>
          <w:color w:val="auto"/>
        </w:rPr>
      </w:pPr>
    </w:p>
    <w:p>
      <w:pPr>
        <w:ind w:left="540" w:right="360" w:firstLine="408"/>
        <w:spacing w:after="0" w:line="282" w:lineRule="auto"/>
        <w:tabs>
          <w:tab w:leader="none" w:pos="11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580"/>
          </w:cols>
          <w:pgMar w:left="880" w:top="270" w:right="439" w:bottom="1440" w:gutter="0" w:footer="0" w:header="0"/>
        </w:sectPr>
      </w:pPr>
    </w:p>
    <w:bookmarkStart w:id="45" w:name="page46"/>
    <w:bookmarkEnd w:id="45"/>
    <w:p>
      <w:pPr>
        <w:ind w:left="980" w:right="120" w:firstLine="408"/>
        <w:spacing w:after="0" w:line="282" w:lineRule="auto"/>
        <w:tabs>
          <w:tab w:leader="none" w:pos="16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communications that is an offer in the offering made by the undersigned registrant to the purchaser.</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40"/>
          </w:cols>
          <w:pgMar w:left="440" w:top="270" w:right="5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El Segundo, State of California, on March 18,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Ethan Brown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Ethan Brown and Lubi Kutua,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2520" w:type="dxa"/>
            <w:vAlign w:val="bottom"/>
          </w:tcPr>
          <w:p>
            <w:pPr>
              <w:spacing w:after="0"/>
              <w:rPr>
                <w:sz w:val="15"/>
                <w:szCs w:val="15"/>
                <w:color w:val="auto"/>
              </w:rPr>
            </w:pP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Ethan Brown</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Ethan Brown</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Lubi Kutua</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 and</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1500" w:type="dxa"/>
            <w:vAlign w:val="bottom"/>
          </w:tcPr>
          <w:p>
            <w:pPr>
              <w:spacing w:after="0"/>
              <w:rPr>
                <w:sz w:val="19"/>
                <w:szCs w:val="19"/>
                <w:color w:val="auto"/>
              </w:rPr>
            </w:pPr>
          </w:p>
        </w:tc>
        <w:tc>
          <w:tcPr>
            <w:tcW w:w="23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Lubi Kutua</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Seth Goldman</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 of the Board</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Seth Goldman</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Sally Grimes</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Sally Grimes</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Colleen Jay</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1500" w:type="dxa"/>
            <w:vAlign w:val="bottom"/>
          </w:tcPr>
          <w:p>
            <w:pPr>
              <w:spacing w:after="0"/>
              <w:rPr>
                <w:sz w:val="19"/>
                <w:szCs w:val="19"/>
                <w:color w:val="auto"/>
              </w:rPr>
            </w:pPr>
          </w:p>
        </w:tc>
        <w:tc>
          <w:tcPr>
            <w:tcW w:w="23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Colleen Jay</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 James Koch</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 James Koch</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3920" w:type="dxa"/>
            <w:vAlign w:val="bottom"/>
            <w:gridSpan w:val="3"/>
          </w:tcPr>
          <w:p>
            <w:pPr>
              <w:jc w:val="center"/>
              <w:ind w:left="2694"/>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Raymond J. Lane</w:t>
            </w: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gridSpan w:val="3"/>
          </w:tcPr>
          <w:p>
            <w:pPr>
              <w:jc w:val="center"/>
              <w:ind w:left="2694"/>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Raymond J. Lane</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Muktesh Pant</w:t>
            </w: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gridSpan w:val="3"/>
          </w:tcPr>
          <w:p>
            <w:pPr>
              <w:jc w:val="center"/>
              <w:ind w:left="2694"/>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Muktesh Pant</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Ned Segal</w:t>
            </w: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gridSpan w:val="3"/>
          </w:tcPr>
          <w:p>
            <w:pPr>
              <w:jc w:val="center"/>
              <w:ind w:left="2694"/>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1500" w:type="dxa"/>
            <w:vAlign w:val="bottom"/>
          </w:tcPr>
          <w:p>
            <w:pPr>
              <w:spacing w:after="0"/>
              <w:rPr>
                <w:sz w:val="19"/>
                <w:szCs w:val="19"/>
                <w:color w:val="auto"/>
              </w:rPr>
            </w:pPr>
          </w:p>
        </w:tc>
        <w:tc>
          <w:tcPr>
            <w:tcW w:w="23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Ned Segal</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Kathy N. Waller</w:t>
            </w: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gridSpan w:val="3"/>
          </w:tcPr>
          <w:p>
            <w:pPr>
              <w:jc w:val="center"/>
              <w:ind w:left="2694"/>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28"/>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Kathy N. Waller</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0600"/>
          </w:cols>
          <w:pgMar w:left="440" w:top="263" w:right="8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of 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Issuable in Series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Registrar, Paying Agent and Notice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and Exchange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Treasury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Temporary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 Cancellation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 Defaulted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2.14. Global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2.15. CUSIP Numbers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  Notice to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  Selection of Securities to be Redeemed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3.3.  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3.4.  Effect of 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3.5.  Deposit of Redemption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3.6.  Securities Redeemed in Part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4.1.  Payment of Principal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Reports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4.4.  Stay, Extension and Usury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  When Company May Merge,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5.2.  Successor Corporation Substituted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Suits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6.10. Rights and Remedies Cumulative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6.11. Delay or Omission Not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6.12. Control by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6.13. Waiver of Past Defaults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6.14. Undertaking for Costs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of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7.10. Eligibility; Disqualification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7.11. Preferential Collection of Claims Against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Protected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Trust Indenture Act Controls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Holidays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10.10. Governing Law; Waiver of Jury Trial; Consent to Jurisdiction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10.11. No Adverse Interpretation of Other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10.12. Successors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10.13. Severability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10.14. Table of Contents, Headings,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10.15. Securities in a Foreign Currency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10.16. Judgment Currency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10.17. Force Majeure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10.18. U.S.A. Patriot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11.1.  Applicability of Article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11.2.  Satisfaction of Sinking Fund Payments with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57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BEYOND MEAT, INC.</w:t>
            </w:r>
          </w:p>
        </w:tc>
      </w:tr>
      <w:tr>
        <w:trPr>
          <w:trHeight w:val="414"/>
        </w:trPr>
        <w:tc>
          <w:tcPr>
            <w:tcW w:w="2020" w:type="dxa"/>
            <w:vAlign w:val="bottom"/>
          </w:tcPr>
          <w:p>
            <w:pPr>
              <w:spacing w:after="0"/>
              <w:rPr>
                <w:sz w:val="24"/>
                <w:szCs w:val="24"/>
                <w:color w:val="auto"/>
              </w:rPr>
            </w:pPr>
          </w:p>
        </w:tc>
        <w:tc>
          <w:tcPr>
            <w:tcW w:w="5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and</w:t>
            </w:r>
          </w:p>
        </w:tc>
      </w:tr>
      <w:tr>
        <w:trPr>
          <w:trHeight w:val="234"/>
        </w:trPr>
        <w:tc>
          <w:tcPr>
            <w:tcW w:w="2020" w:type="dxa"/>
            <w:vAlign w:val="bottom"/>
          </w:tcPr>
          <w:p>
            <w:pPr>
              <w:spacing w:after="0"/>
              <w:rPr>
                <w:sz w:val="20"/>
                <w:szCs w:val="20"/>
                <w:color w:val="auto"/>
              </w:rPr>
            </w:pPr>
          </w:p>
        </w:tc>
        <w:tc>
          <w:tcPr>
            <w:tcW w:w="5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Indenture, dated as of ____________, 20__</w:t>
            </w:r>
          </w:p>
        </w:tc>
      </w:tr>
      <w:tr>
        <w:trPr>
          <w:trHeight w:val="44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310(a)(1)</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311(a)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312(a)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313(a)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(b)(1)</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314(a)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315(a)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316(a)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317(a)(1)</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318(a)</w:t>
            </w:r>
          </w:p>
        </w:tc>
        <w:tc>
          <w:tcPr>
            <w:tcW w:w="578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__________, 20__ between BEYOND MEAT, INC., a company incorporated under the laws of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U.S. BANK TRUST COMPANY, NATIONAL ASSOCIATION, a national banking association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2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 and delivered to the Trustee.</w:t>
      </w:r>
    </w:p>
    <w:p>
      <w:pPr>
        <w:spacing w:after="0" w:line="225" w:lineRule="exact"/>
        <w:rPr>
          <w:sz w:val="20"/>
          <w:szCs w:val="20"/>
          <w:color w:val="auto"/>
        </w:rPr>
      </w:pPr>
    </w:p>
    <w:p>
      <w:pPr>
        <w:ind w:right="7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passage of time or both would be, an Event of Default.</w:t>
      </w:r>
    </w:p>
    <w:p>
      <w:pPr>
        <w:sectPr>
          <w:pgSz w:w="11900" w:h="16838" w:orient="portrait"/>
          <w:cols w:equalWidth="0" w:num="1">
            <w:col w:w="11000"/>
          </w:cols>
          <w:pgMar w:left="440" w:top="270" w:right="459" w:bottom="1440" w:gutter="0" w:footer="0" w:header="0"/>
        </w:sectPr>
      </w:pPr>
    </w:p>
    <w:bookmarkStart w:id="54" w:name="page55"/>
    <w:bookmarkEnd w:id="54"/>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ind w:right="2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3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on the Registrar’s books.</w:t>
      </w:r>
    </w:p>
    <w:p>
      <w:pPr>
        <w:spacing w:after="0" w:line="22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55" w:name="page56"/>
    <w:bookmarkEnd w:id="55"/>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this Indenture.</w:t>
      </w:r>
    </w:p>
    <w:p>
      <w:pPr>
        <w:spacing w:after="0" w:line="22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ind w:right="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158"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5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56" w:name="page57"/>
    <w:bookmarkEnd w:id="56"/>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w:t>
            </w:r>
          </w:p>
        </w:tc>
        <w:tc>
          <w:tcPr>
            <w:tcW w:w="320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183"/>
        </w:trPr>
        <w:tc>
          <w:tcPr>
            <w:tcW w:w="4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75"/>
              </w:rPr>
              <w:t>“</w:t>
            </w:r>
            <w:r>
              <w:rPr>
                <w:rFonts w:ascii="Times New Roman" w:cs="Times New Roman" w:eastAsia="Times New Roman" w:hAnsi="Times New Roman"/>
                <w:sz w:val="18"/>
                <w:szCs w:val="18"/>
                <w:i w:val="1"/>
                <w:iCs w:val="1"/>
                <w:color w:val="auto"/>
                <w:w w:val="75"/>
              </w:rPr>
              <w:t>Agent</w:t>
            </w:r>
          </w:p>
        </w:tc>
        <w:tc>
          <w:tcPr>
            <w:tcW w:w="38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i w:val="1"/>
                <w:iCs w:val="1"/>
                <w:color w:val="auto"/>
              </w:rPr>
              <w:t>Member</w:t>
            </w:r>
            <w:r>
              <w:rPr>
                <w:rFonts w:ascii="Times New Roman" w:cs="Times New Roman" w:eastAsia="Times New Roman" w:hAnsi="Times New Roman"/>
                <w:sz w:val="18"/>
                <w:szCs w:val="18"/>
                <w:color w:val="auto"/>
              </w:rPr>
              <w:t>”</w:t>
            </w:r>
          </w:p>
        </w:tc>
        <w:tc>
          <w:tcPr>
            <w:tcW w:w="1740" w:type="dxa"/>
            <w:vAlign w:val="bottom"/>
          </w:tcPr>
          <w:p>
            <w:pPr>
              <w:spacing w:after="0"/>
              <w:rPr>
                <w:sz w:val="15"/>
                <w:szCs w:val="15"/>
                <w:color w:val="auto"/>
              </w:rPr>
            </w:pPr>
          </w:p>
        </w:tc>
        <w:tc>
          <w:tcPr>
            <w:tcW w:w="14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2.14.6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3200" w:type="dxa"/>
            <w:vAlign w:val="bottom"/>
            <w:gridSpan w:val="2"/>
          </w:tcPr>
          <w:p>
            <w:pPr>
              <w:jc w:val="center"/>
              <w:ind w:left="1671"/>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3200" w:type="dxa"/>
            <w:vAlign w:val="bottom"/>
            <w:gridSpan w:val="2"/>
          </w:tcPr>
          <w:p>
            <w:pPr>
              <w:jc w:val="center"/>
              <w:ind w:left="1671"/>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3200" w:type="dxa"/>
            <w:vAlign w:val="bottom"/>
            <w:gridSpan w:val="2"/>
          </w:tcPr>
          <w:p>
            <w:pPr>
              <w:jc w:val="center"/>
              <w:ind w:left="1671"/>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3200" w:type="dxa"/>
            <w:vAlign w:val="bottom"/>
            <w:gridSpan w:val="2"/>
          </w:tcPr>
          <w:p>
            <w:pPr>
              <w:jc w:val="center"/>
              <w:ind w:left="1671"/>
              <w:spacing w:after="0"/>
              <w:rPr>
                <w:sz w:val="20"/>
                <w:szCs w:val="20"/>
                <w:color w:val="auto"/>
              </w:rPr>
            </w:pPr>
            <w:r>
              <w:rPr>
                <w:rFonts w:ascii="Times New Roman" w:cs="Times New Roman" w:eastAsia="Times New Roman" w:hAnsi="Times New Roman"/>
                <w:sz w:val="18"/>
                <w:szCs w:val="18"/>
                <w:color w:val="auto"/>
                <w:w w:val="98"/>
              </w:rPr>
              <w:t>10.10</w:t>
            </w:r>
          </w:p>
        </w:tc>
      </w:tr>
      <w:tr>
        <w:trPr>
          <w:trHeight w:val="23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3200" w:type="dxa"/>
            <w:vAlign w:val="bottom"/>
            <w:gridSpan w:val="2"/>
          </w:tcPr>
          <w:p>
            <w:pPr>
              <w:jc w:val="center"/>
              <w:ind w:left="1651"/>
              <w:spacing w:after="0"/>
              <w:rPr>
                <w:sz w:val="20"/>
                <w:szCs w:val="20"/>
                <w:color w:val="auto"/>
              </w:rPr>
            </w:pPr>
            <w:r>
              <w:rPr>
                <w:rFonts w:ascii="Times New Roman" w:cs="Times New Roman" w:eastAsia="Times New Roman" w:hAnsi="Times New Roman"/>
                <w:sz w:val="18"/>
                <w:szCs w:val="18"/>
                <w:color w:val="auto"/>
                <w:w w:val="97"/>
              </w:rPr>
              <w:t>5.1</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220" w:hanging="25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22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left="540" w:right="160" w:firstLine="425"/>
        <w:spacing w:after="0" w:line="282" w:lineRule="auto"/>
        <w:tabs>
          <w:tab w:leader="none" w:pos="11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and the words “to” and “until” each mean “to but excluding”; and</w:t>
      </w:r>
    </w:p>
    <w:p>
      <w:pPr>
        <w:spacing w:after="0" w:line="161" w:lineRule="exact"/>
        <w:rPr>
          <w:rFonts w:ascii="Times New Roman" w:cs="Times New Roman" w:eastAsia="Times New Roman" w:hAnsi="Times New Roman"/>
          <w:sz w:val="18"/>
          <w:szCs w:val="18"/>
          <w:color w:val="auto"/>
        </w:rPr>
      </w:pPr>
    </w:p>
    <w:p>
      <w:pPr>
        <w:ind w:left="540" w:right="400" w:firstLine="425"/>
        <w:spacing w:after="0" w:line="282" w:lineRule="auto"/>
        <w:tabs>
          <w:tab w:leader="none" w:pos="12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writing” as used herein shall be deemed to include PDFs, e-mails and other electronic means of transmission, unless otherwise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58" w:name="page59"/>
    <w:bookmarkEnd w:id="58"/>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80"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9" w:name="page60"/>
    <w:bookmarkEnd w:id="59"/>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applicable to Securities of the Series;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60" w:name="page61"/>
    <w:bookmarkEnd w:id="6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61" w:name="page62"/>
    <w:bookmarkEnd w:id="6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10.4 and 10.5, and (c) an Opinion of Counsel complying with Sections 10.4 and 10.5.</w:t>
      </w:r>
    </w:p>
    <w:p>
      <w:pPr>
        <w:spacing w:after="0" w:line="20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Paying Agent and Notice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serve as Registrar or Paying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2" w:name="page63"/>
    <w:bookmarkEnd w:id="6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6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4" w:name="page65"/>
    <w:bookmarkEnd w:id="64"/>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6" w:name="page67"/>
    <w:bookmarkEnd w:id="66"/>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7" w:name="page68"/>
    <w:bookmarkEnd w:id="67"/>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220" w:hanging="255"/>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jc w:val="both"/>
        <w:ind w:left="540" w:right="260" w:firstLine="425"/>
        <w:spacing w:after="0" w:line="266" w:lineRule="auto"/>
        <w:tabs>
          <w:tab w:leader="none" w:pos="12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9" w:name="page70"/>
    <w:bookmarkEnd w:id="69"/>
    <w:p>
      <w:pPr>
        <w:ind w:left="1220" w:hanging="255"/>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540" w:right="340" w:firstLine="425"/>
        <w:spacing w:after="0" w:line="282" w:lineRule="auto"/>
        <w:tabs>
          <w:tab w:leader="none" w:pos="11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16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jc w:val="both"/>
        <w:ind w:left="540" w:right="260" w:firstLine="425"/>
        <w:spacing w:after="0" w:line="266" w:lineRule="auto"/>
        <w:tabs>
          <w:tab w:leader="none" w:pos="12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17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72" w:name="page73"/>
    <w:bookmarkEnd w:id="7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75" w:lineRule="exact"/>
        <w:rPr>
          <w:sz w:val="20"/>
          <w:szCs w:val="20"/>
          <w:color w:val="auto"/>
        </w:rPr>
      </w:pPr>
    </w:p>
    <w:p>
      <w:pPr>
        <w:jc w:val="both"/>
        <w:ind w:left="540" w:firstLine="425"/>
        <w:spacing w:after="0" w:line="277" w:lineRule="auto"/>
        <w:tabs>
          <w:tab w:leader="none" w:pos="12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such period);</w:t>
      </w:r>
    </w:p>
    <w:p>
      <w:pPr>
        <w:spacing w:after="0" w:line="4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ind w:left="540" w:right="160" w:firstLine="425"/>
        <w:spacing w:after="0" w:line="256" w:lineRule="auto"/>
        <w:tabs>
          <w:tab w:leader="none" w:pos="12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8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560" w:hanging="220"/>
        <w:spacing w:after="0"/>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660" w:hanging="320"/>
        <w:spacing w:after="0"/>
        <w:tabs>
          <w:tab w:leader="none" w:pos="1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560" w:hanging="220"/>
        <w:spacing w:after="0"/>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660" w:hanging="320"/>
        <w:spacing w:after="0"/>
        <w:tabs>
          <w:tab w:leader="none" w:pos="1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70" w:right="539" w:bottom="1440" w:gutter="0" w:footer="0" w:header="0"/>
        </w:sectPr>
      </w:pPr>
    </w:p>
    <w:bookmarkStart w:id="73" w:name="page74"/>
    <w:bookmarkEnd w:id="73"/>
    <w:p>
      <w:pPr>
        <w:ind w:left="540" w:right="120" w:firstLine="425"/>
        <w:spacing w:after="0" w:line="282" w:lineRule="auto"/>
        <w:tabs>
          <w:tab w:leader="none" w:pos="11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7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540" w:right="40" w:firstLine="425"/>
        <w:spacing w:after="0" w:line="282" w:lineRule="auto"/>
        <w:tabs>
          <w:tab w:leader="none" w:pos="12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74" w:name="page75"/>
    <w:bookmarkEnd w:id="74"/>
    <w:p>
      <w:pPr>
        <w:ind w:left="1220" w:hanging="255"/>
        <w:spacing w:after="0"/>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ind w:left="540" w:right="260" w:firstLine="425"/>
        <w:spacing w:after="0" w:line="261" w:lineRule="auto"/>
        <w:tabs>
          <w:tab w:leader="none" w:pos="12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5" w:name="page76"/>
    <w:bookmarkEnd w:id="75"/>
    <w:p>
      <w:pPr>
        <w:ind w:left="540" w:right="60" w:firstLine="425"/>
        <w:spacing w:after="0" w:line="258" w:lineRule="auto"/>
        <w:tabs>
          <w:tab w:leader="none" w:pos="12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220" w:hanging="255"/>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6" w:name="page77"/>
    <w:bookmarkEnd w:id="76"/>
    <w:p>
      <w:pPr>
        <w:ind w:left="540" w:right="120" w:firstLine="425"/>
        <w:spacing w:after="0" w:line="282" w:lineRule="auto"/>
        <w:tabs>
          <w:tab w:leader="none" w:pos="12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540" w:right="380" w:firstLine="425"/>
        <w:spacing w:after="0" w:line="282" w:lineRule="auto"/>
        <w:tabs>
          <w:tab w:leader="none" w:pos="12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6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540" w:firstLine="425"/>
        <w:spacing w:after="0" w:line="282" w:lineRule="auto"/>
        <w:tabs>
          <w:tab w:leader="none" w:pos="12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1220" w:hanging="255"/>
        <w:spacing w:after="0"/>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5" w:lineRule="exact"/>
        <w:rPr>
          <w:rFonts w:ascii="Times New Roman" w:cs="Times New Roman" w:eastAsia="Times New Roman" w:hAnsi="Times New Roman"/>
          <w:sz w:val="18"/>
          <w:szCs w:val="18"/>
          <w:color w:val="auto"/>
        </w:rPr>
      </w:pPr>
    </w:p>
    <w:p>
      <w:pPr>
        <w:ind w:left="540" w:right="60" w:firstLine="425"/>
        <w:spacing w:after="0" w:line="312" w:lineRule="auto"/>
        <w:tabs>
          <w:tab w:leader="none" w:pos="120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9" w:lineRule="exact"/>
        <w:rPr>
          <w:rFonts w:ascii="Times New Roman" w:cs="Times New Roman" w:eastAsia="Times New Roman" w:hAnsi="Times New Roman"/>
          <w:sz w:val="17"/>
          <w:szCs w:val="17"/>
          <w:color w:val="auto"/>
        </w:rPr>
      </w:pPr>
    </w:p>
    <w:p>
      <w:pPr>
        <w:ind w:left="540" w:right="380" w:firstLine="425"/>
        <w:spacing w:after="0" w:line="282" w:lineRule="auto"/>
        <w:tabs>
          <w:tab w:leader="none" w:pos="12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right="60" w:firstLine="425"/>
        <w:spacing w:after="0" w:line="266" w:lineRule="auto"/>
        <w:tabs>
          <w:tab w:leader="none" w:pos="120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1200" w:right="560" w:firstLine="400"/>
        <w:spacing w:after="0" w:line="282" w:lineRule="auto"/>
        <w:tabs>
          <w:tab w:leader="none" w:pos="180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will be read into this Indenture against the Trustee.</w:t>
      </w:r>
    </w:p>
    <w:p>
      <w:pPr>
        <w:spacing w:after="0" w:line="161" w:lineRule="exact"/>
        <w:rPr>
          <w:rFonts w:ascii="Times New Roman" w:cs="Times New Roman" w:eastAsia="Times New Roman" w:hAnsi="Times New Roman"/>
          <w:sz w:val="18"/>
          <w:szCs w:val="18"/>
          <w:color w:val="auto"/>
        </w:rPr>
      </w:pPr>
    </w:p>
    <w:p>
      <w:pPr>
        <w:ind w:left="1200" w:firstLine="400"/>
        <w:spacing w:after="0" w:line="258" w:lineRule="auto"/>
        <w:tabs>
          <w:tab w:leader="none" w:pos="185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820" w:hanging="220"/>
        <w:spacing w:after="0"/>
        <w:tabs>
          <w:tab w:leader="none" w:pos="18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9" w:name="page80"/>
    <w:bookmarkEnd w:id="79"/>
    <w:p>
      <w:pPr>
        <w:ind w:left="760" w:right="120" w:firstLine="400"/>
        <w:spacing w:after="0" w:line="282" w:lineRule="auto"/>
        <w:tabs>
          <w:tab w:leader="none" w:pos="14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760" w:right="40" w:firstLine="400"/>
        <w:spacing w:after="0" w:line="258" w:lineRule="auto"/>
        <w:tabs>
          <w:tab w:leader="none" w:pos="146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3" w:lineRule="exact"/>
        <w:rPr>
          <w:rFonts w:ascii="Times New Roman" w:cs="Times New Roman" w:eastAsia="Times New Roman" w:hAnsi="Times New Roman"/>
          <w:sz w:val="18"/>
          <w:szCs w:val="18"/>
          <w:color w:val="auto"/>
        </w:rPr>
      </w:pPr>
    </w:p>
    <w:p>
      <w:pPr>
        <w:ind w:left="780" w:hanging="255"/>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left="100" w:right="320" w:firstLine="425"/>
        <w:spacing w:after="0" w:line="282" w:lineRule="auto"/>
        <w:tabs>
          <w:tab w:leader="none" w:pos="7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61" w:lineRule="exact"/>
        <w:rPr>
          <w:rFonts w:ascii="Times New Roman" w:cs="Times New Roman" w:eastAsia="Times New Roman" w:hAnsi="Times New Roman"/>
          <w:sz w:val="18"/>
          <w:szCs w:val="18"/>
          <w:color w:val="auto"/>
        </w:rPr>
      </w:pPr>
    </w:p>
    <w:p>
      <w:pPr>
        <w:ind w:left="100" w:right="200" w:firstLine="425"/>
        <w:spacing w:after="0" w:line="282" w:lineRule="auto"/>
        <w:tabs>
          <w:tab w:leader="none" w:pos="7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100" w:right="360" w:firstLine="425"/>
        <w:spacing w:after="0" w:line="266" w:lineRule="auto"/>
        <w:tabs>
          <w:tab w:leader="none" w:pos="7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75" w:lineRule="exact"/>
        <w:rPr>
          <w:rFonts w:ascii="Times New Roman" w:cs="Times New Roman" w:eastAsia="Times New Roman" w:hAnsi="Times New Roman"/>
          <w:sz w:val="18"/>
          <w:szCs w:val="18"/>
          <w:color w:val="auto"/>
        </w:rPr>
      </w:pPr>
    </w:p>
    <w:p>
      <w:pPr>
        <w:ind w:left="100" w:right="660" w:firstLine="425"/>
        <w:spacing w:after="0" w:line="282" w:lineRule="auto"/>
        <w:tabs>
          <w:tab w:leader="none" w:pos="7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61" w:lineRule="exact"/>
        <w:rPr>
          <w:rFonts w:ascii="Times New Roman" w:cs="Times New Roman" w:eastAsia="Times New Roman" w:hAnsi="Times New Roman"/>
          <w:sz w:val="18"/>
          <w:szCs w:val="18"/>
          <w:color w:val="auto"/>
        </w:rPr>
      </w:pPr>
    </w:p>
    <w:p>
      <w:pPr>
        <w:ind w:left="100" w:right="160" w:firstLine="425"/>
        <w:spacing w:after="0" w:line="282" w:lineRule="auto"/>
        <w:tabs>
          <w:tab w:leader="none" w:pos="7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firstLine="425"/>
        <w:spacing w:after="0" w:line="266" w:lineRule="auto"/>
        <w:tabs>
          <w:tab w:leader="none" w:pos="7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ind w:left="100" w:right="240" w:firstLine="425"/>
        <w:spacing w:after="0" w:line="312" w:lineRule="auto"/>
        <w:tabs>
          <w:tab w:leader="none" w:pos="77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7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80" w:name="page81"/>
    <w:bookmarkEnd w:id="80"/>
    <w:p>
      <w:pPr>
        <w:ind w:left="540" w:firstLine="425"/>
        <w:spacing w:after="0" w:line="282" w:lineRule="auto"/>
        <w:tabs>
          <w:tab w:leader="none" w:pos="12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ind w:left="540" w:right="20" w:firstLine="425"/>
        <w:spacing w:after="0" w:line="282" w:lineRule="auto"/>
        <w:tabs>
          <w:tab w:leader="none" w:pos="12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w:t>
      </w:r>
    </w:p>
    <w:p>
      <w:pPr>
        <w:spacing w:after="0" w:line="161" w:lineRule="exact"/>
        <w:rPr>
          <w:rFonts w:ascii="Times New Roman" w:cs="Times New Roman" w:eastAsia="Times New Roman" w:hAnsi="Times New Roman"/>
          <w:sz w:val="18"/>
          <w:szCs w:val="18"/>
          <w:color w:val="auto"/>
        </w:rPr>
      </w:pPr>
    </w:p>
    <w:p>
      <w:pPr>
        <w:jc w:val="both"/>
        <w:ind w:left="540" w:right="940" w:firstLine="425"/>
        <w:spacing w:after="0" w:line="312" w:lineRule="auto"/>
        <w:tabs>
          <w:tab w:leader="none" w:pos="120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9" w:lineRule="exact"/>
        <w:rPr>
          <w:rFonts w:ascii="Times New Roman" w:cs="Times New Roman" w:eastAsia="Times New Roman" w:hAnsi="Times New Roman"/>
          <w:sz w:val="17"/>
          <w:szCs w:val="17"/>
          <w:color w:val="auto"/>
        </w:rPr>
      </w:pPr>
    </w:p>
    <w:p>
      <w:pPr>
        <w:jc w:val="both"/>
        <w:ind w:left="540" w:right="80" w:firstLine="425"/>
        <w:spacing w:after="0" w:line="266" w:lineRule="auto"/>
        <w:tabs>
          <w:tab w:leader="none" w:pos="11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ind w:left="540" w:right="340" w:firstLine="425"/>
        <w:spacing w:after="0" w:line="266" w:lineRule="auto"/>
        <w:tabs>
          <w:tab w:leader="none" w:pos="12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ind w:left="540" w:right="440" w:firstLine="425"/>
        <w:spacing w:after="0" w:line="261" w:lineRule="auto"/>
        <w:tabs>
          <w:tab w:leader="none" w:pos="12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79" w:lineRule="exact"/>
        <w:rPr>
          <w:rFonts w:ascii="Times New Roman" w:cs="Times New Roman" w:eastAsia="Times New Roman" w:hAnsi="Times New Roman"/>
          <w:sz w:val="18"/>
          <w:szCs w:val="18"/>
          <w:color w:val="auto"/>
        </w:rPr>
      </w:pPr>
    </w:p>
    <w:p>
      <w:pPr>
        <w:ind w:left="540" w:right="340" w:firstLine="425"/>
        <w:spacing w:after="0" w:line="282" w:lineRule="auto"/>
        <w:tabs>
          <w:tab w:leader="none" w:pos="11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61"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w:t>
      </w:r>
    </w:p>
    <w:p>
      <w:pPr>
        <w:spacing w:after="0" w:line="206"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of this Indenture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Within 60 days after each [[  ] commencing [  ], [  ]], the Trustee shall transmit by mail to all 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76" w:lineRule="exact"/>
        <w:rPr>
          <w:sz w:val="20"/>
          <w:szCs w:val="20"/>
          <w:color w:val="auto"/>
        </w:rPr>
      </w:pPr>
    </w:p>
    <w:p>
      <w:pPr>
        <w:ind w:right="440" w:firstLine="991"/>
        <w:spacing w:after="0" w:line="312"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220" w:hanging="255"/>
        <w:spacing w:after="0"/>
        <w:tabs>
          <w:tab w:leader="none" w:pos="1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220" w:hanging="255"/>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83" w:name="page84"/>
    <w:bookmarkEnd w:id="83"/>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220" w:hanging="255"/>
        <w:spacing w:after="0"/>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200" w:right="380" w:firstLine="400"/>
        <w:spacing w:after="0" w:line="282" w:lineRule="auto"/>
        <w:tabs>
          <w:tab w:leader="none" w:pos="180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1860" w:hanging="260"/>
        <w:spacing w:after="0"/>
        <w:tabs>
          <w:tab w:leader="none" w:pos="1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280" w:hanging="257"/>
        <w:spacing w:after="0"/>
        <w:tabs>
          <w:tab w:leader="none" w:pos="22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w:t>
      </w:r>
    </w:p>
    <w:p>
      <w:pPr>
        <w:spacing w:after="0" w:line="225" w:lineRule="exact"/>
        <w:rPr>
          <w:rFonts w:ascii="Times New Roman" w:cs="Times New Roman" w:eastAsia="Times New Roman" w:hAnsi="Times New Roman"/>
          <w:sz w:val="18"/>
          <w:szCs w:val="18"/>
          <w:color w:val="auto"/>
        </w:rPr>
      </w:pPr>
    </w:p>
    <w:p>
      <w:pPr>
        <w:ind w:left="2280" w:hanging="257"/>
        <w:spacing w:after="0"/>
        <w:tabs>
          <w:tab w:leader="none" w:pos="22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w:t>
      </w:r>
    </w:p>
    <w:p>
      <w:pPr>
        <w:spacing w:after="0" w:line="225" w:lineRule="exact"/>
        <w:rPr>
          <w:rFonts w:ascii="Times New Roman" w:cs="Times New Roman" w:eastAsia="Times New Roman" w:hAnsi="Times New Roman"/>
          <w:sz w:val="18"/>
          <w:szCs w:val="18"/>
          <w:color w:val="auto"/>
        </w:rPr>
      </w:pPr>
    </w:p>
    <w:p>
      <w:pPr>
        <w:ind w:left="1640" w:firstLine="383"/>
        <w:spacing w:after="0" w:line="282" w:lineRule="auto"/>
        <w:tabs>
          <w:tab w:leader="none" w:pos="226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2280" w:hanging="257"/>
        <w:spacing w:after="0"/>
        <w:tabs>
          <w:tab w:leader="none" w:pos="22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80" w:lineRule="exact"/>
        <w:rPr>
          <w:sz w:val="20"/>
          <w:szCs w:val="20"/>
          <w:color w:val="auto"/>
        </w:rPr>
      </w:pPr>
    </w:p>
    <w:p>
      <w:pPr>
        <w:ind w:left="1220" w:hanging="255"/>
        <w:spacing w:after="0"/>
        <w:tabs>
          <w:tab w:leader="none" w:pos="1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540" w:right="80" w:firstLine="425"/>
        <w:spacing w:after="0" w:line="282" w:lineRule="auto"/>
        <w:tabs>
          <w:tab w:leader="none" w:pos="12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85" w:name="page86"/>
    <w:bookmarkEnd w:id="8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firstLine="425"/>
        <w:spacing w:after="0" w:line="255" w:lineRule="auto"/>
        <w:tabs>
          <w:tab w:leader="none" w:pos="12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8" w:lineRule="exact"/>
        <w:rPr>
          <w:rFonts w:ascii="Times New Roman" w:cs="Times New Roman" w:eastAsia="Times New Roman" w:hAnsi="Times New Roman"/>
          <w:sz w:val="18"/>
          <w:szCs w:val="18"/>
          <w:color w:val="auto"/>
        </w:rPr>
      </w:pPr>
    </w:p>
    <w:p>
      <w:pPr>
        <w:ind w:left="540" w:right="140" w:firstLine="425"/>
        <w:spacing w:after="0" w:line="289" w:lineRule="auto"/>
        <w:tabs>
          <w:tab w:leader="none" w:pos="121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57" w:lineRule="exact"/>
        <w:rPr>
          <w:rFonts w:ascii="Times New Roman" w:cs="Times New Roman" w:eastAsia="Times New Roman" w:hAnsi="Times New Roman"/>
          <w:sz w:val="17"/>
          <w:szCs w:val="17"/>
          <w:color w:val="auto"/>
        </w:rPr>
      </w:pPr>
    </w:p>
    <w:p>
      <w:pPr>
        <w:ind w:left="540" w:right="60" w:firstLine="425"/>
        <w:spacing w:after="0" w:line="256" w:lineRule="auto"/>
        <w:tabs>
          <w:tab w:leader="none" w:pos="12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86" w:name="page87"/>
    <w:bookmarkEnd w:id="86"/>
    <w:p>
      <w:pPr>
        <w:ind w:left="540" w:right="60" w:firstLine="425"/>
        <w:spacing w:after="0" w:line="261" w:lineRule="auto"/>
        <w:tabs>
          <w:tab w:leader="none" w:pos="12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9"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ind w:left="540" w:right="20" w:firstLine="425"/>
        <w:spacing w:after="0" w:line="254" w:lineRule="auto"/>
        <w:tabs>
          <w:tab w:leader="none" w:pos="12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8" w:lineRule="exact"/>
        <w:rPr>
          <w:rFonts w:ascii="Times New Roman" w:cs="Times New Roman" w:eastAsia="Times New Roman" w:hAnsi="Times New Roman"/>
          <w:sz w:val="18"/>
          <w:szCs w:val="18"/>
          <w:color w:val="auto"/>
        </w:rPr>
      </w:pPr>
    </w:p>
    <w:p>
      <w:pPr>
        <w:ind w:left="540" w:right="20" w:firstLine="425"/>
        <w:spacing w:after="0" w:line="282" w:lineRule="auto"/>
        <w:tabs>
          <w:tab w:leader="none" w:pos="12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540" w:right="220" w:firstLine="425"/>
        <w:spacing w:after="0" w:line="282" w:lineRule="auto"/>
        <w:tabs>
          <w:tab w:leader="none" w:pos="11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ind w:left="540" w:firstLine="425"/>
        <w:spacing w:after="0" w:line="256" w:lineRule="auto"/>
        <w:tabs>
          <w:tab w:leader="none" w:pos="12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87" w:name="page88"/>
    <w:bookmarkEnd w:id="87"/>
    <w:p>
      <w:pPr>
        <w:ind w:left="540" w:right="20" w:firstLine="425"/>
        <w:spacing w:after="0" w:line="282" w:lineRule="auto"/>
        <w:tabs>
          <w:tab w:leader="none" w:pos="12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540" w:right="380" w:firstLine="425"/>
        <w:spacing w:after="0" w:line="282" w:lineRule="auto"/>
        <w:tabs>
          <w:tab w:leader="none" w:pos="11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92" w:lineRule="exact"/>
        <w:rPr>
          <w:sz w:val="20"/>
          <w:szCs w:val="20"/>
          <w:color w:val="auto"/>
        </w:rPr>
      </w:pPr>
    </w:p>
    <w:p>
      <w:pPr>
        <w:ind w:left="540" w:right="60" w:firstLine="425"/>
        <w:spacing w:after="0" w:line="253" w:lineRule="auto"/>
        <w:tabs>
          <w:tab w:leader="none" w:pos="12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94" w:lineRule="exact"/>
        <w:rPr>
          <w:rFonts w:ascii="Times New Roman" w:cs="Times New Roman" w:eastAsia="Times New Roman" w:hAnsi="Times New Roman"/>
          <w:sz w:val="18"/>
          <w:szCs w:val="18"/>
          <w:color w:val="auto"/>
        </w:rPr>
      </w:pPr>
    </w:p>
    <w:p>
      <w:pPr>
        <w:ind w:left="540" w:right="20" w:firstLine="425"/>
        <w:spacing w:after="0" w:line="282" w:lineRule="auto"/>
        <w:tabs>
          <w:tab w:leader="none" w:pos="12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88" w:name="page89"/>
    <w:bookmarkEnd w:id="88"/>
    <w:p>
      <w:pPr>
        <w:ind w:left="1220" w:hanging="255"/>
        <w:spacing w:after="0"/>
        <w:tabs>
          <w:tab w:leader="none" w:pos="1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206" w:lineRule="exact"/>
        <w:rPr>
          <w:rFonts w:ascii="Times New Roman" w:cs="Times New Roman" w:eastAsia="Times New Roman" w:hAnsi="Times New Roman"/>
          <w:sz w:val="18"/>
          <w:szCs w:val="18"/>
          <w:color w:val="auto"/>
        </w:rPr>
      </w:pPr>
    </w:p>
    <w:p>
      <w:pPr>
        <w:ind w:left="540" w:firstLine="425"/>
        <w:spacing w:after="0" w:line="261" w:lineRule="auto"/>
        <w:tabs>
          <w:tab w:leader="none" w:pos="12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79" w:lineRule="exact"/>
        <w:rPr>
          <w:rFonts w:ascii="Times New Roman" w:cs="Times New Roman" w:eastAsia="Times New Roman" w:hAnsi="Times New Roman"/>
          <w:sz w:val="18"/>
          <w:szCs w:val="18"/>
          <w:color w:val="auto"/>
        </w:rPr>
      </w:pPr>
    </w:p>
    <w:p>
      <w:pPr>
        <w:ind w:left="540" w:right="240" w:firstLine="425"/>
        <w:spacing w:after="0" w:line="282" w:lineRule="auto"/>
        <w:tabs>
          <w:tab w:leader="none" w:pos="12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540" w:right="240" w:firstLine="425"/>
        <w:spacing w:after="0" w:line="282" w:lineRule="auto"/>
        <w:tabs>
          <w:tab w:leader="none" w:pos="11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to cure any ambiguity, defect or inconsistency;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89" w:name="page90"/>
    <w:bookmarkEnd w:id="89"/>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comply with Article V;</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200" w:hanging="235"/>
        <w:spacing w:after="0"/>
        <w:tabs>
          <w:tab w:leader="none" w:pos="1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225" w:lineRule="exact"/>
        <w:rPr>
          <w:rFonts w:ascii="Times New Roman" w:cs="Times New Roman" w:eastAsia="Times New Roman" w:hAnsi="Times New Roman"/>
          <w:sz w:val="18"/>
          <w:szCs w:val="18"/>
          <w:color w:val="auto"/>
        </w:rPr>
      </w:pPr>
    </w:p>
    <w:p>
      <w:pPr>
        <w:ind w:left="540" w:right="60" w:firstLine="425"/>
        <w:spacing w:after="0" w:line="266" w:lineRule="auto"/>
        <w:tabs>
          <w:tab w:leader="none" w:pos="11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w:t>
      </w:r>
    </w:p>
    <w:p>
      <w:pPr>
        <w:spacing w:after="0" w:line="225" w:lineRule="exact"/>
        <w:rPr>
          <w:sz w:val="20"/>
          <w:szCs w:val="20"/>
          <w:color w:val="auto"/>
        </w:rPr>
      </w:pPr>
    </w:p>
    <w:p>
      <w:pPr>
        <w:ind w:left="1220" w:hanging="255"/>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left="540" w:firstLine="425"/>
        <w:spacing w:after="0" w:line="282" w:lineRule="auto"/>
        <w:tabs>
          <w:tab w:leader="none" w:pos="12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540" w:right="80" w:firstLine="425"/>
        <w:spacing w:after="0" w:line="266" w:lineRule="auto"/>
        <w:tabs>
          <w:tab w:leader="none" w:pos="12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00" w:hanging="235"/>
        <w:spacing w:after="0"/>
        <w:tabs>
          <w:tab w:leader="none" w:pos="1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40" w:top="270" w:right="539" w:bottom="1440" w:gutter="0" w:footer="0" w:header="0"/>
        </w:sectPr>
      </w:pPr>
    </w:p>
    <w:bookmarkStart w:id="91" w:name="page92"/>
    <w:bookmarkEnd w:id="91"/>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Times New Roman" w:cs="Times New Roman" w:eastAsia="Times New Roman" w:hAnsi="Times New Roman"/>
          <w:sz w:val="17"/>
          <w:szCs w:val="17"/>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Beyond Meat,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888 N. Douglas Street,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El Segundo, CA 90245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Financial Officer and Treasurer, with a copy to Chief Legal Officer and Secretary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(866) 756-4112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Gregory P. Rodgers / Cathy A. Birkeland / Alexa Berlin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(212) 906-1200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U.S. Bank Tower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633 West 5th Street, 24th Floor, Los Angeles, CA 90071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Global Corporate Trust/Bradley Scarbrough</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(213) 615-6047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Shipman &amp; Goodwin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Constitution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Hartford, CT 06103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William G. Rock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860-251-5121</w:t>
      </w:r>
    </w:p>
    <w:p>
      <w:pPr>
        <w:spacing w:after="0" w:line="207" w:lineRule="exact"/>
        <w:rPr>
          <w:sz w:val="20"/>
          <w:szCs w:val="20"/>
          <w:color w:val="auto"/>
        </w:rPr>
      </w:pPr>
    </w:p>
    <w:p>
      <w:pPr>
        <w:ind w:right="1060" w:firstLine="991"/>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93" w:name="page94"/>
    <w:bookmarkEnd w:id="93"/>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notice or communication is sent or published in the manner provided above, within the time prescribed, it is duly given, whether or not the 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sends a notice or communication to Holders, it shall send a copy to the Trustee and each Agent at the same time.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40" w:right="80" w:firstLine="425"/>
        <w:spacing w:after="0" w:line="282" w:lineRule="auto"/>
        <w:tabs>
          <w:tab w:leader="none" w:pos="12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94" w:name="page95"/>
    <w:bookmarkEnd w:id="94"/>
    <w:p>
      <w:pPr>
        <w:ind w:left="1220" w:hanging="255"/>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left="540" w:firstLine="425"/>
        <w:spacing w:after="0" w:line="282" w:lineRule="auto"/>
        <w:tabs>
          <w:tab w:leader="none" w:pos="12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540" w:right="160" w:firstLine="425"/>
        <w:spacing w:after="0" w:line="282" w:lineRule="auto"/>
        <w:tabs>
          <w:tab w:leader="none" w:pos="12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95" w:name="page96"/>
    <w:bookmarkEnd w:id="95"/>
    <w:p>
      <w:pPr>
        <w:ind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13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76"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as provided in Section 11.2. Each sinking fund payment shall be applied to the redemption of Securities of any Series as provided for by the terms of the Securities of such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BEYOND MEAT,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9940"/>
          </w:cols>
          <w:pgMar w:left="1420" w:top="270" w:right="539" w:bottom="1440" w:gutter="0" w:footer="0" w:header="0"/>
        </w:sectPr>
      </w:pPr>
    </w:p>
    <w:bookmarkStart w:id="100" w:name="page101"/>
    <w:bookmarkEnd w:id="100"/>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-719455</wp:posOffset>
            </wp:positionV>
            <wp:extent cx="240030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Meat,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N. Douglas Street, Suite 100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California 90245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Registration Statement on Form S-3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1271 Avenue of the Americas</w:t>
      </w:r>
    </w:p>
    <w:p>
      <w:pPr>
        <w:spacing w:after="0" w:line="226" w:lineRule="auto"/>
        <w:rPr>
          <w:sz w:val="20"/>
          <w:szCs w:val="20"/>
          <w:color w:val="auto"/>
        </w:rPr>
      </w:pPr>
      <w:r>
        <w:rPr>
          <w:rFonts w:ascii="Times New Roman" w:cs="Times New Roman" w:eastAsia="Times New Roman" w:hAnsi="Times New Roman"/>
          <w:sz w:val="14"/>
          <w:szCs w:val="14"/>
          <w:color w:val="auto"/>
        </w:rPr>
        <w:t>New York, New York 10020-1401</w:t>
      </w:r>
    </w:p>
    <w:p>
      <w:pPr>
        <w:spacing w:after="0" w:line="222" w:lineRule="auto"/>
        <w:rPr>
          <w:sz w:val="20"/>
          <w:szCs w:val="20"/>
          <w:color w:val="auto"/>
        </w:rPr>
      </w:pPr>
      <w:r>
        <w:rPr>
          <w:rFonts w:ascii="Times New Roman" w:cs="Times New Roman" w:eastAsia="Times New Roman" w:hAnsi="Times New Roman"/>
          <w:sz w:val="14"/>
          <w:szCs w:val="14"/>
          <w:color w:val="auto"/>
        </w:rPr>
        <w:t>Tel: +1.212.906.1200 Fax: +1.212.751.4864</w:t>
      </w:r>
    </w:p>
    <w:p>
      <w:pPr>
        <w:spacing w:after="0"/>
        <w:rPr>
          <w:sz w:val="20"/>
          <w:szCs w:val="20"/>
          <w:color w:val="auto"/>
        </w:rPr>
      </w:pPr>
      <w:r>
        <w:rPr>
          <w:rFonts w:ascii="Times New Roman" w:cs="Times New Roman" w:eastAsia="Times New Roman" w:hAnsi="Times New Roman"/>
          <w:sz w:val="14"/>
          <w:szCs w:val="14"/>
          <w:color w:val="auto"/>
        </w:rPr>
        <w:t>www.lw.com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FIRM / AFFILIATE OFFICES</w:t>
      </w:r>
    </w:p>
    <w:p>
      <w:pPr>
        <w:spacing w:after="0" w:line="1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Milan</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Munich</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New York</w:t>
      </w:r>
    </w:p>
    <w:p>
      <w:pPr>
        <w:spacing w:after="0" w:line="222" w:lineRule="auto"/>
        <w:tabs>
          <w:tab w:leader="none" w:pos="1120" w:val="left"/>
        </w:tabs>
        <w:rPr>
          <w:sz w:val="20"/>
          <w:szCs w:val="20"/>
          <w:color w:val="auto"/>
        </w:rPr>
      </w:pPr>
      <w:r>
        <w:rPr>
          <w:rFonts w:ascii="Times New Roman" w:cs="Times New Roman" w:eastAsia="Times New Roman" w:hAnsi="Times New Roman"/>
          <w:sz w:val="14"/>
          <w:szCs w:val="14"/>
          <w:color w:val="auto"/>
        </w:rPr>
        <w:t>Brussels</w:t>
      </w:r>
      <w:r>
        <w:rPr>
          <w:sz w:val="20"/>
          <w:szCs w:val="20"/>
          <w:color w:val="auto"/>
        </w:rPr>
        <w:tab/>
      </w:r>
      <w:r>
        <w:rPr>
          <w:rFonts w:ascii="Times New Roman" w:cs="Times New Roman" w:eastAsia="Times New Roman" w:hAnsi="Times New Roman"/>
          <w:sz w:val="14"/>
          <w:szCs w:val="14"/>
          <w:color w:val="auto"/>
        </w:rPr>
        <w:t>Orange County</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Century City</w:t>
      </w:r>
      <w:r>
        <w:rPr>
          <w:sz w:val="20"/>
          <w:szCs w:val="20"/>
          <w:color w:val="auto"/>
        </w:rPr>
        <w:tab/>
      </w:r>
      <w:r>
        <w:rPr>
          <w:rFonts w:ascii="Times New Roman" w:cs="Times New Roman" w:eastAsia="Times New Roman" w:hAnsi="Times New Roman"/>
          <w:sz w:val="14"/>
          <w:szCs w:val="14"/>
          <w:color w:val="auto"/>
        </w:rPr>
        <w:t>Paris</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Riyadh</w:t>
      </w:r>
    </w:p>
    <w:p>
      <w:pPr>
        <w:spacing w:after="0" w:line="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Dubai</w:t>
      </w:r>
      <w:r>
        <w:rPr>
          <w:sz w:val="20"/>
          <w:szCs w:val="20"/>
          <w:color w:val="auto"/>
        </w:rPr>
        <w:tab/>
      </w:r>
      <w:r>
        <w:rPr>
          <w:rFonts w:ascii="Times New Roman" w:cs="Times New Roman" w:eastAsia="Times New Roman" w:hAnsi="Times New Roman"/>
          <w:sz w:val="14"/>
          <w:szCs w:val="14"/>
          <w:color w:val="auto"/>
        </w:rPr>
        <w:t>San Diego</w:t>
      </w:r>
    </w:p>
    <w:p>
      <w:pPr>
        <w:spacing w:after="0" w:line="222" w:lineRule="auto"/>
        <w:tabs>
          <w:tab w:leader="none" w:pos="1120" w:val="left"/>
        </w:tabs>
        <w:rPr>
          <w:sz w:val="20"/>
          <w:szCs w:val="20"/>
          <w:color w:val="auto"/>
        </w:rPr>
      </w:pPr>
      <w:r>
        <w:rPr>
          <w:rFonts w:ascii="Times New Roman" w:cs="Times New Roman" w:eastAsia="Times New Roman" w:hAnsi="Times New Roman"/>
          <w:sz w:val="14"/>
          <w:szCs w:val="14"/>
          <w:color w:val="auto"/>
        </w:rPr>
        <w:t>Düsseldorf</w:t>
      </w:r>
      <w:r>
        <w:rPr>
          <w:sz w:val="20"/>
          <w:szCs w:val="20"/>
          <w:color w:val="auto"/>
        </w:rPr>
        <w:tab/>
      </w:r>
      <w:r>
        <w:rPr>
          <w:rFonts w:ascii="Times New Roman" w:cs="Times New Roman" w:eastAsia="Times New Roman" w:hAnsi="Times New Roman"/>
          <w:sz w:val="14"/>
          <w:szCs w:val="14"/>
          <w:color w:val="auto"/>
        </w:rPr>
        <w:t>San Francisco</w:t>
      </w:r>
    </w:p>
    <w:p>
      <w:pPr>
        <w:spacing w:after="0" w:line="222" w:lineRule="auto"/>
        <w:tabs>
          <w:tab w:leader="none" w:pos="1120" w:val="left"/>
        </w:tabs>
        <w:rPr>
          <w:sz w:val="20"/>
          <w:szCs w:val="20"/>
          <w:color w:val="auto"/>
        </w:rPr>
      </w:pPr>
      <w:r>
        <w:rPr>
          <w:rFonts w:ascii="Times New Roman" w:cs="Times New Roman" w:eastAsia="Times New Roman" w:hAnsi="Times New Roman"/>
          <w:sz w:val="14"/>
          <w:szCs w:val="14"/>
          <w:color w:val="auto"/>
        </w:rPr>
        <w:t>Frankfurt</w:t>
      </w:r>
      <w:r>
        <w:rPr>
          <w:sz w:val="20"/>
          <w:szCs w:val="20"/>
          <w:color w:val="auto"/>
        </w:rPr>
        <w:tab/>
      </w:r>
      <w:r>
        <w:rPr>
          <w:rFonts w:ascii="Times New Roman" w:cs="Times New Roman" w:eastAsia="Times New Roman" w:hAnsi="Times New Roman"/>
          <w:sz w:val="14"/>
          <w:szCs w:val="14"/>
          <w:color w:val="auto"/>
        </w:rPr>
        <w:t>Seoul</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Hamburg</w:t>
      </w:r>
      <w:r>
        <w:rPr>
          <w:sz w:val="20"/>
          <w:szCs w:val="20"/>
          <w:color w:val="auto"/>
        </w:rPr>
        <w:tab/>
      </w:r>
      <w:r>
        <w:rPr>
          <w:rFonts w:ascii="Times New Roman" w:cs="Times New Roman" w:eastAsia="Times New Roman" w:hAnsi="Times New Roman"/>
          <w:sz w:val="14"/>
          <w:szCs w:val="14"/>
          <w:color w:val="auto"/>
        </w:rPr>
        <w:t>Silicon Valley</w:t>
      </w:r>
    </w:p>
    <w:p>
      <w:pPr>
        <w:spacing w:after="0" w:line="222" w:lineRule="auto"/>
        <w:tabs>
          <w:tab w:leader="none" w:pos="1120" w:val="left"/>
        </w:tabs>
        <w:rPr>
          <w:sz w:val="20"/>
          <w:szCs w:val="20"/>
          <w:color w:val="auto"/>
        </w:rPr>
      </w:pP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4"/>
          <w:szCs w:val="14"/>
          <w:color w:val="auto"/>
        </w:rPr>
        <w:t>Singapore</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Houston</w:t>
      </w:r>
      <w:r>
        <w:rPr>
          <w:sz w:val="20"/>
          <w:szCs w:val="20"/>
          <w:color w:val="auto"/>
        </w:rPr>
        <w:tab/>
      </w:r>
      <w:r>
        <w:rPr>
          <w:rFonts w:ascii="Times New Roman" w:cs="Times New Roman" w:eastAsia="Times New Roman" w:hAnsi="Times New Roman"/>
          <w:sz w:val="14"/>
          <w:szCs w:val="14"/>
          <w:color w:val="auto"/>
        </w:rPr>
        <w:t>Tel Aviv</w:t>
      </w:r>
    </w:p>
    <w:p>
      <w:pPr>
        <w:spacing w:after="0" w:line="221" w:lineRule="auto"/>
        <w:tabs>
          <w:tab w:leader="none" w:pos="1120" w:val="left"/>
        </w:tabs>
        <w:rPr>
          <w:sz w:val="20"/>
          <w:szCs w:val="20"/>
          <w:color w:val="auto"/>
        </w:rPr>
      </w:pP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Tokyo</w:t>
      </w:r>
    </w:p>
    <w:p>
      <w:pPr>
        <w:spacing w:after="0" w:line="222" w:lineRule="auto"/>
        <w:tabs>
          <w:tab w:leader="none" w:pos="1120" w:val="left"/>
        </w:tabs>
        <w:rPr>
          <w:sz w:val="20"/>
          <w:szCs w:val="20"/>
          <w:color w:val="auto"/>
        </w:rPr>
      </w:pP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Washington, D.C.</w:t>
      </w:r>
    </w:p>
    <w:p>
      <w:pPr>
        <w:spacing w:after="0"/>
        <w:rPr>
          <w:sz w:val="20"/>
          <w:szCs w:val="20"/>
          <w:color w:val="auto"/>
        </w:rPr>
      </w:pPr>
      <w:r>
        <w:rPr>
          <w:rFonts w:ascii="Times New Roman" w:cs="Times New Roman" w:eastAsia="Times New Roman" w:hAnsi="Times New Roman"/>
          <w:sz w:val="14"/>
          <w:szCs w:val="14"/>
          <w:color w:val="auto"/>
        </w:rPr>
        <w:t>Madrid</w:t>
      </w:r>
    </w:p>
    <w:p>
      <w:pPr>
        <w:spacing w:after="0" w:line="1024" w:lineRule="exact"/>
        <w:rPr>
          <w:sz w:val="20"/>
          <w:szCs w:val="20"/>
          <w:color w:val="auto"/>
        </w:rPr>
      </w:pPr>
    </w:p>
    <w:p>
      <w:pPr>
        <w:sectPr>
          <w:pgSz w:w="11900" w:h="16838" w:orient="portrait"/>
          <w:cols w:equalWidth="0" w:num="2">
            <w:col w:w="7740" w:space="720"/>
            <w:col w:w="2560"/>
          </w:cols>
          <w:pgMar w:left="440" w:top="117" w:right="439" w:bottom="1440" w:gutter="0" w:footer="0" w:header="0"/>
          <w:type w:val="continuous"/>
        </w:sect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We have acted as counsel to Beyond Meat,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for issue and sale by the Company of up to $250,000,000 aggregate offering amount of (i) shares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one or more series of the Company’s preferred stock, $0.0001 par value per share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(iii) one or more series of the Company’s debt securities (collectively,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under an indenture to be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Company, as issuer, and U.S. Bank Trust Company, National Association, as trustee (a form of which is included as Exhibit 4.3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(iv) warrants to purchase shares of Common stock or shares of Preferred Stock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(v) purchase contracts (“</w:t>
      </w:r>
      <w:r>
        <w:rPr>
          <w:rFonts w:ascii="Times New Roman" w:cs="Times New Roman" w:eastAsia="Times New Roman" w:hAnsi="Times New Roman"/>
          <w:sz w:val="18"/>
          <w:szCs w:val="18"/>
          <w:b w:val="1"/>
          <w:bCs w:val="1"/>
          <w:i w:val="1"/>
          <w:iCs w:val="1"/>
          <w:color w:val="auto"/>
        </w:rPr>
        <w:t>Purchase Contracts</w:t>
      </w:r>
      <w:r>
        <w:rPr>
          <w:rFonts w:ascii="Times New Roman" w:cs="Times New Roman" w:eastAsia="Times New Roman" w:hAnsi="Times New Roman"/>
          <w:sz w:val="18"/>
          <w:szCs w:val="18"/>
          <w:color w:val="auto"/>
        </w:rPr>
        <w:t>”), and (vi) units consisting of two or more constituent securities of the Company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plus any additional Common Stock, Preferred Stock, Debt Securities, Warrants, Purchase Contracts and Units that may be registered pursuant to any subsequent registration statement that the Company may hereafter file with the Commission pursuant to Rule 462(b) under the Act in connection with the offering by the Company contemplated by the Registration Statement. The Common Stock, Preferred Stock, Debt Securities, Warrants, Purchase Contracts and Units, are referred to herein collectively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18,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40030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issuance of the Securities.</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paragraphs 3 through 6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2.  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3.  When the Applicable Indenture has been duly authorized, executed and delivered by all necessary corporate action of the Company, and when the specific terms of a particular</w:t>
      </w:r>
    </w:p>
    <w:p>
      <w:pPr>
        <w:sectPr>
          <w:pgSz w:w="11900" w:h="16838" w:orient="portrait"/>
          <w:cols w:equalWidth="0" w:num="1">
            <w:col w:w="11000"/>
          </w:cols>
          <w:pgMar w:left="440" w:top="266"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18,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40030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64"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5.  When the applicable purchase contract agreement has been duly authorized, executed and delivered by all necessary corporate action of the Company, and when the specific terms of a particular issue of Purchase Contracts have been duly authorized in accordance with the terms of the applicable purchase contract agreement and authorized by all necessary corporate action of the Company, and such Purchase Contracts have been duly executed, authenticated, issued and delivered against payment therefor in accordance with the terms of the applicable purchase contract agreement and in the manner contemplated by the applicable Prospectus and by such corporate action (assuming the securities issuable under such Purchase Contracts have been duly authorized and reserved for issuance by all necessary corporate action), such Purchase Contracts will be the legally valid and binding obligations of the Company, enforceable against the Company in accordance with their terms.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6.  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w:t>
      </w:r>
    </w:p>
    <w:p>
      <w:pPr>
        <w:sectPr>
          <w:pgSz w:w="11900" w:h="16838" w:orient="portrait"/>
          <w:cols w:equalWidth="0" w:num="1">
            <w:col w:w="10980"/>
          </w:cols>
          <w:pgMar w:left="440" w:top="266"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18,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40030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24003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9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With your consent, we have assumed (a) that each of the Debt Securities, Warrants, Purchase Contracts and Units and the Applicable Indenture, warrant agreements, purchase contract agreements and unit agreements governing such Securities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1000"/>
          </w:cols>
          <w:pgMar w:left="440" w:top="266" w:right="4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March 1, 2024, relating to the financial statements of Beyond Meat, Inc. and the effectiveness of Beyond Meat, Inc.’s internal control over financial reporting, appearing in the Annual Report on Form 10-K of Beyond Meat, Inc. for the year ended December 31, 2023.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ectPr>
          <w:pgSz w:w="11900" w:h="16838" w:orient="portrait"/>
          <w:cols w:equalWidth="0" w:num="1">
            <w:col w:w="11020"/>
          </w:cols>
          <w:pgMar w:left="440" w:top="117" w:right="4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STATEMENT OF ELIGIBILITY UNDER</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TRUST INDENTURE ACT OF 1939 OF A</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24" w:hanging="424"/>
        <w:spacing w:after="0"/>
        <w:tabs>
          <w:tab w:leader="none" w:pos="424" w:val="left"/>
        </w:tabs>
        <w:numPr>
          <w:ilvl w:val="0"/>
          <w:numId w:val="69"/>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666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3460" w:type="dxa"/>
            <w:vAlign w:val="bottom"/>
          </w:tcPr>
          <w:p>
            <w:pPr>
              <w:spacing w:after="0"/>
              <w:rPr>
                <w:sz w:val="16"/>
                <w:szCs w:val="16"/>
                <w:color w:val="auto"/>
              </w:rPr>
            </w:pPr>
          </w:p>
        </w:tc>
      </w:tr>
      <w:tr>
        <w:trPr>
          <w:trHeight w:val="42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800 Nicollet Mall</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55402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Bradley E. Scarbrough</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7560" w:type="dxa"/>
            <w:vAlign w:val="bottom"/>
            <w:gridSpan w:val="3"/>
          </w:tcPr>
          <w:p>
            <w:pPr>
              <w:jc w:val="center"/>
              <w:ind w:left="3377"/>
              <w:spacing w:after="0" w:line="216" w:lineRule="exact"/>
              <w:rPr>
                <w:sz w:val="20"/>
                <w:szCs w:val="20"/>
                <w:color w:val="auto"/>
              </w:rPr>
            </w:pPr>
            <w:r>
              <w:rPr>
                <w:rFonts w:ascii="Times New Roman" w:cs="Times New Roman" w:eastAsia="Times New Roman" w:hAnsi="Times New Roman"/>
                <w:sz w:val="17"/>
                <w:szCs w:val="17"/>
                <w:b w:val="1"/>
                <w:bCs w:val="1"/>
                <w:color w:val="auto"/>
              </w:rPr>
              <w:t>633 West 5</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7"/>
                <w:szCs w:val="17"/>
                <w:b w:val="1"/>
                <w:bCs w:val="1"/>
                <w:color w:val="auto"/>
              </w:rPr>
              <w:t xml:space="preserve"> Street, 24</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Los Angeles, CA 90071</w:t>
            </w:r>
          </w:p>
        </w:tc>
        <w:tc>
          <w:tcPr>
            <w:tcW w:w="3460" w:type="dxa"/>
            <w:vAlign w:val="bottom"/>
          </w:tcPr>
          <w:p>
            <w:pPr>
              <w:spacing w:after="0"/>
              <w:rPr>
                <w:sz w:val="18"/>
                <w:szCs w:val="18"/>
                <w:color w:val="auto"/>
              </w:rPr>
            </w:pPr>
          </w:p>
        </w:tc>
      </w:tr>
      <w:tr>
        <w:trPr>
          <w:trHeight w:val="214"/>
        </w:trPr>
        <w:tc>
          <w:tcPr>
            <w:tcW w:w="66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(213) 615-6047</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346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Beyond Meat, Inc.</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tc>
        <w:tc>
          <w:tcPr>
            <w:tcW w:w="3460" w:type="dxa"/>
            <w:vAlign w:val="bottom"/>
          </w:tcPr>
          <w:p>
            <w:pPr>
              <w:spacing w:after="0"/>
              <w:rPr>
                <w:sz w:val="16"/>
                <w:szCs w:val="16"/>
                <w:color w:val="auto"/>
              </w:rPr>
            </w:pPr>
          </w:p>
        </w:tc>
      </w:tr>
      <w:tr>
        <w:trPr>
          <w:trHeight w:val="348"/>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5"/>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26-4087597</w:t>
            </w:r>
          </w:p>
        </w:tc>
      </w:tr>
      <w:tr>
        <w:trPr>
          <w:trHeight w:val="149"/>
        </w:trPr>
        <w:tc>
          <w:tcPr>
            <w:tcW w:w="7560" w:type="dxa"/>
            <w:vAlign w:val="bottom"/>
            <w:gridSpan w:val="3"/>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888 N. Douglas Street, Suite 100</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El Segundo, CA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90245</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460" w:type="dxa"/>
            <w:vAlign w:val="bottom"/>
          </w:tcPr>
          <w:p>
            <w:pPr>
              <w:spacing w:after="0"/>
              <w:rPr>
                <w:sz w:val="16"/>
                <w:szCs w:val="16"/>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T-1</w:t>
            </w:r>
          </w:p>
        </w:tc>
      </w:tr>
      <w:tr>
        <w:trPr>
          <w:trHeight w:val="20"/>
        </w:trPr>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tc>
      </w:tr>
      <w:tr>
        <w:trPr>
          <w:trHeight w:val="319"/>
        </w:trPr>
        <w:tc>
          <w:tcPr>
            <w:tcW w:w="800" w:type="dxa"/>
            <w:vAlign w:val="bottom"/>
          </w:tcPr>
          <w:p>
            <w:pPr>
              <w:spacing w:after="0"/>
              <w:rPr>
                <w:sz w:val="24"/>
                <w:szCs w:val="24"/>
                <w:color w:val="auto"/>
              </w:rPr>
            </w:pP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Name and address of each examining or supervising authority to which it is subject.</w:t>
            </w:r>
          </w:p>
        </w:tc>
      </w:tr>
      <w:tr>
        <w:trPr>
          <w:trHeight w:val="216"/>
        </w:trPr>
        <w:tc>
          <w:tcPr>
            <w:tcW w:w="800" w:type="dxa"/>
            <w:vAlign w:val="bottom"/>
          </w:tcPr>
          <w:p>
            <w:pPr>
              <w:spacing w:after="0"/>
              <w:rPr>
                <w:sz w:val="18"/>
                <w:szCs w:val="18"/>
                <w:color w:val="auto"/>
              </w:rPr>
            </w:pPr>
          </w:p>
        </w:tc>
        <w:tc>
          <w:tcPr>
            <w:tcW w:w="87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Comptroller of the Currency</w:t>
            </w:r>
          </w:p>
        </w:tc>
      </w:tr>
      <w:tr>
        <w:trPr>
          <w:trHeight w:val="234"/>
        </w:trPr>
        <w:tc>
          <w:tcPr>
            <w:tcW w:w="800" w:type="dxa"/>
            <w:vAlign w:val="bottom"/>
          </w:tcPr>
          <w:p>
            <w:pPr>
              <w:spacing w:after="0"/>
              <w:rPr>
                <w:sz w:val="20"/>
                <w:szCs w:val="20"/>
                <w:color w:val="auto"/>
              </w:rPr>
            </w:pPr>
          </w:p>
        </w:tc>
        <w:tc>
          <w:tcPr>
            <w:tcW w:w="87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Washington, D.C.</w:t>
            </w:r>
          </w:p>
        </w:tc>
      </w:tr>
      <w:tr>
        <w:trPr>
          <w:trHeight w:val="441"/>
        </w:trPr>
        <w:tc>
          <w:tcPr>
            <w:tcW w:w="800" w:type="dxa"/>
            <w:vAlign w:val="bottom"/>
          </w:tcPr>
          <w:p>
            <w:pPr>
              <w:spacing w:after="0"/>
              <w:rPr>
                <w:sz w:val="24"/>
                <w:szCs w:val="24"/>
                <w:color w:val="auto"/>
              </w:rPr>
            </w:pP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Whether it is authorized to exercise corporate trust powers.</w:t>
            </w:r>
          </w:p>
        </w:tc>
      </w:tr>
      <w:tr>
        <w:trPr>
          <w:trHeight w:val="234"/>
        </w:trPr>
        <w:tc>
          <w:tcPr>
            <w:tcW w:w="800" w:type="dxa"/>
            <w:vAlign w:val="bottom"/>
          </w:tcPr>
          <w:p>
            <w:pPr>
              <w:spacing w:after="0"/>
              <w:rPr>
                <w:sz w:val="20"/>
                <w:szCs w:val="20"/>
                <w:color w:val="auto"/>
              </w:rPr>
            </w:pPr>
          </w:p>
        </w:tc>
        <w:tc>
          <w:tcPr>
            <w:tcW w:w="87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Yes</w:t>
            </w:r>
          </w:p>
        </w:tc>
      </w:tr>
      <w:tr>
        <w:trPr>
          <w:trHeight w:val="56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 xml:space="preserve">AFFILIATIONS WITH THE OBLIGOR. </w:t>
            </w:r>
            <w:r>
              <w:rPr>
                <w:rFonts w:ascii="Times New Roman" w:cs="Times New Roman" w:eastAsia="Times New Roman" w:hAnsi="Times New Roman"/>
                <w:sz w:val="18"/>
                <w:szCs w:val="18"/>
                <w:i w:val="1"/>
                <w:iCs w:val="1"/>
                <w:color w:val="auto"/>
                <w:w w:val="99"/>
              </w:rPr>
              <w:t>If the obligor is an affiliate of the Trustee, describe each such affiliation.</w:t>
            </w:r>
          </w:p>
        </w:tc>
      </w:tr>
      <w:tr>
        <w:trPr>
          <w:trHeight w:val="234"/>
        </w:trPr>
        <w:tc>
          <w:tcPr>
            <w:tcW w:w="800" w:type="dxa"/>
            <w:vAlign w:val="bottom"/>
          </w:tcPr>
          <w:p>
            <w:pPr>
              <w:spacing w:after="0"/>
              <w:rPr>
                <w:sz w:val="20"/>
                <w:szCs w:val="20"/>
                <w:color w:val="auto"/>
              </w:rPr>
            </w:pPr>
          </w:p>
        </w:tc>
        <w:tc>
          <w:tcPr>
            <w:tcW w:w="87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342" w:lineRule="exact"/>
        <w:rPr>
          <w:sz w:val="20"/>
          <w:szCs w:val="20"/>
          <w:color w:val="auto"/>
        </w:rPr>
      </w:pPr>
    </w:p>
    <w:p>
      <w:pPr>
        <w:ind w:left="1080" w:hanging="1092"/>
        <w:spacing w:after="0" w:line="28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135" w:lineRule="exact"/>
        <w:rPr>
          <w:sz w:val="20"/>
          <w:szCs w:val="20"/>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130" w:lineRule="exact"/>
        <w:rPr>
          <w:rFonts w:ascii="Times New Roman" w:cs="Times New Roman" w:eastAsia="Times New Roman" w:hAnsi="Times New Roman"/>
          <w:sz w:val="18"/>
          <w:szCs w:val="18"/>
          <w:color w:val="auto"/>
        </w:rPr>
      </w:pPr>
    </w:p>
    <w:p>
      <w:pPr>
        <w:ind w:left="1520" w:right="140" w:hanging="431"/>
        <w:spacing w:after="0" w:line="282" w:lineRule="auto"/>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2023, published pursuant to law or the requirements of its supervising or examining authority, attached as Exhibit 7.</w:t>
      </w:r>
    </w:p>
    <w:p>
      <w:pPr>
        <w:sectPr>
          <w:pgSz w:w="11900" w:h="16838" w:orient="portrait"/>
          <w:cols w:equalWidth="0" w:num="1">
            <w:col w:w="10860"/>
          </w:cols>
          <w:pgMar w:left="440" w:top="257" w:right="59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18th of March, 2024.</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Bradley E. Scarbrough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000"/>
          </w:cols>
          <w:pgMar w:left="440" w:top="266" w:right="459" w:bottom="1440" w:gutter="0" w:footer="0" w:header="0"/>
        </w:sectPr>
      </w:pPr>
    </w:p>
    <w:bookmarkStart w:id="108" w:name="page109"/>
    <w:bookmarkEnd w:id="108"/>
    <w:p>
      <w:pPr>
        <w:ind w:left="516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117"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 Articles of Association: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ind w:left="4" w:right="60" w:hanging="4"/>
        <w:spacing w:after="0" w:line="260" w:lineRule="auto"/>
        <w:tabs>
          <w:tab w:leader="none" w:pos="3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4"/>
          </w:cols>
          <w:pgMar w:left="436" w:top="266" w:right="459" w:bottom="1440" w:gutter="0" w:footer="0" w:header="0"/>
        </w:sectPr>
      </w:pPr>
    </w:p>
    <w:bookmarkStart w:id="109" w:name="page110"/>
    <w:bookmarkEnd w:id="10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110" w:name="page111"/>
    <w:bookmarkEnd w:id="110"/>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64"/>
          </w:cols>
          <w:pgMar w:left="436" w:top="270" w:right="499" w:bottom="1440" w:gutter="0" w:footer="0" w:header="0"/>
        </w:sectPr>
      </w:pPr>
    </w:p>
    <w:bookmarkStart w:id="111" w:name="page112"/>
    <w:bookmarkEnd w:id="111"/>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70"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120650</wp:posOffset>
            </wp:positionV>
            <wp:extent cx="1868805" cy="2374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1868805" cy="2374265"/>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181610</wp:posOffset>
            </wp:positionV>
            <wp:extent cx="5083175" cy="6660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5083175" cy="666051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14" w:name="page115"/>
    <w:bookmarkEnd w:id="114"/>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1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Every such special meeting, unless otherwise provided by law, shall be called upon not less than ten (10) days nor more than sixty (60) days prior notice stating the purpose of the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66" w:right="499" w:bottom="1440" w:gutter="0" w:footer="0" w:header="0"/>
        </w:sectPr>
      </w:pPr>
    </w:p>
    <w:bookmarkStart w:id="115" w:name="page116"/>
    <w:bookmarkEnd w:id="11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0" w:right="479" w:bottom="1440" w:gutter="0" w:footer="0" w:header="0"/>
        </w:sectPr>
      </w:pPr>
    </w:p>
    <w:bookmarkStart w:id="116" w:name="page117"/>
    <w:bookmarkEnd w:id="1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0" w:right="519" w:bottom="1440" w:gutter="0" w:footer="0" w:header="0"/>
        </w:sectPr>
      </w:pPr>
    </w:p>
    <w:bookmarkStart w:id="117" w:name="page118"/>
    <w:bookmarkEnd w:id="117"/>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10920"/>
          </w:cols>
          <w:pgMar w:left="440" w:top="270"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129" w:lineRule="exact"/>
        <w:rPr>
          <w:sz w:val="20"/>
          <w:szCs w:val="20"/>
          <w:color w:val="auto"/>
        </w:rPr>
      </w:pPr>
    </w:p>
    <w:p>
      <w:pPr>
        <w:ind w:left="440" w:right="20" w:hanging="4"/>
        <w:spacing w:after="0" w:line="282"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40" w:right="260" w:hanging="4"/>
        <w:spacing w:after="0" w:line="282"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0" w:right="4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0" w:right="459" w:bottom="1440" w:gutter="0" w:footer="0" w:header="0"/>
        </w:sectPr>
      </w:pPr>
    </w:p>
    <w:bookmarkStart w:id="120" w:name="page121"/>
    <w:bookmarkEnd w:id="12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0" w:right="43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0960"/>
          </w:cols>
          <w:pgMar w:left="440" w:top="270" w:right="499" w:bottom="1440" w:gutter="0" w:footer="0" w:header="0"/>
        </w:sectPr>
      </w:pPr>
    </w:p>
    <w:bookmarkStart w:id="122" w:name="page123"/>
    <w:bookmarkEnd w:id="122"/>
    <w:p>
      <w:pPr>
        <w:ind w:left="4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0" w:right="5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020"/>
          </w:cols>
          <w:pgMar w:left="440" w:top="270" w:right="439" w:bottom="1440" w:gutter="0" w:footer="0" w:header="0"/>
        </w:sectPr>
      </w:pPr>
    </w:p>
    <w:bookmarkStart w:id="124" w:name="page125"/>
    <w:bookmarkEnd w:id="12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6</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Bradley E. Scarbrough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20"/>
          </w:cols>
          <w:pgMar w:left="440" w:top="266" w:right="5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7</w:t>
            </w:r>
          </w:p>
        </w:tc>
        <w:tc>
          <w:tcPr>
            <w:tcW w:w="43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22"/>
        </w:trPr>
        <w:tc>
          <w:tcPr>
            <w:tcW w:w="3400" w:type="dxa"/>
            <w:vAlign w:val="bottom"/>
          </w:tcPr>
          <w:p>
            <w:pPr>
              <w:spacing w:after="0"/>
              <w:rPr>
                <w:sz w:val="24"/>
                <w:szCs w:val="24"/>
                <w:color w:val="auto"/>
              </w:rPr>
            </w:pPr>
          </w:p>
        </w:tc>
        <w:tc>
          <w:tcPr>
            <w:tcW w:w="6840" w:type="dxa"/>
            <w:vAlign w:val="bottom"/>
            <w:gridSpan w:val="4"/>
          </w:tcPr>
          <w:p>
            <w:pPr>
              <w:jc w:val="center"/>
              <w:ind w:right="2536"/>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6840" w:type="dxa"/>
            <w:vAlign w:val="bottom"/>
            <w:gridSpan w:val="4"/>
          </w:tcPr>
          <w:p>
            <w:pPr>
              <w:jc w:val="center"/>
              <w:ind w:right="2556"/>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6840" w:type="dxa"/>
            <w:vAlign w:val="bottom"/>
            <w:gridSpan w:val="4"/>
          </w:tcPr>
          <w:p>
            <w:pPr>
              <w:jc w:val="center"/>
              <w:ind w:right="2536"/>
              <w:spacing w:after="0"/>
              <w:rPr>
                <w:sz w:val="20"/>
                <w:szCs w:val="20"/>
                <w:color w:val="auto"/>
              </w:rPr>
            </w:pPr>
            <w:r>
              <w:rPr>
                <w:rFonts w:ascii="Times New Roman" w:cs="Times New Roman" w:eastAsia="Times New Roman" w:hAnsi="Times New Roman"/>
                <w:sz w:val="18"/>
                <w:szCs w:val="18"/>
                <w:b w:val="1"/>
                <w:bCs w:val="1"/>
                <w:color w:val="auto"/>
                <w:w w:val="99"/>
              </w:rPr>
              <w:t>as of 12/31/2023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80" w:type="dxa"/>
            <w:vAlign w:val="bottom"/>
            <w:gridSpan w:val="3"/>
          </w:tcPr>
          <w:p>
            <w:pPr>
              <w:jc w:val="center"/>
              <w:ind w:right="4296"/>
              <w:spacing w:after="0"/>
              <w:rPr>
                <w:sz w:val="20"/>
                <w:szCs w:val="20"/>
                <w:color w:val="auto"/>
              </w:rPr>
            </w:pPr>
            <w:r>
              <w:rPr>
                <w:rFonts w:ascii="Times New Roman" w:cs="Times New Roman" w:eastAsia="Times New Roman" w:hAnsi="Times New Roman"/>
                <w:sz w:val="18"/>
                <w:szCs w:val="18"/>
                <w:b w:val="1"/>
                <w:bCs w:val="1"/>
                <w:color w:val="auto"/>
              </w:rPr>
              <w:t>($000’ 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400" w:type="dxa"/>
            <w:vAlign w:val="bottom"/>
          </w:tcPr>
          <w:p>
            <w:pPr>
              <w:spacing w:after="0"/>
              <w:rPr>
                <w:sz w:val="24"/>
                <w:szCs w:val="24"/>
                <w:color w:val="auto"/>
              </w:rPr>
            </w:pPr>
          </w:p>
        </w:tc>
        <w:tc>
          <w:tcPr>
            <w:tcW w:w="7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60" w:type="dxa"/>
            <w:vAlign w:val="bottom"/>
          </w:tcPr>
          <w:p>
            <w:pPr>
              <w:spacing w:after="0"/>
              <w:rPr>
                <w:sz w:val="24"/>
                <w:szCs w:val="24"/>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Balances Due From</w:t>
            </w:r>
          </w:p>
        </w:tc>
        <w:tc>
          <w:tcPr>
            <w:tcW w:w="6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1,171,838</w:t>
            </w:r>
          </w:p>
        </w:tc>
      </w:tr>
      <w:tr>
        <w:trPr>
          <w:trHeight w:val="216"/>
        </w:trPr>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Depository Institutions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4,441</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Funds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578,492</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218,268</w:t>
            </w: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1,974,448</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6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 Funds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Demand Notes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Trading 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Borrowed Money</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Acceptances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255,900</w:t>
            </w: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255,900</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Surplus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1,171,635</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Undivided Profits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546,713</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4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1,718,548</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6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1,974,448</w:t>
            </w:r>
          </w:p>
        </w:tc>
      </w:tr>
    </w:tbl>
    <w:p>
      <w:pPr>
        <w:jc w:val="right"/>
        <w:ind w:right="60"/>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34" w:type="dxa"/>
        <w:tblCellMar>
          <w:top w:w="0" w:type="dxa"/>
          <w:left w:w="0" w:type="dxa"/>
          <w:bottom w:w="0" w:type="dxa"/>
          <w:right w:w="0" w:type="dxa"/>
        </w:tblCellMar>
      </w:tblPr>
      <w:tr>
        <w:trPr>
          <w:trHeight w:val="191"/>
        </w:trPr>
        <w:tc>
          <w:tcPr>
            <w:tcW w:w="1400" w:type="dxa"/>
            <w:vAlign w:val="bottom"/>
            <w:tcBorders>
              <w:top w:val="single" w:sz="8" w:color="auto"/>
              <w:left w:val="single" w:sz="8" w:color="auto"/>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Class Title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Registered(3)</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Offering Price(3)</w:t>
            </w: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Fee</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File</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Unsold</w:t>
            </w: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8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1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Type</w:t>
            </w:r>
          </w:p>
        </w:tc>
        <w:tc>
          <w:tcPr>
            <w:tcW w:w="62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Number</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Securities</w:t>
            </w:r>
          </w:p>
        </w:tc>
        <w:tc>
          <w:tcPr>
            <w:tcW w:w="0" w:type="dxa"/>
            <w:vAlign w:val="bottom"/>
          </w:tcPr>
          <w:p>
            <w:pPr>
              <w:spacing w:after="0"/>
              <w:rPr>
                <w:sz w:val="1"/>
                <w:szCs w:val="1"/>
                <w:color w:val="auto"/>
              </w:rPr>
            </w:pPr>
          </w:p>
        </w:tc>
      </w:tr>
      <w:tr>
        <w:trPr>
          <w:trHeight w:val="109"/>
        </w:trPr>
        <w:tc>
          <w:tcPr>
            <w:tcW w:w="140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39"/>
        </w:trPr>
        <w:tc>
          <w:tcPr>
            <w:tcW w:w="1400" w:type="dxa"/>
            <w:vAlign w:val="bottom"/>
            <w:tcBorders>
              <w:left w:val="single" w:sz="8" w:color="auto"/>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64"/>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140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w:t>
            </w:r>
          </w:p>
        </w:tc>
        <w:tc>
          <w:tcPr>
            <w:tcW w:w="7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$0.0001</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share(1)</w:t>
            </w:r>
          </w:p>
        </w:tc>
        <w:tc>
          <w:tcPr>
            <w:tcW w:w="7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Preferred</w:t>
            </w: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$0.0001</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vMerge w:val="restart"/>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Fees to</w:t>
            </w:r>
          </w:p>
        </w:tc>
        <w:tc>
          <w:tcPr>
            <w:tcW w:w="9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share(1)</w:t>
            </w:r>
          </w:p>
        </w:tc>
        <w:tc>
          <w:tcPr>
            <w:tcW w:w="7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0" w:type="dxa"/>
            <w:vAlign w:val="bottom"/>
            <w:tcBorders>
              <w:left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00" w:type="dxa"/>
            <w:vAlign w:val="bottom"/>
            <w:tcBorders>
              <w:left w:val="single" w:sz="8" w:color="auto"/>
              <w:right w:val="single" w:sz="8" w:color="auto"/>
            </w:tcBorders>
          </w:tcPr>
          <w:p>
            <w:pPr>
              <w:jc w:val="center"/>
              <w:ind w:left="49"/>
              <w:spacing w:after="0" w:line="119" w:lineRule="exact"/>
              <w:rPr>
                <w:sz w:val="20"/>
                <w:szCs w:val="20"/>
                <w:color w:val="auto"/>
              </w:rPr>
            </w:pPr>
            <w:r>
              <w:rPr>
                <w:rFonts w:ascii="Times New Roman" w:cs="Times New Roman" w:eastAsia="Times New Roman" w:hAnsi="Times New Roman"/>
                <w:sz w:val="13"/>
                <w:szCs w:val="13"/>
                <w:b w:val="1"/>
                <w:bCs w:val="1"/>
                <w:color w:val="auto"/>
              </w:rPr>
              <w:t>Be Paid</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780" w:type="dxa"/>
            <w:vAlign w:val="bottom"/>
            <w:tcBorders>
              <w:right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Debt</w:t>
            </w: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7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00" w:type="dxa"/>
            <w:vAlign w:val="bottom"/>
            <w:tcBorders>
              <w:left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4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right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Purchase</w:t>
            </w: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400" w:type="dxa"/>
            <w:vAlign w:val="bottom"/>
            <w:tcBorders>
              <w:left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00" w:type="dxa"/>
            <w:vAlign w:val="bottom"/>
            <w:tcBorders>
              <w:left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4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$250,000,000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$250,000,000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0.0001476</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$36,900</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400" w:type="dxa"/>
            <w:vAlign w:val="bottom"/>
            <w:tcBorders>
              <w:left w:val="single" w:sz="8" w:color="auto"/>
              <w:right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Fees</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9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Paid</w:t>
            </w:r>
          </w:p>
        </w:tc>
        <w:tc>
          <w:tcPr>
            <w:tcW w:w="9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tcPr>
          <w:p>
            <w:pPr>
              <w:spacing w:after="0"/>
              <w:rPr>
                <w:sz w:val="18"/>
                <w:szCs w:val="18"/>
                <w:color w:val="auto"/>
              </w:rPr>
            </w:pPr>
          </w:p>
        </w:tc>
        <w:tc>
          <w:tcPr>
            <w:tcW w:w="250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8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$250,000,000(3)</w:t>
            </w: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$36,900</w:t>
            </w: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tcPr>
          <w:p>
            <w:pPr>
              <w:spacing w:after="0"/>
              <w:rPr>
                <w:sz w:val="18"/>
                <w:szCs w:val="18"/>
                <w:color w:val="auto"/>
              </w:rPr>
            </w:pPr>
          </w:p>
        </w:tc>
        <w:tc>
          <w:tcPr>
            <w:tcW w:w="2500" w:type="dxa"/>
            <w:vAlign w:val="bottom"/>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8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tcPr>
          <w:p>
            <w:pPr>
              <w:spacing w:after="0"/>
              <w:rPr>
                <w:sz w:val="18"/>
                <w:szCs w:val="18"/>
                <w:color w:val="auto"/>
              </w:rPr>
            </w:pPr>
          </w:p>
        </w:tc>
        <w:tc>
          <w:tcPr>
            <w:tcW w:w="17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7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$22,040(4)</w:t>
            </w: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tcPr>
          <w:p>
            <w:pPr>
              <w:spacing w:after="0"/>
              <w:rPr>
                <w:sz w:val="18"/>
                <w:szCs w:val="18"/>
                <w:color w:val="auto"/>
              </w:rPr>
            </w:pPr>
          </w:p>
        </w:tc>
        <w:tc>
          <w:tcPr>
            <w:tcW w:w="172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7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$14,860</w:t>
            </w: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rights to acquire Common Stock or Preferred Stock of the Company under any shareholder rights plan then in effect, if applicable under the terms of any such plan.</w:t>
      </w:r>
    </w:p>
    <w:p>
      <w:pPr>
        <w:spacing w:after="0" w:line="3" w:lineRule="exact"/>
        <w:rPr>
          <w:rFonts w:ascii="Times New Roman" w:cs="Times New Roman" w:eastAsia="Times New Roman" w:hAnsi="Times New Roman"/>
          <w:sz w:val="14"/>
          <w:szCs w:val="14"/>
          <w:color w:val="auto"/>
        </w:rPr>
      </w:pPr>
    </w:p>
    <w:p>
      <w:pPr>
        <w:ind w:left="424" w:right="40" w:hanging="424"/>
        <w:spacing w:after="0" w:line="221" w:lineRule="auto"/>
        <w:tabs>
          <w:tab w:leader="none" w:pos="42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class of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on Form S-3.</w:t>
      </w:r>
    </w:p>
    <w:p>
      <w:pPr>
        <w:ind w:left="424" w:right="260" w:hanging="424"/>
        <w:spacing w:after="0" w:line="221" w:lineRule="auto"/>
        <w:tabs>
          <w:tab w:leader="none" w:pos="42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$250,000,000.</w:t>
      </w:r>
    </w:p>
    <w:p>
      <w:pPr>
        <w:ind w:left="424" w:hanging="424"/>
        <w:spacing w:after="0"/>
        <w:tabs>
          <w:tab w:leader="none" w:pos="42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Table 2, below.</w:t>
      </w:r>
    </w:p>
    <w:p>
      <w:pPr>
        <w:sectPr>
          <w:pgSz w:w="11900" w:h="16838" w:orient="portrait"/>
          <w:cols w:equalWidth="0" w:num="1">
            <w:col w:w="11024"/>
          </w:cols>
          <w:pgMar w:left="436" w:top="117" w:right="439" w:bottom="1440" w:gutter="0" w:footer="0" w:header="0"/>
        </w:sectPr>
      </w:pPr>
    </w:p>
    <w:bookmarkStart w:id="127" w:name="page128"/>
    <w:bookmarkEnd w:id="12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2: Fee Offset Claims and Sources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91"/>
        </w:trPr>
        <w:tc>
          <w:tcPr>
            <w:tcW w:w="1580" w:type="dxa"/>
            <w:vAlign w:val="bottom"/>
            <w:tcBorders>
              <w:top w:val="single" w:sz="8" w:color="auto"/>
              <w:left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6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Unsold</w:t>
            </w:r>
          </w:p>
        </w:tc>
        <w:tc>
          <w:tcPr>
            <w:tcW w:w="1000" w:type="dxa"/>
            <w:vAlign w:val="bottom"/>
            <w:tcBorders>
              <w:top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7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6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Fee Paid</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Registrant</w:t>
            </w: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 or</w:t>
            </w: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14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66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6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00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Filer</w:t>
            </w: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66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4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16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100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74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Claimed</w:t>
            </w:r>
          </w:p>
        </w:tc>
        <w:tc>
          <w:tcPr>
            <w:tcW w:w="14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6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00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74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Source</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Offset Claimed</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tcBorders>
              <w:left w:val="single" w:sz="8" w:color="auto"/>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Claimed</w:t>
            </w:r>
          </w:p>
        </w:tc>
        <w:tc>
          <w:tcPr>
            <w:tcW w:w="16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Claimed</w:t>
            </w:r>
          </w:p>
        </w:tc>
        <w:tc>
          <w:tcPr>
            <w:tcW w:w="100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580" w:type="dxa"/>
            <w:vAlign w:val="bottom"/>
            <w:tcBorders>
              <w:left w:val="single" w:sz="8" w:color="auto"/>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5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Rule 457(p)</w:t>
            </w:r>
          </w:p>
        </w:tc>
        <w:tc>
          <w:tcPr>
            <w:tcW w:w="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58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580" w:type="dxa"/>
            <w:vAlign w:val="bottom"/>
            <w:tcBorders>
              <w:left w:val="single" w:sz="8" w:color="auto"/>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Fee</w:t>
            </w:r>
          </w:p>
        </w:tc>
        <w:tc>
          <w:tcPr>
            <w:tcW w:w="8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Common</w:t>
            </w:r>
          </w:p>
        </w:tc>
        <w:tc>
          <w:tcPr>
            <w:tcW w:w="9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58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Beyond</w:t>
            </w:r>
          </w:p>
        </w:tc>
        <w:tc>
          <w:tcPr>
            <w:tcW w:w="6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10,</w:t>
            </w: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Stock, $0.0001</w:t>
            </w:r>
          </w:p>
        </w:tc>
        <w:tc>
          <w:tcPr>
            <w:tcW w:w="92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580" w:type="dxa"/>
            <w:vAlign w:val="bottom"/>
            <w:tcBorders>
              <w:left w:val="single" w:sz="8" w:color="auto"/>
              <w:right w:val="single" w:sz="8" w:color="auto"/>
            </w:tcBorders>
            <w:vMerge w:val="restart"/>
          </w:tcPr>
          <w:p>
            <w:pPr>
              <w:jc w:val="center"/>
              <w:ind w:left="48"/>
              <w:spacing w:after="0" w:line="160" w:lineRule="exact"/>
              <w:rPr>
                <w:sz w:val="20"/>
                <w:szCs w:val="20"/>
                <w:color w:val="auto"/>
              </w:rPr>
            </w:pPr>
            <w:r>
              <w:rPr>
                <w:rFonts w:ascii="Times New Roman" w:cs="Times New Roman" w:eastAsia="Times New Roman" w:hAnsi="Times New Roman"/>
                <w:sz w:val="14"/>
                <w:szCs w:val="14"/>
                <w:b w:val="1"/>
                <w:bCs w:val="1"/>
                <w:color w:val="auto"/>
              </w:rPr>
              <w:t>Offset</w:t>
            </w:r>
          </w:p>
        </w:tc>
        <w:tc>
          <w:tcPr>
            <w:tcW w:w="8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rPr>
              <w:t>424b(5)</w:t>
            </w: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ind w:left="8"/>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restart"/>
          </w:tcPr>
          <w:p>
            <w:pPr>
              <w:jc w:val="right"/>
              <w:spacing w:after="0" w:line="160" w:lineRule="exact"/>
              <w:rPr>
                <w:sz w:val="20"/>
                <w:szCs w:val="20"/>
                <w:color w:val="auto"/>
              </w:rPr>
            </w:pPr>
            <w:r>
              <w:rPr>
                <w:rFonts w:ascii="Times New Roman" w:cs="Times New Roman" w:eastAsia="Times New Roman" w:hAnsi="Times New Roman"/>
                <w:sz w:val="14"/>
                <w:szCs w:val="14"/>
                <w:color w:val="auto"/>
              </w:rPr>
              <w:t>$22,040</w:t>
            </w:r>
          </w:p>
        </w:tc>
        <w:tc>
          <w:tcPr>
            <w:tcW w:w="140" w:type="dxa"/>
            <w:vAlign w:val="bottom"/>
          </w:tcPr>
          <w:p>
            <w:pPr>
              <w:spacing w:after="0"/>
              <w:rPr>
                <w:sz w:val="7"/>
                <w:szCs w:val="7"/>
                <w:color w:val="auto"/>
              </w:rPr>
            </w:pPr>
          </w:p>
        </w:tc>
        <w:tc>
          <w:tcPr>
            <w:tcW w:w="78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66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right"/>
              <w:ind w:right="268"/>
              <w:spacing w:after="0" w:line="160" w:lineRule="exact"/>
              <w:rPr>
                <w:sz w:val="20"/>
                <w:szCs w:val="20"/>
                <w:color w:val="auto"/>
              </w:rPr>
            </w:pPr>
            <w:r>
              <w:rPr>
                <w:rFonts w:ascii="Times New Roman" w:cs="Times New Roman" w:eastAsia="Times New Roman" w:hAnsi="Times New Roman"/>
                <w:sz w:val="14"/>
                <w:szCs w:val="14"/>
                <w:color w:val="auto"/>
              </w:rPr>
              <w:t>(6)</w:t>
            </w:r>
          </w:p>
        </w:tc>
        <w:tc>
          <w:tcPr>
            <w:tcW w:w="1000" w:type="dxa"/>
            <w:vAlign w:val="bottom"/>
            <w:tcBorders>
              <w:right w:val="single" w:sz="8" w:color="auto"/>
            </w:tcBorders>
            <w:vMerge w:val="restart"/>
          </w:tcPr>
          <w:p>
            <w:pPr>
              <w:jc w:val="right"/>
              <w:spacing w:after="0" w:line="160" w:lineRule="exact"/>
              <w:rPr>
                <w:sz w:val="20"/>
                <w:szCs w:val="20"/>
                <w:color w:val="auto"/>
              </w:rPr>
            </w:pPr>
            <w:r>
              <w:rPr>
                <w:rFonts w:ascii="Times New Roman" w:cs="Times New Roman" w:eastAsia="Times New Roman" w:hAnsi="Times New Roman"/>
                <w:sz w:val="14"/>
                <w:szCs w:val="14"/>
                <w:color w:val="auto"/>
              </w:rPr>
              <w:t>$200,000,000</w:t>
            </w:r>
          </w:p>
        </w:tc>
        <w:tc>
          <w:tcPr>
            <w:tcW w:w="740" w:type="dxa"/>
            <w:vAlign w:val="bottom"/>
            <w:tcBorders>
              <w:right w:val="single" w:sz="8" w:color="auto"/>
            </w:tcBorders>
            <w:vMerge w:val="restart"/>
          </w:tcPr>
          <w:p>
            <w:pPr>
              <w:jc w:val="center"/>
              <w:ind w:left="8"/>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7"/>
        </w:trPr>
        <w:tc>
          <w:tcPr>
            <w:tcW w:w="1580" w:type="dxa"/>
            <w:vAlign w:val="bottom"/>
            <w:tcBorders>
              <w:left w:val="single" w:sz="8" w:color="auto"/>
              <w:right w:val="single" w:sz="8" w:color="auto"/>
            </w:tcBorders>
            <w:vMerge w:val="continue"/>
          </w:tcPr>
          <w:p>
            <w:pPr>
              <w:spacing w:after="0"/>
              <w:rPr>
                <w:sz w:val="6"/>
                <w:szCs w:val="6"/>
                <w:color w:val="auto"/>
              </w:rPr>
            </w:pP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Meat, Inc.</w:t>
            </w:r>
          </w:p>
        </w:tc>
        <w:tc>
          <w:tcPr>
            <w:tcW w:w="6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271809</w:t>
            </w:r>
          </w:p>
        </w:tc>
        <w:tc>
          <w:tcPr>
            <w:tcW w:w="680" w:type="dxa"/>
            <w:vAlign w:val="bottom"/>
            <w:tcBorders>
              <w:right w:val="single" w:sz="8" w:color="auto"/>
            </w:tcBorders>
            <w:vMerge w:val="restart"/>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par value per</w:t>
            </w:r>
          </w:p>
        </w:tc>
        <w:tc>
          <w:tcPr>
            <w:tcW w:w="92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8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580" w:type="dxa"/>
            <w:vAlign w:val="bottom"/>
            <w:tcBorders>
              <w:left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80" w:type="dxa"/>
            <w:vAlign w:val="bottom"/>
            <w:tcBorders>
              <w:left w:val="single" w:sz="8" w:color="auto"/>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58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Fees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Beyond</w:t>
            </w:r>
          </w:p>
        </w:tc>
        <w:tc>
          <w:tcPr>
            <w:tcW w:w="6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May 10,</w:t>
            </w:r>
          </w:p>
        </w:tc>
        <w:tc>
          <w:tcPr>
            <w:tcW w:w="6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580" w:type="dxa"/>
            <w:vAlign w:val="bottom"/>
            <w:tcBorders>
              <w:left w:val="single" w:sz="8" w:color="auto"/>
              <w:right w:val="single" w:sz="8" w:color="auto"/>
            </w:tcBorders>
            <w:vMerge w:val="restart"/>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8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424b5(5)</w:t>
            </w:r>
          </w:p>
        </w:tc>
        <w:tc>
          <w:tcPr>
            <w:tcW w:w="6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6"/>
                <w:szCs w:val="6"/>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right w:val="single" w:sz="8" w:color="auto"/>
            </w:tcBorders>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$22,040</w:t>
            </w:r>
          </w:p>
        </w:tc>
        <w:tc>
          <w:tcPr>
            <w:tcW w:w="0" w:type="dxa"/>
            <w:vAlign w:val="bottom"/>
          </w:tcPr>
          <w:p>
            <w:pPr>
              <w:spacing w:after="0"/>
              <w:rPr>
                <w:sz w:val="1"/>
                <w:szCs w:val="1"/>
                <w:color w:val="auto"/>
              </w:rPr>
            </w:pPr>
          </w:p>
        </w:tc>
      </w:tr>
      <w:tr>
        <w:trPr>
          <w:trHeight w:val="70"/>
        </w:trPr>
        <w:tc>
          <w:tcPr>
            <w:tcW w:w="1580" w:type="dxa"/>
            <w:vAlign w:val="bottom"/>
            <w:tcBorders>
              <w:left w:val="single" w:sz="8" w:color="auto"/>
              <w:right w:val="single" w:sz="8" w:color="auto"/>
            </w:tcBorders>
            <w:vMerge w:val="continue"/>
          </w:tcPr>
          <w:p>
            <w:pPr>
              <w:spacing w:after="0"/>
              <w:rPr>
                <w:sz w:val="6"/>
                <w:szCs w:val="6"/>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Meat, Inc.</w:t>
            </w:r>
          </w:p>
        </w:tc>
        <w:tc>
          <w:tcPr>
            <w:tcW w:w="6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271809</w:t>
            </w: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580" w:type="dxa"/>
            <w:vAlign w:val="bottom"/>
            <w:tcBorders>
              <w:left w:val="single" w:sz="8" w:color="auto"/>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88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58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hanging="424"/>
        <w:spacing w:after="0"/>
        <w:tabs>
          <w:tab w:leader="none" w:pos="42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has terminated or completed any offering that included the unsold securities in this Table 2 under the prior registration statement.</w:t>
      </w:r>
    </w:p>
    <w:p>
      <w:pPr>
        <w:spacing w:after="0" w:line="3" w:lineRule="exact"/>
        <w:rPr>
          <w:rFonts w:ascii="Times New Roman" w:cs="Times New Roman" w:eastAsia="Times New Roman" w:hAnsi="Times New Roman"/>
          <w:sz w:val="14"/>
          <w:szCs w:val="14"/>
          <w:color w:val="auto"/>
        </w:rPr>
      </w:pPr>
    </w:p>
    <w:p>
      <w:pPr>
        <w:ind w:left="424" w:right="160" w:hanging="424"/>
        <w:spacing w:after="0" w:line="228" w:lineRule="auto"/>
        <w:tabs>
          <w:tab w:leader="none" w:pos="42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filed a prospectus supplement (the “Prospectus Supplement”), dated May 11, 2023 to a prospectus, dated May 10, 2023, constituting part of its registration statement on Form S-3ASR (File No. 333-271809) relating to the offer and sale of up to $200,000,000 of its common stock, par value $0.0001 per share (the “Common Stock”), for which a filing fee of $22,040 was paid based on the fee rate then in effect. All such shares of Common Stock remain unsold, resulting in an offset fee amount of $22,040. The Registrant hereby confirms that the offering that included such unsold securities has been terminated. Pursuant to Rule 457(p), the Registrant is offsetting $22,040 of the fees associated with this registration statement from the filing fee previously paid in connection with the Prospectus Supplement.</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lowerRoman"/>
      <w:start w:val="2"/>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lvl w:ilvl="1">
      <w:lvlJc w:val="left"/>
      <w:lvlText w:val="(%2)"/>
      <w:numFmt w:val="lowerRoman"/>
      <w:start w:val="1"/>
    </w:lvl>
  </w:abstractNum>
  <w:abstractNum w:abstractNumId="31">
    <w:nsid w:val="374A3FE6"/>
    <w:multiLevelType w:val="hybridMultilevel"/>
    <w:lvl w:ilvl="0">
      <w:lvlJc w:val="left"/>
      <w:lvlText w:val="(%1)"/>
      <w:numFmt w:val="lowerRoman"/>
      <w:start w:val="3"/>
    </w:lvl>
  </w:abstractNum>
  <w:abstractNum w:abstractNumId="32">
    <w:nsid w:val="4F4EF005"/>
    <w:multiLevelType w:val="hybridMultilevel"/>
    <w:lvl w:ilvl="0">
      <w:lvlJc w:val="left"/>
      <w:lvlText w:val="(%1)"/>
      <w:numFmt w:val="decimal"/>
      <w:start w:val="2"/>
    </w:lvl>
    <w:lvl w:ilvl="1">
      <w:lvlJc w:val="left"/>
      <w:lvlText w:val="(%2)"/>
      <w:numFmt w:val="lowerRoman"/>
      <w:start w:val="1"/>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lowerRoman"/>
      <w:start w:val="2"/>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5"/>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lvl w:ilvl="1">
      <w:lvlJc w:val="left"/>
      <w:lvlText w:val="(%2)"/>
      <w:numFmt w:val="lowerRoman"/>
      <w:start w:val="1"/>
    </w:lvl>
  </w:abstractNum>
  <w:abstractNum w:abstractNumId="40">
    <w:nsid w:val="47398C89"/>
    <w:multiLevelType w:val="hybridMultilevel"/>
    <w:lvl w:ilvl="0">
      <w:lvlJc w:val="left"/>
      <w:lvlText w:val="(%1)"/>
      <w:numFmt w:val="lowerLetter"/>
      <w:start w:val="6"/>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2"/>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2"/>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2"/>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9">
    <w:nsid w:val="77AE35E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0">
    <w:nsid w:val="579BE4F1"/>
    <w:multiLevelType w:val="hybridMultilevel"/>
    <w:lvl w:ilvl="0">
      <w:lvlJc w:val="left"/>
      <w:lvlText w:val="%1"/>
      <w:numFmt w:val="lowerLetter"/>
      <w:start w:val="1"/>
    </w:lvl>
    <w:lvl w:ilvl="1">
      <w:lvlJc w:val="left"/>
      <w:lvlText w:val="(%2)"/>
      <w:numFmt w:val="lowerRoman"/>
      <w:start w:val="2"/>
    </w:lvl>
  </w:abstractNum>
  <w:abstractNum w:abstractNumId="51">
    <w:nsid w:val="310C50B3"/>
    <w:multiLevelType w:val="hybridMultilevel"/>
    <w:lvl w:ilvl="0">
      <w:lvlJc w:val="left"/>
      <w:lvlText w:val="(%1)"/>
      <w:numFmt w:val="lowerLetter"/>
      <w:start w:val="4"/>
    </w:lvl>
    <w:lvl w:ilvl="1">
      <w:lvlJc w:val="left"/>
      <w:lvlText w:val="%2"/>
      <w:numFmt w:val="lowerRoman"/>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3"/>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3"/>
    </w:lvl>
  </w:abstractNum>
  <w:abstractNum w:abstractNumId="56">
    <w:nsid w:val="4AD084E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7">
    <w:nsid w:val="1F48EAA1"/>
    <w:multiLevelType w:val="hybridMultilevel"/>
    <w:lvl w:ilvl="0">
      <w:lvlJc w:val="left"/>
      <w:lvlText w:val="(%1)"/>
      <w:numFmt w:val="lowerLetter"/>
      <w:start w:val="2"/>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4"/>
    </w:lvl>
  </w:abstractNum>
  <w:abstractNum w:abstractNumId="61">
    <w:nsid w:val="6590700B"/>
    <w:multiLevelType w:val="hybridMultilevel"/>
    <w:lvl w:ilvl="0">
      <w:lvlJc w:val="left"/>
      <w:lvlText w:val="(%1)"/>
      <w:numFmt w:val="lowerLetter"/>
      <w:start w:val="8"/>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3"/>
    </w:lvl>
  </w:abstractNum>
  <w:abstractNum w:abstractNumId="64">
    <w:nsid w:val="98A3148"/>
    <w:multiLevelType w:val="hybridMultilevel"/>
    <w:lvl w:ilvl="0">
      <w:lvlJc w:val="left"/>
      <w:lvlText w:val="(%1)"/>
      <w:numFmt w:val="lowerLetter"/>
      <w:start w:val="2"/>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lowerRoman"/>
      <w:start w:val="3"/>
    </w:lvl>
  </w:abstractNum>
  <w:abstractNum w:abstractNumId="71">
    <w:nsid w:val="5DC79EA8"/>
    <w:multiLevelType w:val="hybridMultilevel"/>
    <w:lvl w:ilvl="0">
      <w:lvlJc w:val="left"/>
      <w:lvlText w:val="(%1)"/>
      <w:numFmt w:val="decimal"/>
      <w:start w:val="1"/>
    </w:lvl>
    <w:lvl w:ilvl="1">
      <w:lvlJc w:val="left"/>
      <w:lvlText w:val="-"/>
      <w:numFmt w:val="bullet"/>
      <w:start w:val="1"/>
    </w:lvl>
  </w:abstractNum>
  <w:abstractNum w:abstractNumId="72">
    <w:nsid w:val="540A471C"/>
    <w:multiLevelType w:val="hybridMultilevel"/>
    <w:lvl w:ilvl="0">
      <w:lvlJc w:val="left"/>
      <w:lvlText w:val="(%1)"/>
      <w:numFmt w:val="decimal"/>
      <w:start w:val="8"/>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jpeg"/><Relationship Id="rId142" Type="http://schemas.openxmlformats.org/officeDocument/2006/relationships/image" Target="media/image124.png"/><Relationship Id="rId143" Type="http://schemas.openxmlformats.org/officeDocument/2006/relationships/image" Target="media/image125.jpeg"/><Relationship Id="rId144" Type="http://schemas.openxmlformats.org/officeDocument/2006/relationships/image" Target="media/image126.png"/><Relationship Id="rId145" Type="http://schemas.openxmlformats.org/officeDocument/2006/relationships/image" Target="media/image127.jpeg"/><Relationship Id="rId146" Type="http://schemas.openxmlformats.org/officeDocument/2006/relationships/image" Target="media/image128.png"/><Relationship Id="rId147" Type="http://schemas.openxmlformats.org/officeDocument/2006/relationships/image" Target="media/image129.jpe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jpeg"/><Relationship Id="rId163" Type="http://schemas.openxmlformats.org/officeDocument/2006/relationships/image" Target="media/image145.png"/><Relationship Id="rId164" Type="http://schemas.openxmlformats.org/officeDocument/2006/relationships/image" Target="media/image146.jpe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32" Type="http://schemas.openxmlformats.org/officeDocument/2006/relationships/hyperlink" Target="http://www.sec.gov/ix?doc=/Archives/edgar/data/1655210/000165521024000025/bynd-20231231.htm" TargetMode="External"/><Relationship Id="rId33" Type="http://schemas.openxmlformats.org/officeDocument/2006/relationships/hyperlink" Target="http://www.sec.gov/ix?doc=/Archives/edgar/data/1655210/000165521023000076/bynd-20230412.htm" TargetMode="External"/><Relationship Id="rId34" Type="http://schemas.openxmlformats.org/officeDocument/2006/relationships/hyperlink" Target="http://www.sec.gov/ix?doc=/Archives/edgar/data/1655210/000165521024000004/bynd-20240106.htm" TargetMode="External"/><Relationship Id="rId35" Type="http://schemas.openxmlformats.org/officeDocument/2006/relationships/hyperlink" Target="http://www.sec.gov/ix?doc=/Archives/edgar/data/1655210/000165521024000013/bynd-20240209.htm" TargetMode="External"/><Relationship Id="rId36" Type="http://schemas.openxmlformats.org/officeDocument/2006/relationships/hyperlink" Target="http://www.sec.gov/ix?doc=/Archives/edgar/data/1655210/000165521024000017/bynd-20240227.htm" TargetMode="External"/><Relationship Id="rId37" Type="http://schemas.openxmlformats.org/officeDocument/2006/relationships/hyperlink" Target="http://www.sec.gov/Archives/edgar/data/1655210/000165521023000017/ex43descriptionofsecurities.htm" TargetMode="External"/><Relationship Id="rId38" Type="http://schemas.openxmlformats.org/officeDocument/2006/relationships/hyperlink" Target="http://www.sec.gov/Archives/edgar/data/1655210/000162828019004604/beyondmeat8-a12b.htm" TargetMode="External"/><Relationship Id="rId73" Type="http://schemas.openxmlformats.org/officeDocument/2006/relationships/hyperlink" Target="http://www.sec.gov/Archives/edgar/data/1655210/000119312523140984/d498230dex11.htm" TargetMode="External"/><Relationship Id="rId74" Type="http://schemas.openxmlformats.org/officeDocument/2006/relationships/hyperlink" Target="http://www.sec.gov/Archives/edgar/data/1655210/000165521019000053/byndarcert_incorpex-31.htm" TargetMode="External"/><Relationship Id="rId75" Type="http://schemas.openxmlformats.org/officeDocument/2006/relationships/hyperlink" Target="http://www.sec.gov/Archives/edgar/data/1655210/000165521024000013/ex31amendedandrestatedby.htm" TargetMode="External"/><Relationship Id="rId76" Type="http://schemas.openxmlformats.org/officeDocument/2006/relationships/hyperlink" Target="http://www.sec.gov/Archives/edgar/data/1655210/000162828019003500/exhibit41-sx1a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2024-03-18T15:25:30Z</dcterms:created>
  <dcterms:modified xsi:type="dcterms:W3CDTF">2024-03-18T15:25:30Z</dcterms:modified>
</cp:coreProperties>
</file>