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274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27406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Bohlen Gregory</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20" w:type="dxa"/>
            <w:vAlign w:val="bottom"/>
          </w:tcPr>
          <w:p>
            <w:pPr>
              <w:spacing w:after="0"/>
              <w:rPr>
                <w:sz w:val="20"/>
                <w:szCs w:val="20"/>
                <w:color w:val="auto"/>
              </w:rPr>
            </w:pPr>
            <w:r>
              <w:rPr>
                <w:rFonts w:ascii="Arial" w:cs="Arial" w:eastAsia="Arial" w:hAnsi="Arial"/>
                <w:sz w:val="9"/>
                <w:szCs w:val="9"/>
                <w:color w:val="auto"/>
              </w:rPr>
              <w:t>(Last)</w:t>
            </w:r>
          </w:p>
        </w:tc>
        <w:tc>
          <w:tcPr>
            <w:tcW w:w="860" w:type="dxa"/>
            <w:vAlign w:val="bottom"/>
          </w:tcPr>
          <w:p>
            <w:pPr>
              <w:ind w:left="1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C/O BEYOND MEAT, INC.</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119 STANDARD STREET</w:t>
            </w: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60" w:type="dxa"/>
            <w:vAlign w:val="bottom"/>
            <w:gridSpan w:val="2"/>
          </w:tcPr>
          <w:p>
            <w:pPr>
              <w:spacing w:after="0"/>
              <w:rPr>
                <w:sz w:val="20"/>
                <w:szCs w:val="20"/>
                <w:color w:val="auto"/>
              </w:rPr>
            </w:pPr>
            <w:r>
              <w:rPr>
                <w:rFonts w:ascii="Arial" w:cs="Arial" w:eastAsia="Arial" w:hAnsi="Arial"/>
                <w:sz w:val="9"/>
                <w:szCs w:val="9"/>
                <w:color w:val="auto"/>
              </w:rPr>
              <w:t>(Street)</w:t>
            </w: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color w:val="0000FF"/>
              </w:rPr>
              <w:t>EL SEGUNDO</w:t>
            </w:r>
          </w:p>
        </w:tc>
        <w:tc>
          <w:tcPr>
            <w:tcW w:w="860" w:type="dxa"/>
            <w:vAlign w:val="bottom"/>
          </w:tcPr>
          <w:p>
            <w:pPr>
              <w:ind w:left="18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90245</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05/01/2019</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196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00" w:type="dxa"/>
            <w:vAlign w:val="bottom"/>
            <w:gridSpan w:val="5"/>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BEYOND MEAT,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BYND</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4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40" w:type="dxa"/>
            <w:vAlign w:val="bottom"/>
            <w:tcBorders>
              <w:top w:val="single" w:sz="8" w:color="0000EE"/>
              <w:bottom w:val="single" w:sz="8" w:color="2C2C2C"/>
            </w:tcBorders>
          </w:tcPr>
          <w:p>
            <w:pPr>
              <w:spacing w:after="0"/>
              <w:rPr>
                <w:sz w:val="24"/>
                <w:szCs w:val="24"/>
                <w:color w:val="auto"/>
              </w:rPr>
            </w:pPr>
          </w:p>
        </w:tc>
        <w:tc>
          <w:tcPr>
            <w:tcW w:w="940" w:type="dxa"/>
            <w:vAlign w:val="bottom"/>
            <w:tcBorders>
              <w:top w:val="single" w:sz="8" w:color="0000EE"/>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196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3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10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restart"/>
          </w:tcPr>
          <w:p>
            <w:pPr>
              <w:ind w:left="140"/>
              <w:spacing w:after="0"/>
              <w:rPr>
                <w:sz w:val="20"/>
                <w:szCs w:val="20"/>
                <w:color w:val="auto"/>
              </w:rPr>
            </w:pPr>
            <w:r>
              <w:rPr>
                <w:rFonts w:ascii="Arial" w:cs="Arial" w:eastAsia="Arial" w:hAnsi="Arial"/>
                <w:sz w:val="12"/>
                <w:szCs w:val="12"/>
                <w:color w:val="0000FF"/>
              </w:rPr>
              <w:t>X</w:t>
            </w:r>
          </w:p>
        </w:tc>
        <w:tc>
          <w:tcPr>
            <w:tcW w:w="1620" w:type="dxa"/>
            <w:vAlign w:val="bottom"/>
            <w:gridSpan w:val="2"/>
            <w:vMerge w:val="restart"/>
          </w:tcPr>
          <w:p>
            <w:pPr>
              <w:ind w:left="100"/>
              <w:spacing w:after="0"/>
              <w:rPr>
                <w:sz w:val="20"/>
                <w:szCs w:val="20"/>
                <w:color w:val="auto"/>
              </w:rPr>
            </w:pPr>
            <w:r>
              <w:rPr>
                <w:rFonts w:ascii="Arial" w:cs="Arial" w:eastAsia="Arial" w:hAnsi="Arial"/>
                <w:sz w:val="9"/>
                <w:szCs w:val="9"/>
                <w:color w:val="auto"/>
              </w:rPr>
              <w:t>Director</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vMerge w:val="restart"/>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9"/>
                <w:szCs w:val="9"/>
                <w:color w:val="auto"/>
              </w:rPr>
              <w:t>Officer (give title below)</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Other (specify below)</w:t>
            </w:r>
          </w:p>
        </w:tc>
        <w:tc>
          <w:tcPr>
            <w:tcW w:w="120" w:type="dxa"/>
            <w:vAlign w:val="bottom"/>
            <w:vMerge w:val="continue"/>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restart"/>
          </w:tcPr>
          <w:p>
            <w:pPr>
              <w:ind w:left="100"/>
              <w:spacing w:after="0"/>
              <w:rPr>
                <w:sz w:val="20"/>
                <w:szCs w:val="20"/>
                <w:color w:val="auto"/>
              </w:rPr>
            </w:pPr>
            <w:r>
              <w:rPr>
                <w:rFonts w:ascii="Arial" w:cs="Arial" w:eastAsia="Arial" w:hAnsi="Arial"/>
                <w:sz w:val="12"/>
                <w:szCs w:val="12"/>
                <w:color w:val="0000FF"/>
              </w:rPr>
              <w:t>X</w:t>
            </w:r>
          </w:p>
        </w:tc>
        <w:tc>
          <w:tcPr>
            <w:tcW w:w="2480" w:type="dxa"/>
            <w:vAlign w:val="bottom"/>
            <w:vMerge w:val="restart"/>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940"/>
        <w:spacing w:after="0"/>
        <w:rPr>
          <w:sz w:val="20"/>
          <w:szCs w:val="20"/>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0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9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0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6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920" w:type="dxa"/>
            <w:vAlign w:val="bottom"/>
          </w:tcPr>
          <w:p>
            <w:pPr>
              <w:spacing w:after="0"/>
              <w:rPr>
                <w:sz w:val="8"/>
                <w:szCs w:val="8"/>
                <w:color w:val="auto"/>
              </w:rPr>
            </w:pPr>
          </w:p>
        </w:tc>
        <w:tc>
          <w:tcPr>
            <w:tcW w:w="1060" w:type="dxa"/>
            <w:vAlign w:val="bottom"/>
          </w:tcPr>
          <w:p>
            <w:pPr>
              <w:ind w:left="4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9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060" w:type="dxa"/>
            <w:vAlign w:val="bottom"/>
          </w:tcPr>
          <w:p>
            <w:pPr>
              <w:ind w:left="4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E Convertible Preferred Stock</w:t>
            </w:r>
          </w:p>
        </w:tc>
        <w:tc>
          <w:tcPr>
            <w:tcW w:w="600" w:type="dxa"/>
            <w:vAlign w:val="bottom"/>
            <w:vMerge w:val="restart"/>
          </w:tcPr>
          <w:p>
            <w:pPr>
              <w:ind w:left="260"/>
              <w:spacing w:after="0"/>
              <w:rPr>
                <w:sz w:val="20"/>
                <w:szCs w:val="20"/>
                <w:color w:val="auto"/>
              </w:rPr>
            </w:pPr>
            <w:r>
              <w:rPr>
                <w:rFonts w:ascii="Arial" w:cs="Arial" w:eastAsia="Arial" w:hAnsi="Arial"/>
                <w:sz w:val="8"/>
                <w:szCs w:val="8"/>
                <w:color w:val="008000"/>
              </w:rPr>
              <w:t>(1)</w:t>
            </w:r>
          </w:p>
        </w:tc>
        <w:tc>
          <w:tcPr>
            <w:tcW w:w="540" w:type="dxa"/>
            <w:vAlign w:val="bottom"/>
            <w:vMerge w:val="restart"/>
          </w:tcPr>
          <w:p>
            <w:pPr>
              <w:jc w:val="right"/>
              <w:ind w:right="180"/>
              <w:spacing w:after="0"/>
              <w:rPr>
                <w:sz w:val="20"/>
                <w:szCs w:val="20"/>
                <w:color w:val="auto"/>
              </w:rPr>
            </w:pPr>
            <w:r>
              <w:rPr>
                <w:rFonts w:ascii="Arial" w:cs="Arial" w:eastAsia="Arial" w:hAnsi="Arial"/>
                <w:sz w:val="8"/>
                <w:szCs w:val="8"/>
                <w:color w:val="008000"/>
              </w:rPr>
              <w:t>(1)</w:t>
            </w:r>
          </w:p>
        </w:tc>
        <w:tc>
          <w:tcPr>
            <w:tcW w:w="1920" w:type="dxa"/>
            <w:vAlign w:val="bottom"/>
            <w:vMerge w:val="restart"/>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vMerge w:val="restart"/>
          </w:tcPr>
          <w:p>
            <w:pPr>
              <w:jc w:val="center"/>
              <w:ind w:left="307"/>
              <w:spacing w:after="0"/>
              <w:rPr>
                <w:sz w:val="20"/>
                <w:szCs w:val="20"/>
                <w:color w:val="auto"/>
              </w:rPr>
            </w:pPr>
            <w:r>
              <w:rPr>
                <w:rFonts w:ascii="Arial" w:cs="Arial" w:eastAsia="Arial" w:hAnsi="Arial"/>
                <w:sz w:val="12"/>
                <w:szCs w:val="12"/>
                <w:color w:val="0000FF"/>
                <w:w w:val="87"/>
              </w:rPr>
              <w:t>271,744</w:t>
            </w:r>
          </w:p>
        </w:tc>
        <w:tc>
          <w:tcPr>
            <w:tcW w:w="800" w:type="dxa"/>
            <w:vAlign w:val="bottom"/>
            <w:vMerge w:val="restart"/>
          </w:tcPr>
          <w:p>
            <w:pPr>
              <w:jc w:val="right"/>
              <w:ind w:right="319"/>
              <w:spacing w:after="0"/>
              <w:rPr>
                <w:sz w:val="20"/>
                <w:szCs w:val="20"/>
                <w:color w:val="auto"/>
              </w:rPr>
            </w:pPr>
            <w:r>
              <w:rPr>
                <w:rFonts w:ascii="Arial" w:cs="Arial" w:eastAsia="Arial" w:hAnsi="Arial"/>
                <w:sz w:val="8"/>
                <w:szCs w:val="8"/>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9"/>
                <w:szCs w:val="9"/>
                <w:color w:val="0000FF"/>
                <w:w w:val="77"/>
              </w:rPr>
              <w:t>I</w:t>
            </w:r>
          </w:p>
        </w:tc>
        <w:tc>
          <w:tcPr>
            <w:tcW w:w="1700" w:type="dxa"/>
            <w:vAlign w:val="bottom"/>
          </w:tcPr>
          <w:p>
            <w:pPr>
              <w:ind w:left="40"/>
              <w:spacing w:after="0"/>
              <w:rPr>
                <w:sz w:val="20"/>
                <w:szCs w:val="20"/>
                <w:color w:val="auto"/>
              </w:rPr>
            </w:pPr>
            <w:r>
              <w:rPr>
                <w:rFonts w:ascii="Arial" w:cs="Arial" w:eastAsia="Arial" w:hAnsi="Arial"/>
                <w:sz w:val="12"/>
                <w:szCs w:val="12"/>
                <w:color w:val="0000FF"/>
                <w:w w:val="97"/>
              </w:rPr>
              <w:t>By Union Grove Partners Direct</w:t>
            </w:r>
          </w:p>
        </w:tc>
        <w:tc>
          <w:tcPr>
            <w:tcW w:w="0" w:type="dxa"/>
            <w:vAlign w:val="bottom"/>
          </w:tcPr>
          <w:p>
            <w:pPr>
              <w:spacing w:after="0"/>
              <w:rPr>
                <w:sz w:val="1"/>
                <w:szCs w:val="1"/>
                <w:color w:val="auto"/>
              </w:rPr>
            </w:pPr>
          </w:p>
        </w:tc>
      </w:tr>
      <w:tr>
        <w:trPr>
          <w:trHeight w:val="76"/>
        </w:trPr>
        <w:tc>
          <w:tcPr>
            <w:tcW w:w="3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700" w:type="dxa"/>
            <w:vAlign w:val="bottom"/>
            <w:vMerge w:val="restart"/>
          </w:tcPr>
          <w:p>
            <w:pPr>
              <w:ind w:left="40"/>
              <w:spacing w:after="0"/>
              <w:rPr>
                <w:sz w:val="20"/>
                <w:szCs w:val="20"/>
                <w:color w:val="auto"/>
              </w:rPr>
            </w:pPr>
            <w:r>
              <w:rPr>
                <w:rFonts w:ascii="Arial" w:cs="Arial" w:eastAsia="Arial" w:hAnsi="Arial"/>
                <w:sz w:val="12"/>
                <w:szCs w:val="12"/>
                <w:color w:val="0000FF"/>
              </w:rPr>
              <w:t>Venture Fund, LP</w:t>
            </w:r>
            <w:r>
              <w:rPr>
                <w:rFonts w:ascii="Arial" w:cs="Arial" w:eastAsia="Arial" w:hAnsi="Arial"/>
                <w:sz w:val="15"/>
                <w:szCs w:val="15"/>
                <w:color w:val="008000"/>
                <w:vertAlign w:val="superscript"/>
              </w:rPr>
              <w:t>(2)</w:t>
            </w:r>
          </w:p>
        </w:tc>
        <w:tc>
          <w:tcPr>
            <w:tcW w:w="0" w:type="dxa"/>
            <w:vAlign w:val="bottom"/>
          </w:tcPr>
          <w:p>
            <w:pPr>
              <w:spacing w:after="0"/>
              <w:rPr>
                <w:sz w:val="1"/>
                <w:szCs w:val="1"/>
                <w:color w:val="auto"/>
              </w:rPr>
            </w:pPr>
          </w:p>
        </w:tc>
      </w:tr>
      <w:tr>
        <w:trPr>
          <w:trHeight w:val="110"/>
        </w:trPr>
        <w:tc>
          <w:tcPr>
            <w:tcW w:w="39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F Convertible Preferred Stock</w:t>
            </w:r>
          </w:p>
        </w:tc>
        <w:tc>
          <w:tcPr>
            <w:tcW w:w="600" w:type="dxa"/>
            <w:vAlign w:val="bottom"/>
            <w:vMerge w:val="restart"/>
          </w:tcPr>
          <w:p>
            <w:pPr>
              <w:ind w:left="260"/>
              <w:spacing w:after="0"/>
              <w:rPr>
                <w:sz w:val="20"/>
                <w:szCs w:val="20"/>
                <w:color w:val="auto"/>
              </w:rPr>
            </w:pPr>
            <w:r>
              <w:rPr>
                <w:rFonts w:ascii="Arial" w:cs="Arial" w:eastAsia="Arial" w:hAnsi="Arial"/>
                <w:sz w:val="8"/>
                <w:szCs w:val="8"/>
                <w:color w:val="008000"/>
              </w:rPr>
              <w:t>(1)</w:t>
            </w:r>
          </w:p>
        </w:tc>
        <w:tc>
          <w:tcPr>
            <w:tcW w:w="540" w:type="dxa"/>
            <w:vAlign w:val="bottom"/>
            <w:vMerge w:val="restart"/>
          </w:tcPr>
          <w:p>
            <w:pPr>
              <w:jc w:val="right"/>
              <w:ind w:right="180"/>
              <w:spacing w:after="0"/>
              <w:rPr>
                <w:sz w:val="20"/>
                <w:szCs w:val="20"/>
                <w:color w:val="auto"/>
              </w:rPr>
            </w:pPr>
            <w:r>
              <w:rPr>
                <w:rFonts w:ascii="Arial" w:cs="Arial" w:eastAsia="Arial" w:hAnsi="Arial"/>
                <w:sz w:val="8"/>
                <w:szCs w:val="8"/>
                <w:color w:val="008000"/>
              </w:rPr>
              <w:t>(1)</w:t>
            </w:r>
          </w:p>
        </w:tc>
        <w:tc>
          <w:tcPr>
            <w:tcW w:w="1920" w:type="dxa"/>
            <w:vAlign w:val="bottom"/>
            <w:vMerge w:val="restart"/>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vMerge w:val="restart"/>
          </w:tcPr>
          <w:p>
            <w:pPr>
              <w:jc w:val="center"/>
              <w:ind w:left="327"/>
              <w:spacing w:after="0"/>
              <w:rPr>
                <w:sz w:val="20"/>
                <w:szCs w:val="20"/>
                <w:color w:val="auto"/>
              </w:rPr>
            </w:pPr>
            <w:r>
              <w:rPr>
                <w:rFonts w:ascii="Arial" w:cs="Arial" w:eastAsia="Arial" w:hAnsi="Arial"/>
                <w:sz w:val="12"/>
                <w:szCs w:val="12"/>
                <w:color w:val="0000FF"/>
                <w:w w:val="87"/>
              </w:rPr>
              <w:t>20,210</w:t>
            </w:r>
          </w:p>
        </w:tc>
        <w:tc>
          <w:tcPr>
            <w:tcW w:w="800" w:type="dxa"/>
            <w:vAlign w:val="bottom"/>
            <w:vMerge w:val="restart"/>
          </w:tcPr>
          <w:p>
            <w:pPr>
              <w:jc w:val="right"/>
              <w:ind w:right="319"/>
              <w:spacing w:after="0"/>
              <w:rPr>
                <w:sz w:val="20"/>
                <w:szCs w:val="20"/>
                <w:color w:val="auto"/>
              </w:rPr>
            </w:pPr>
            <w:r>
              <w:rPr>
                <w:rFonts w:ascii="Arial" w:cs="Arial" w:eastAsia="Arial" w:hAnsi="Arial"/>
                <w:sz w:val="8"/>
                <w:szCs w:val="8"/>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9"/>
                <w:szCs w:val="9"/>
                <w:color w:val="0000FF"/>
                <w:w w:val="77"/>
              </w:rPr>
              <w:t>I</w:t>
            </w:r>
          </w:p>
        </w:tc>
        <w:tc>
          <w:tcPr>
            <w:tcW w:w="1700" w:type="dxa"/>
            <w:vAlign w:val="bottom"/>
          </w:tcPr>
          <w:p>
            <w:pPr>
              <w:ind w:left="40"/>
              <w:spacing w:after="0"/>
              <w:rPr>
                <w:sz w:val="20"/>
                <w:szCs w:val="20"/>
                <w:color w:val="auto"/>
              </w:rPr>
            </w:pPr>
            <w:r>
              <w:rPr>
                <w:rFonts w:ascii="Arial" w:cs="Arial" w:eastAsia="Arial" w:hAnsi="Arial"/>
                <w:sz w:val="12"/>
                <w:szCs w:val="12"/>
                <w:color w:val="0000FF"/>
                <w:w w:val="97"/>
              </w:rPr>
              <w:t>By Union Grove Partners Direct</w:t>
            </w:r>
          </w:p>
        </w:tc>
        <w:tc>
          <w:tcPr>
            <w:tcW w:w="0" w:type="dxa"/>
            <w:vAlign w:val="bottom"/>
          </w:tcPr>
          <w:p>
            <w:pPr>
              <w:spacing w:after="0"/>
              <w:rPr>
                <w:sz w:val="1"/>
                <w:szCs w:val="1"/>
                <w:color w:val="auto"/>
              </w:rPr>
            </w:pPr>
          </w:p>
        </w:tc>
      </w:tr>
      <w:tr>
        <w:trPr>
          <w:trHeight w:val="76"/>
        </w:trPr>
        <w:tc>
          <w:tcPr>
            <w:tcW w:w="3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700" w:type="dxa"/>
            <w:vAlign w:val="bottom"/>
            <w:vMerge w:val="restart"/>
          </w:tcPr>
          <w:p>
            <w:pPr>
              <w:ind w:left="40"/>
              <w:spacing w:after="0"/>
              <w:rPr>
                <w:sz w:val="20"/>
                <w:szCs w:val="20"/>
                <w:color w:val="auto"/>
              </w:rPr>
            </w:pPr>
            <w:r>
              <w:rPr>
                <w:rFonts w:ascii="Arial" w:cs="Arial" w:eastAsia="Arial" w:hAnsi="Arial"/>
                <w:sz w:val="12"/>
                <w:szCs w:val="12"/>
                <w:color w:val="0000FF"/>
              </w:rPr>
              <w:t>Venture Fund, LP</w:t>
            </w:r>
            <w:r>
              <w:rPr>
                <w:rFonts w:ascii="Arial" w:cs="Arial" w:eastAsia="Arial" w:hAnsi="Arial"/>
                <w:sz w:val="15"/>
                <w:szCs w:val="15"/>
                <w:color w:val="008000"/>
                <w:vertAlign w:val="superscript"/>
              </w:rPr>
              <w:t>(2)</w:t>
            </w:r>
          </w:p>
        </w:tc>
        <w:tc>
          <w:tcPr>
            <w:tcW w:w="0" w:type="dxa"/>
            <w:vAlign w:val="bottom"/>
          </w:tcPr>
          <w:p>
            <w:pPr>
              <w:spacing w:after="0"/>
              <w:rPr>
                <w:sz w:val="1"/>
                <w:szCs w:val="1"/>
                <w:color w:val="auto"/>
              </w:rPr>
            </w:pPr>
          </w:p>
        </w:tc>
      </w:tr>
      <w:tr>
        <w:trPr>
          <w:trHeight w:val="110"/>
        </w:trPr>
        <w:tc>
          <w:tcPr>
            <w:tcW w:w="39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F Convertible Preferred Stock</w:t>
            </w:r>
          </w:p>
        </w:tc>
        <w:tc>
          <w:tcPr>
            <w:tcW w:w="600" w:type="dxa"/>
            <w:vAlign w:val="bottom"/>
            <w:vMerge w:val="restart"/>
          </w:tcPr>
          <w:p>
            <w:pPr>
              <w:ind w:left="260"/>
              <w:spacing w:after="0"/>
              <w:rPr>
                <w:sz w:val="20"/>
                <w:szCs w:val="20"/>
                <w:color w:val="auto"/>
              </w:rPr>
            </w:pPr>
            <w:r>
              <w:rPr>
                <w:rFonts w:ascii="Arial" w:cs="Arial" w:eastAsia="Arial" w:hAnsi="Arial"/>
                <w:sz w:val="8"/>
                <w:szCs w:val="8"/>
                <w:color w:val="008000"/>
              </w:rPr>
              <w:t>(1)</w:t>
            </w:r>
          </w:p>
        </w:tc>
        <w:tc>
          <w:tcPr>
            <w:tcW w:w="540" w:type="dxa"/>
            <w:vAlign w:val="bottom"/>
            <w:vMerge w:val="restart"/>
          </w:tcPr>
          <w:p>
            <w:pPr>
              <w:jc w:val="right"/>
              <w:ind w:right="180"/>
              <w:spacing w:after="0"/>
              <w:rPr>
                <w:sz w:val="20"/>
                <w:szCs w:val="20"/>
                <w:color w:val="auto"/>
              </w:rPr>
            </w:pPr>
            <w:r>
              <w:rPr>
                <w:rFonts w:ascii="Arial" w:cs="Arial" w:eastAsia="Arial" w:hAnsi="Arial"/>
                <w:sz w:val="8"/>
                <w:szCs w:val="8"/>
                <w:color w:val="008000"/>
              </w:rPr>
              <w:t>(1)</w:t>
            </w:r>
          </w:p>
        </w:tc>
        <w:tc>
          <w:tcPr>
            <w:tcW w:w="1920" w:type="dxa"/>
            <w:vAlign w:val="bottom"/>
            <w:vMerge w:val="restart"/>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vMerge w:val="restart"/>
          </w:tcPr>
          <w:p>
            <w:pPr>
              <w:jc w:val="center"/>
              <w:ind w:left="327"/>
              <w:spacing w:after="0"/>
              <w:rPr>
                <w:sz w:val="20"/>
                <w:szCs w:val="20"/>
                <w:color w:val="auto"/>
              </w:rPr>
            </w:pPr>
            <w:r>
              <w:rPr>
                <w:rFonts w:ascii="Arial" w:cs="Arial" w:eastAsia="Arial" w:hAnsi="Arial"/>
                <w:sz w:val="12"/>
                <w:szCs w:val="12"/>
                <w:color w:val="0000FF"/>
                <w:w w:val="87"/>
              </w:rPr>
              <w:t>20,210</w:t>
            </w:r>
          </w:p>
        </w:tc>
        <w:tc>
          <w:tcPr>
            <w:tcW w:w="800" w:type="dxa"/>
            <w:vAlign w:val="bottom"/>
            <w:vMerge w:val="restart"/>
          </w:tcPr>
          <w:p>
            <w:pPr>
              <w:jc w:val="right"/>
              <w:ind w:right="319"/>
              <w:spacing w:after="0"/>
              <w:rPr>
                <w:sz w:val="20"/>
                <w:szCs w:val="20"/>
                <w:color w:val="auto"/>
              </w:rPr>
            </w:pPr>
            <w:r>
              <w:rPr>
                <w:rFonts w:ascii="Arial" w:cs="Arial" w:eastAsia="Arial" w:hAnsi="Arial"/>
                <w:sz w:val="8"/>
                <w:szCs w:val="8"/>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9"/>
                <w:szCs w:val="9"/>
                <w:color w:val="0000FF"/>
                <w:w w:val="77"/>
              </w:rPr>
              <w:t>I</w:t>
            </w:r>
          </w:p>
        </w:tc>
        <w:tc>
          <w:tcPr>
            <w:tcW w:w="1700" w:type="dxa"/>
            <w:vAlign w:val="bottom"/>
          </w:tcPr>
          <w:p>
            <w:pPr>
              <w:ind w:left="40"/>
              <w:spacing w:after="0"/>
              <w:rPr>
                <w:sz w:val="20"/>
                <w:szCs w:val="20"/>
                <w:color w:val="auto"/>
              </w:rPr>
            </w:pPr>
            <w:r>
              <w:rPr>
                <w:rFonts w:ascii="Arial" w:cs="Arial" w:eastAsia="Arial" w:hAnsi="Arial"/>
                <w:sz w:val="12"/>
                <w:szCs w:val="12"/>
                <w:color w:val="0000FF"/>
              </w:rPr>
              <w:t>By Union Grover Partners</w:t>
            </w:r>
          </w:p>
        </w:tc>
        <w:tc>
          <w:tcPr>
            <w:tcW w:w="0" w:type="dxa"/>
            <w:vAlign w:val="bottom"/>
          </w:tcPr>
          <w:p>
            <w:pPr>
              <w:spacing w:after="0"/>
              <w:rPr>
                <w:sz w:val="1"/>
                <w:szCs w:val="1"/>
                <w:color w:val="auto"/>
              </w:rPr>
            </w:pPr>
          </w:p>
        </w:tc>
      </w:tr>
      <w:tr>
        <w:trPr>
          <w:trHeight w:val="76"/>
        </w:trPr>
        <w:tc>
          <w:tcPr>
            <w:tcW w:w="3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700" w:type="dxa"/>
            <w:vAlign w:val="bottom"/>
            <w:vMerge w:val="restart"/>
          </w:tcPr>
          <w:p>
            <w:pPr>
              <w:ind w:left="40"/>
              <w:spacing w:after="0"/>
              <w:rPr>
                <w:sz w:val="20"/>
                <w:szCs w:val="20"/>
                <w:color w:val="auto"/>
              </w:rPr>
            </w:pPr>
            <w:r>
              <w:rPr>
                <w:rFonts w:ascii="Arial" w:cs="Arial" w:eastAsia="Arial" w:hAnsi="Arial"/>
                <w:sz w:val="12"/>
                <w:szCs w:val="12"/>
                <w:color w:val="0000FF"/>
              </w:rPr>
              <w:t>Venture Access Fund II, LP</w:t>
            </w:r>
            <w:r>
              <w:rPr>
                <w:rFonts w:ascii="Arial" w:cs="Arial" w:eastAsia="Arial" w:hAnsi="Arial"/>
                <w:sz w:val="15"/>
                <w:szCs w:val="15"/>
                <w:color w:val="008000"/>
                <w:vertAlign w:val="superscript"/>
              </w:rPr>
              <w:t>(2)</w:t>
            </w:r>
          </w:p>
        </w:tc>
        <w:tc>
          <w:tcPr>
            <w:tcW w:w="0" w:type="dxa"/>
            <w:vAlign w:val="bottom"/>
          </w:tcPr>
          <w:p>
            <w:pPr>
              <w:spacing w:after="0"/>
              <w:rPr>
                <w:sz w:val="1"/>
                <w:szCs w:val="1"/>
                <w:color w:val="auto"/>
              </w:rPr>
            </w:pPr>
          </w:p>
        </w:tc>
      </w:tr>
      <w:tr>
        <w:trPr>
          <w:trHeight w:val="110"/>
        </w:trPr>
        <w:tc>
          <w:tcPr>
            <w:tcW w:w="39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F Convertible Preferred Stock</w:t>
            </w:r>
          </w:p>
        </w:tc>
        <w:tc>
          <w:tcPr>
            <w:tcW w:w="600" w:type="dxa"/>
            <w:vAlign w:val="bottom"/>
            <w:vMerge w:val="restart"/>
          </w:tcPr>
          <w:p>
            <w:pPr>
              <w:ind w:left="260"/>
              <w:spacing w:after="0"/>
              <w:rPr>
                <w:sz w:val="20"/>
                <w:szCs w:val="20"/>
                <w:color w:val="auto"/>
              </w:rPr>
            </w:pPr>
            <w:r>
              <w:rPr>
                <w:rFonts w:ascii="Arial" w:cs="Arial" w:eastAsia="Arial" w:hAnsi="Arial"/>
                <w:sz w:val="8"/>
                <w:szCs w:val="8"/>
                <w:color w:val="008000"/>
              </w:rPr>
              <w:t>(1)</w:t>
            </w:r>
          </w:p>
        </w:tc>
        <w:tc>
          <w:tcPr>
            <w:tcW w:w="540" w:type="dxa"/>
            <w:vAlign w:val="bottom"/>
            <w:vMerge w:val="restart"/>
          </w:tcPr>
          <w:p>
            <w:pPr>
              <w:jc w:val="right"/>
              <w:ind w:right="180"/>
              <w:spacing w:after="0"/>
              <w:rPr>
                <w:sz w:val="20"/>
                <w:szCs w:val="20"/>
                <w:color w:val="auto"/>
              </w:rPr>
            </w:pPr>
            <w:r>
              <w:rPr>
                <w:rFonts w:ascii="Arial" w:cs="Arial" w:eastAsia="Arial" w:hAnsi="Arial"/>
                <w:sz w:val="8"/>
                <w:szCs w:val="8"/>
                <w:color w:val="008000"/>
              </w:rPr>
              <w:t>(1)</w:t>
            </w:r>
          </w:p>
        </w:tc>
        <w:tc>
          <w:tcPr>
            <w:tcW w:w="1920" w:type="dxa"/>
            <w:vAlign w:val="bottom"/>
            <w:vMerge w:val="restart"/>
          </w:tcPr>
          <w:p>
            <w:pPr>
              <w:ind w:left="800"/>
              <w:spacing w:after="0"/>
              <w:rPr>
                <w:sz w:val="20"/>
                <w:szCs w:val="20"/>
                <w:color w:val="auto"/>
              </w:rPr>
            </w:pPr>
            <w:r>
              <w:rPr>
                <w:rFonts w:ascii="Arial" w:cs="Arial" w:eastAsia="Arial" w:hAnsi="Arial"/>
                <w:sz w:val="12"/>
                <w:szCs w:val="12"/>
                <w:color w:val="0000FF"/>
              </w:rPr>
              <w:t>Common Stock</w:t>
            </w:r>
          </w:p>
        </w:tc>
        <w:tc>
          <w:tcPr>
            <w:tcW w:w="1060" w:type="dxa"/>
            <w:vAlign w:val="bottom"/>
            <w:vMerge w:val="restart"/>
          </w:tcPr>
          <w:p>
            <w:pPr>
              <w:jc w:val="center"/>
              <w:ind w:left="307"/>
              <w:spacing w:after="0"/>
              <w:rPr>
                <w:sz w:val="20"/>
                <w:szCs w:val="20"/>
                <w:color w:val="auto"/>
              </w:rPr>
            </w:pPr>
            <w:r>
              <w:rPr>
                <w:rFonts w:ascii="Arial" w:cs="Arial" w:eastAsia="Arial" w:hAnsi="Arial"/>
                <w:sz w:val="12"/>
                <w:szCs w:val="12"/>
                <w:color w:val="0000FF"/>
                <w:w w:val="87"/>
              </w:rPr>
              <w:t>485,060</w:t>
            </w:r>
          </w:p>
        </w:tc>
        <w:tc>
          <w:tcPr>
            <w:tcW w:w="800" w:type="dxa"/>
            <w:vAlign w:val="bottom"/>
            <w:vMerge w:val="restart"/>
          </w:tcPr>
          <w:p>
            <w:pPr>
              <w:jc w:val="right"/>
              <w:ind w:right="319"/>
              <w:spacing w:after="0"/>
              <w:rPr>
                <w:sz w:val="20"/>
                <w:szCs w:val="20"/>
                <w:color w:val="auto"/>
              </w:rPr>
            </w:pPr>
            <w:r>
              <w:rPr>
                <w:rFonts w:ascii="Arial" w:cs="Arial" w:eastAsia="Arial" w:hAnsi="Arial"/>
                <w:sz w:val="8"/>
                <w:szCs w:val="8"/>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9"/>
                <w:szCs w:val="9"/>
                <w:color w:val="0000FF"/>
                <w:w w:val="77"/>
              </w:rPr>
              <w:t>I</w:t>
            </w:r>
          </w:p>
        </w:tc>
        <w:tc>
          <w:tcPr>
            <w:tcW w:w="1700" w:type="dxa"/>
            <w:vAlign w:val="bottom"/>
          </w:tcPr>
          <w:p>
            <w:pPr>
              <w:ind w:left="40"/>
              <w:spacing w:after="0"/>
              <w:rPr>
                <w:sz w:val="20"/>
                <w:szCs w:val="20"/>
                <w:color w:val="auto"/>
              </w:rPr>
            </w:pPr>
            <w:r>
              <w:rPr>
                <w:rFonts w:ascii="Arial" w:cs="Arial" w:eastAsia="Arial" w:hAnsi="Arial"/>
                <w:sz w:val="12"/>
                <w:szCs w:val="12"/>
                <w:color w:val="0000FF"/>
                <w:w w:val="91"/>
              </w:rPr>
              <w:t>By Union Grove Partners Venture</w:t>
            </w:r>
          </w:p>
        </w:tc>
        <w:tc>
          <w:tcPr>
            <w:tcW w:w="0" w:type="dxa"/>
            <w:vAlign w:val="bottom"/>
          </w:tcPr>
          <w:p>
            <w:pPr>
              <w:spacing w:after="0"/>
              <w:rPr>
                <w:sz w:val="1"/>
                <w:szCs w:val="1"/>
                <w:color w:val="auto"/>
              </w:rPr>
            </w:pPr>
          </w:p>
        </w:tc>
      </w:tr>
      <w:tr>
        <w:trPr>
          <w:trHeight w:val="76"/>
        </w:trPr>
        <w:tc>
          <w:tcPr>
            <w:tcW w:w="3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700" w:type="dxa"/>
            <w:vAlign w:val="bottom"/>
            <w:vMerge w:val="restart"/>
          </w:tcPr>
          <w:p>
            <w:pPr>
              <w:ind w:left="40"/>
              <w:spacing w:after="0"/>
              <w:rPr>
                <w:sz w:val="20"/>
                <w:szCs w:val="20"/>
                <w:color w:val="auto"/>
              </w:rPr>
            </w:pPr>
            <w:r>
              <w:rPr>
                <w:rFonts w:ascii="Arial" w:cs="Arial" w:eastAsia="Arial" w:hAnsi="Arial"/>
                <w:sz w:val="12"/>
                <w:szCs w:val="12"/>
                <w:color w:val="0000FF"/>
              </w:rPr>
              <w:t>Access Fund II-B, LP</w:t>
            </w:r>
            <w:r>
              <w:rPr>
                <w:rFonts w:ascii="Arial" w:cs="Arial" w:eastAsia="Arial" w:hAnsi="Arial"/>
                <w:sz w:val="15"/>
                <w:szCs w:val="15"/>
                <w:color w:val="008000"/>
                <w:vertAlign w:val="superscript"/>
              </w:rPr>
              <w:t>(2)</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Shares of preferred stock will automatically convert into shares of common stock on a 1-to-1 basis upon closing of the Issuer's initial public offering. The preferred stock has no expiration date.</w:t>
      </w:r>
    </w:p>
    <w:p>
      <w:pPr>
        <w:spacing w:after="0" w:line="31" w:lineRule="exact"/>
        <w:rPr>
          <w:rFonts w:ascii="Arial" w:cs="Arial" w:eastAsia="Arial" w:hAnsi="Arial"/>
          <w:sz w:val="9"/>
          <w:szCs w:val="9"/>
          <w:color w:val="008000"/>
        </w:rPr>
      </w:pPr>
    </w:p>
    <w:p>
      <w:pPr>
        <w:jc w:val="both"/>
        <w:ind w:left="20" w:right="220" w:hanging="1"/>
        <w:spacing w:after="0" w:line="242"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Union Grove Venture Partners 2014, LLC is the general partner of Union Grove Partners Direct Venture Fund, LP. Union Grove Venture Partners 2015, LLC is the general partner of Union Grove Partners Venture Access Fund II, LP. Union Grove Venture Partners 2015-B, LLC is the general partner of Union Grove Partners Venture Access Fund II-B, LP (collectively, "Union Grove Funds"). Mr. Bohlen serves on the investment committee of each of Union Grove Funds and may be deemed to share voting and dispositive power over the shares held by the Union Grove Funds with the other members of the investment committee.</w:t>
      </w:r>
    </w:p>
    <w:p>
      <w:pPr>
        <w:spacing w:after="0" w:line="16"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Exhibit 24-Power of Attorney attached.</w:t>
      </w:r>
    </w:p>
    <w:p>
      <w:pPr>
        <w:sectPr>
          <w:pgSz w:w="11900" w:h="16838" w:orient="portrait"/>
          <w:cols w:equalWidth="0" w:num="1">
            <w:col w:w="11480"/>
          </w:cols>
          <w:pgMar w:left="220" w:top="197" w:right="199" w:bottom="1440" w:gutter="0" w:footer="0" w:header="0"/>
          <w:type w:val="continuous"/>
        </w:sectPr>
      </w:pPr>
    </w:p>
    <w:p>
      <w:pPr>
        <w:spacing w:after="0" w:line="51" w:lineRule="exact"/>
        <w:rPr>
          <w:sz w:val="24"/>
          <w:szCs w:val="24"/>
          <w:color w:val="auto"/>
        </w:rPr>
      </w:pPr>
    </w:p>
    <w:p>
      <w:pPr>
        <w:ind w:left="6900"/>
        <w:spacing w:after="0"/>
        <w:rPr>
          <w:sz w:val="20"/>
          <w:szCs w:val="20"/>
          <w:color w:val="auto"/>
        </w:rPr>
      </w:pPr>
      <w:r>
        <w:rPr>
          <w:rFonts w:ascii="Arial" w:cs="Arial" w:eastAsia="Arial" w:hAnsi="Arial"/>
          <w:sz w:val="9"/>
          <w:szCs w:val="9"/>
          <w:color w:val="0000FF"/>
        </w:rPr>
        <w:t>/s/ Mark J. Nelson, as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2719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1905" cy="5715"/>
                    </a:xfrm>
                    <a:prstGeom prst="rect">
                      <a:avLst/>
                    </a:prstGeom>
                    <a:noFill/>
                  </pic:spPr>
                </pic:pic>
              </a:graphicData>
            </a:graphic>
          </wp:anchor>
        </w:drawing>
      </w:r>
    </w:p>
    <w:p>
      <w:pPr>
        <w:spacing w:after="0" w:line="25"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Greg Bohlen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816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81635"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68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9"/>
          <w:szCs w:val="9"/>
          <w:color w:val="0000FF"/>
        </w:rPr>
        <w:t>05/01/2019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900" w:space="28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Beyond Meat, Inc. (the "Company"), hereby constitutes and appoints Mark J. Nelson and Sowmya Rajan, and ea</w:t>
      </w:r>
    </w:p>
    <w:p>
      <w:pPr>
        <w:spacing w:after="0" w:line="10"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deliver and file for and on behalf of the undersigned, in the undersigned's capacity as an officer and/or director of the Company, Forms 3, 4, and 5 in</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on transactions in the Company's securities from any third part</w:t>
      </w:r>
    </w:p>
    <w:p>
      <w:pPr>
        <w:spacing w:after="0" w:line="10" w:lineRule="exact"/>
        <w:rPr>
          <w:rFonts w:ascii="Courier New" w:cs="Courier New" w:eastAsia="Courier New" w:hAnsi="Courier New"/>
          <w:sz w:val="11"/>
          <w:szCs w:val="11"/>
          <w:color w:val="auto"/>
        </w:rPr>
      </w:pPr>
    </w:p>
    <w:p>
      <w:pPr>
        <w:jc w:val="both"/>
        <w:ind w:left="428" w:hanging="428"/>
        <w:spacing w:after="0" w:line="236" w:lineRule="auto"/>
        <w:tabs>
          <w:tab w:leader="none" w:pos="287"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 This Power of Attorney shall remain in full force and effect until the undersigned is no longer required to file Forms 3, 4, and 5 with respect to the undersi IN WITNESS WHEREOF, the undersigned has caused this Power of Attorney to be executed as of this 15th day of November, 2018.</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Greg Bohlen</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Signature</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GREG BOHLEN</w:t>
      </w:r>
    </w:p>
    <w:p>
      <w:pPr>
        <w:ind w:left="8"/>
        <w:spacing w:after="0"/>
        <w:rPr>
          <w:sz w:val="20"/>
          <w:szCs w:val="20"/>
          <w:color w:val="auto"/>
        </w:rPr>
      </w:pPr>
      <w:r>
        <w:rPr>
          <w:rFonts w:ascii="Courier New" w:cs="Courier New" w:eastAsia="Courier New" w:hAnsi="Courier New"/>
          <w:sz w:val="12"/>
          <w:szCs w:val="12"/>
          <w:color w:val="auto"/>
        </w:rPr>
        <w:t>Print Name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58610" TargetMode="External"/><Relationship Id="rId12"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2019-12-24T08:54:01Z</dcterms:created>
  <dcterms:modified xsi:type="dcterms:W3CDTF">2019-12-24T08:54:01Z</dcterms:modified>
</cp:coreProperties>
</file>