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8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UNITED STATES</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SECURITIES AND EXCHANGE COMMISSION</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FORM 8-K</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PURSUANT TO SECTION 13 OR 15(d) OF THE SECURITIES EXCHANGE ACT OF 1934</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Date of Report (Date of Earliest Event Reported): August 28, 2026</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BEYOND MEAT, INC.</w:t>
      </w:r>
    </w:p>
    <w:p>
      <w:pPr>
        <w:pStyle w:val="TextBody"/>
        <w:bidi w:val="0"/>
        <w:spacing w:lineRule="auto" w:line="312" w:before="120" w:after="120"/>
        <w:jc w:val="center"/>
        <w:rPr/>
      </w:pPr>
      <w:r>
        <w:rPr>
          <w:rFonts w:ascii="Arial;sans-serif" w:hAnsi="Arial;sans-serif"/>
          <w:b/>
          <w:color w:val="000000"/>
          <w:sz w:val="20"/>
        </w:rPr>
        <w:t>(Exact name of registrant as specified in its charter)</w:t>
      </w:r>
      <w:r>
        <w:rPr>
          <w:color w:val="000000"/>
        </w:rPr>
        <w:t xml:space="preserve"> </w:t>
      </w:r>
    </w:p>
    <w:tbl>
      <w:tblPr>
        <w:tblW w:w="7417" w:type="dxa"/>
        <w:jc w:val="center"/>
        <w:tblInd w:w="0" w:type="dxa"/>
        <w:tblLayout w:type="fixed"/>
        <w:tblCellMar>
          <w:top w:w="28" w:type="dxa"/>
          <w:left w:w="28" w:type="dxa"/>
          <w:bottom w:w="28" w:type="dxa"/>
          <w:right w:w="28" w:type="dxa"/>
        </w:tblCellMar>
      </w:tblPr>
      <w:tblGrid>
        <w:gridCol w:w="846"/>
        <w:gridCol w:w="742"/>
        <w:gridCol w:w="751"/>
        <w:gridCol w:w="109"/>
        <w:gridCol w:w="109"/>
        <w:gridCol w:w="109"/>
        <w:gridCol w:w="792"/>
        <w:gridCol w:w="792"/>
        <w:gridCol w:w="800"/>
        <w:gridCol w:w="109"/>
        <w:gridCol w:w="109"/>
        <w:gridCol w:w="109"/>
        <w:gridCol w:w="596"/>
        <w:gridCol w:w="596"/>
        <w:gridCol w:w="848"/>
      </w:tblGrid>
      <w:tr>
        <w:trPr/>
        <w:tc>
          <w:tcPr>
            <w:tcW w:w="84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001-38879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26-4087597</w:t>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Arial;sans-serif" w:hAnsi="Arial;sans-serif"/>
                <w:b/>
                <w:color w:val="000000"/>
                <w:sz w:val="18"/>
              </w:rPr>
            </w:pPr>
            <w:r>
              <w:rPr>
                <w:rFonts w:ascii="Arial;sans-serif" w:hAnsi="Arial;sans-serif"/>
                <w:b/>
                <w:color w:val="000000"/>
                <w:sz w:val="18"/>
              </w:rPr>
              <w:t>(State or other jurisdiction</w:t>
            </w:r>
          </w:p>
          <w:p>
            <w:pPr>
              <w:pStyle w:val="TableContents"/>
              <w:bidi w:val="0"/>
              <w:spacing w:lineRule="auto" w:line="288" w:before="0" w:after="30"/>
              <w:jc w:val="center"/>
              <w:rPr>
                <w:rFonts w:ascii="Arial;sans-serif" w:hAnsi="Arial;sans-serif"/>
                <w:b/>
                <w:color w:val="000000"/>
                <w:sz w:val="18"/>
              </w:rPr>
            </w:pPr>
            <w:r>
              <w:rPr>
                <w:rFonts w:ascii="Arial;sans-serif" w:hAnsi="Arial;sans-serif"/>
                <w:b/>
                <w:color w:val="000000"/>
                <w:sz w:val="18"/>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Arial;sans-serif" w:hAnsi="Arial;sans-serif"/>
                <w:b/>
                <w:color w:val="000000"/>
                <w:sz w:val="18"/>
              </w:rPr>
            </w:pPr>
            <w:r>
              <w:rPr>
                <w:rFonts w:ascii="Arial;sans-serif" w:hAnsi="Arial;sans-serif"/>
                <w:b/>
                <w:color w:val="000000"/>
                <w:sz w:val="18"/>
              </w:rPr>
              <w:t>(I.R.S. Employer</w:t>
            </w:r>
          </w:p>
          <w:p>
            <w:pPr>
              <w:pStyle w:val="TableContents"/>
              <w:bidi w:val="0"/>
              <w:spacing w:lineRule="auto" w:line="288" w:before="0" w:after="30"/>
              <w:jc w:val="center"/>
              <w:rPr>
                <w:rFonts w:ascii="Arial;sans-serif" w:hAnsi="Arial;sans-serif"/>
                <w:b/>
                <w:color w:val="000000"/>
                <w:sz w:val="18"/>
              </w:rPr>
            </w:pPr>
            <w:r>
              <w:rPr>
                <w:rFonts w:ascii="Arial;sans-serif" w:hAnsi="Arial;sans-serif"/>
                <w:b/>
                <w:color w:val="000000"/>
                <w:sz w:val="18"/>
              </w:rPr>
              <w:t>Identification Number)</w:t>
            </w:r>
          </w:p>
        </w:tc>
      </w:tr>
    </w:tbl>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888 N. Douglas Street, Suite 100</w:t>
      </w:r>
    </w:p>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El Segundo, California 90245</w:t>
      </w:r>
    </w:p>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(Address of principal executive offices, including zip code)</w:t>
      </w:r>
    </w:p>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(866) 756-4112</w:t>
      </w:r>
    </w:p>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(Registrant’s telephone number, including area code)</w:t>
      </w:r>
    </w:p>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Not Applicable</w:t>
      </w:r>
    </w:p>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(Former Name or Former Address, if Changed Since Last Report)</w:t>
      </w:r>
    </w:p>
    <w:p>
      <w:pPr>
        <w:pStyle w:val="TextBody"/>
        <w:bidi w:val="0"/>
        <w:spacing w:lineRule="auto" w:line="312" w:before="120" w:after="120"/>
        <w:jc w:val="center"/>
        <w:rPr>
          <w:rFonts w:ascii="Arial;sans-serif" w:hAnsi="Arial;sans-serif"/>
          <w:b w:val="false"/>
          <w:color w:val="000000"/>
          <w:sz w:val="18"/>
        </w:rPr>
      </w:pPr>
      <w:r>
        <w:rPr>
          <w:rFonts w:ascii="Arial;sans-serif" w:hAnsi="Arial;sans-serif"/>
          <w:b w:val="false"/>
          <w:color w:val="000000"/>
          <w:sz w:val="18"/>
        </w:rPr>
        <w:t xml:space="preserve">Check the appropriate box below if the Form 8-K filing is intended to simultaneously satisfy the filing obligation of the registrant under any of the following provisions: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27"/>
        <w:gridCol w:w="1085"/>
        <w:gridCol w:w="1085"/>
        <w:gridCol w:w="1971"/>
        <w:gridCol w:w="1971"/>
        <w:gridCol w:w="1980"/>
        <w:gridCol w:w="187"/>
        <w:gridCol w:w="187"/>
        <w:gridCol w:w="2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1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1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1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97" w:type="dxa"/>
            <w:gridSpan w:val="3"/>
            <w:tcBorders/>
            <w:vAlign w:val="center"/>
          </w:tcPr>
          <w:p>
            <w:pPr>
              <w:pStyle w:val="TableContents"/>
              <w:bidi w:val="0"/>
              <w:spacing w:before="0" w:after="283"/>
              <w:jc w:val="left"/>
              <w:rPr>
                <w:sz w:val="4"/>
                <w:szCs w:val="4"/>
              </w:rPr>
            </w:pPr>
            <w:r>
              <w:rPr>
                <w:sz w:val="4"/>
                <w:szCs w:val="4"/>
              </w:rPr>
            </w:r>
          </w:p>
        </w:tc>
        <w:tc>
          <w:tcPr>
            <w:tcW w:w="5922"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8556" w:type="dxa"/>
        <w:jc w:val="left"/>
        <w:tblInd w:w="0" w:type="dxa"/>
        <w:tblLayout w:type="fixed"/>
        <w:tblCellMar>
          <w:top w:w="28" w:type="dxa"/>
          <w:left w:w="28" w:type="dxa"/>
          <w:bottom w:w="28" w:type="dxa"/>
          <w:right w:w="28" w:type="dxa"/>
        </w:tblCellMar>
      </w:tblPr>
      <w:tblGrid>
        <w:gridCol w:w="1102"/>
        <w:gridCol w:w="965"/>
        <w:gridCol w:w="977"/>
        <w:gridCol w:w="109"/>
        <w:gridCol w:w="109"/>
        <w:gridCol w:w="109"/>
        <w:gridCol w:w="484"/>
        <w:gridCol w:w="484"/>
        <w:gridCol w:w="486"/>
        <w:gridCol w:w="109"/>
        <w:gridCol w:w="109"/>
        <w:gridCol w:w="109"/>
        <w:gridCol w:w="995"/>
        <w:gridCol w:w="995"/>
        <w:gridCol w:w="1414"/>
      </w:tblGrid>
      <w:tr>
        <w:trPr/>
        <w:tc>
          <w:tcPr>
            <w:tcW w:w="110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r>
      <w:tr>
        <w:trPr/>
        <w:tc>
          <w:tcPr>
            <w:tcW w:w="3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BYND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The Nasdaq Stock Market LLC</w:t>
            </w:r>
          </w:p>
        </w:tc>
      </w:tr>
    </w:tbl>
    <w:p>
      <w:pPr>
        <w:pStyle w:val="TextBody"/>
        <w:bidi w:val="0"/>
        <w:spacing w:lineRule="auto" w:line="312" w:before="120" w:after="120"/>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 Emerging growth company ☐</w:t>
      </w:r>
    </w:p>
    <w:p>
      <w:pPr>
        <w:pStyle w:val="TextBody"/>
        <w:bidi w:val="0"/>
        <w:spacing w:lineRule="auto" w:line="312" w:before="120" w:after="120"/>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80"/>
                        <w:jc w:val="left"/>
                        <w:rPr/>
                      </w:pPr>
                      <w:r>
                        <w:rPr/>
                      </w:r>
                    </w:p>
                  </w:txbxContent>
                </v:textbox>
                <w10:wrap type="none"/>
              </v:rect>
            </w:pict>
          </mc:Fallback>
        </mc:AlternateContent>
      </w:r>
    </w:p>
    <w:p>
      <w:pPr>
        <w:pStyle w:val="TextBody"/>
        <w:bidi w:val="0"/>
        <w:spacing w:before="120" w:after="180"/>
        <w:jc w:val="left"/>
        <w:rPr/>
      </w:pPr>
      <w:r>
        <w:rPr/>
      </w:r>
    </w:p>
    <w:tbl>
      <w:tblPr>
        <w:tblW w:w="2369" w:type="dxa"/>
        <w:jc w:val="left"/>
        <w:tblInd w:w="0" w:type="dxa"/>
        <w:tblLayout w:type="fixed"/>
        <w:tblCellMar>
          <w:top w:w="28" w:type="dxa"/>
          <w:left w:w="28" w:type="dxa"/>
          <w:bottom w:w="28" w:type="dxa"/>
          <w:right w:w="28" w:type="dxa"/>
        </w:tblCellMar>
      </w:tblPr>
      <w:tblGrid>
        <w:gridCol w:w="347"/>
        <w:gridCol w:w="305"/>
        <w:gridCol w:w="308"/>
        <w:gridCol w:w="412"/>
        <w:gridCol w:w="412"/>
        <w:gridCol w:w="585"/>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Item 8.01</w:t>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Other Events.</w:t>
            </w:r>
          </w:p>
        </w:tc>
      </w:tr>
    </w:tbl>
    <w:p>
      <w:pPr>
        <w:pStyle w:val="TextBody"/>
        <w:bidi w:val="0"/>
        <w:spacing w:lineRule="auto" w:line="417" w:before="120" w:after="180"/>
        <w:jc w:val="left"/>
        <w:rPr>
          <w:rFonts w:ascii="Arial;sans-serif" w:hAnsi="Arial;sans-serif"/>
          <w:b w:val="false"/>
          <w:color w:val="000000"/>
          <w:sz w:val="20"/>
        </w:rPr>
      </w:pPr>
      <w:r>
        <w:rPr>
          <w:rFonts w:ascii="Arial;sans-serif" w:hAnsi="Arial;sans-serif"/>
          <w:b w:val="false"/>
          <w:color w:val="000000"/>
          <w:sz w:val="20"/>
        </w:rPr>
        <w:t>As previously disclosed, on March 4, 2026, Beyond Meat, Inc. (the "Company") received a deficiency letter from the Nasdaq Listing Qualifications Department (the "Staff") of The Nasdaq Stock Market LLC ("Nasdaq") notifying the Company that, for the last 30 consecutive business days, the closing bid price for the Company's common stock had been below the minimum $1.00 per share required for continued listing on The Nasdaq Global Select Market pursuant to Nasdaq Listing Rule 5450(a)(1) (the "Minimum Bid Price Requirement"). The Company was provided a period of 180 calendar days, or until August 31, 2026, to regain compliance with the Minimum Bid Price Requirement.</w:t>
      </w:r>
    </w:p>
    <w:p>
      <w:pPr>
        <w:pStyle w:val="TextBody"/>
        <w:bidi w:val="0"/>
        <w:spacing w:lineRule="auto" w:line="417" w:before="120" w:after="180"/>
        <w:jc w:val="left"/>
        <w:rPr>
          <w:rFonts w:ascii="Arial;sans-serif" w:hAnsi="Arial;sans-serif"/>
          <w:b w:val="false"/>
          <w:color w:val="000000"/>
          <w:sz w:val="20"/>
        </w:rPr>
      </w:pPr>
      <w:r>
        <w:rPr>
          <w:rFonts w:ascii="Arial;sans-serif" w:hAnsi="Arial;sans-serif"/>
          <w:b w:val="false"/>
          <w:color w:val="000000"/>
          <w:sz w:val="20"/>
        </w:rPr>
        <w:t xml:space="preserve">On August 28, 2026, the Company received a letter from the Staff notifying the Company that the Staff had determined that for the last 10 consecutive business days, from August 14, 2026 to August 27, 2026, the closing bid price of the Company's common stock had been at $1.00 per share or greater and, accordingly, the Company had regained compliance with the Minimum Bid Price Requirement for continued listing on Nasdaq and that the matter is now closed. While the Company has regained compliance with the Minimum Bid Price Requirement, there can be no assurance that the Company will be able to maintain compliance with the Minimum Bid Price Requirement in the future.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2"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80"/>
                        <w:jc w:val="left"/>
                        <w:rPr/>
                      </w:pPr>
                      <w:r>
                        <w:rPr/>
                      </w:r>
                    </w:p>
                  </w:txbxContent>
                </v:textbox>
                <w10:wrap type="none"/>
              </v:rect>
            </w:pict>
          </mc:Fallback>
        </mc:AlternateContent>
      </w:r>
    </w:p>
    <w:p>
      <w:pPr>
        <w:pStyle w:val="TextBody"/>
        <w:bidi w:val="0"/>
        <w:spacing w:before="120" w:after="180"/>
        <w:jc w:val="left"/>
        <w:rPr/>
      </w:pPr>
      <w:r>
        <w:rPr/>
      </w:r>
    </w:p>
    <w:p>
      <w:pPr>
        <w:pStyle w:val="TextBody"/>
        <w:bidi w:val="0"/>
        <w:spacing w:lineRule="auto" w:line="417" w:before="120" w:after="18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417" w:before="12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120" w:after="180"/>
        <w:jc w:val="left"/>
        <w:rPr/>
      </w:pPr>
      <w:r>
        <w:rPr/>
      </w:r>
    </w:p>
    <w:tbl>
      <w:tblPr>
        <w:tblW w:w="4356" w:type="dxa"/>
        <w:jc w:val="left"/>
        <w:tblInd w:w="0" w:type="dxa"/>
        <w:tblLayout w:type="fixed"/>
        <w:tblCellMar>
          <w:top w:w="28" w:type="dxa"/>
          <w:left w:w="28" w:type="dxa"/>
          <w:bottom w:w="28" w:type="dxa"/>
          <w:right w:w="28" w:type="dxa"/>
        </w:tblCellMar>
      </w:tblPr>
      <w:tblGrid>
        <w:gridCol w:w="367"/>
        <w:gridCol w:w="322"/>
        <w:gridCol w:w="322"/>
        <w:gridCol w:w="976"/>
        <w:gridCol w:w="976"/>
        <w:gridCol w:w="1393"/>
      </w:tblGrid>
      <w:tr>
        <w:trPr/>
        <w:tc>
          <w:tcPr>
            <w:tcW w:w="36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435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BEYOND MEAT, INC.</w:t>
            </w:r>
          </w:p>
        </w:tc>
      </w:tr>
      <w:tr>
        <w:trPr/>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3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Lubi Kutua</w:t>
            </w:r>
          </w:p>
        </w:tc>
      </w:tr>
      <w:tr>
        <w:trPr/>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Lubi Kutua</w:t>
            </w:r>
          </w:p>
        </w:tc>
      </w:tr>
      <w:tr>
        <w:trPr/>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Chief Financial Officer and Treasurer</w:t>
            </w:r>
          </w:p>
        </w:tc>
      </w:tr>
    </w:tbl>
    <w:p>
      <w:pPr>
        <w:pStyle w:val="TextBody"/>
        <w:bidi w:val="0"/>
        <w:spacing w:lineRule="auto" w:line="417" w:before="120" w:after="180"/>
        <w:jc w:val="left"/>
        <w:rPr>
          <w:rFonts w:ascii="Arial;sans-serif" w:hAnsi="Arial;sans-serif"/>
          <w:b w:val="false"/>
          <w:color w:val="000000"/>
          <w:sz w:val="20"/>
        </w:rPr>
      </w:pPr>
      <w:r>
        <w:rPr>
          <w:rFonts w:ascii="Arial;sans-serif" w:hAnsi="Arial;sans-serif"/>
          <w:b w:val="false"/>
          <w:color w:val="000000"/>
          <w:sz w:val="20"/>
        </w:rPr>
        <w:t>Date: September 1, 2026</w:t>
      </w:r>
    </w:p>
    <w:p>
      <w:pPr>
        <w:pStyle w:val="TextBody"/>
        <w:bidi w:val="0"/>
        <w:spacing w:before="120" w:after="18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51460"/>
                <wp:effectExtent l="0" t="0" r="0" b="0"/>
                <wp:wrapNone/>
                <wp:docPr id="3" name="Frame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8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575</Words>
  <Characters>3094</Characters>
  <CharactersWithSpaces>3618</CharactersWithSpaces>
  <Paragraphs>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