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80" w:type="dxa"/>
            <w:vAlign w:val="bottom"/>
            <w:vMerge w:val="restart"/>
          </w:tcPr>
          <w:p>
            <w:pPr>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Goldman Seth</w:t>
              </w:r>
            </w:hyperlink>
          </w:p>
        </w:tc>
        <w:tc>
          <w:tcPr>
            <w:tcW w:w="1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ind w:left="40"/>
              <w:spacing w:after="0" w:line="80" w:lineRule="exact"/>
              <w:rPr>
                <w:rFonts w:ascii="Arial" w:cs="Arial" w:eastAsia="Arial" w:hAnsi="Arial"/>
                <w:sz w:val="9"/>
                <w:szCs w:val="9"/>
                <w:color w:val="0000EE"/>
              </w:rPr>
            </w:pPr>
            <w:hyperlink r:id="rId14">
              <w:r>
                <w:rPr>
                  <w:rFonts w:ascii="Arial" w:cs="Arial" w:eastAsia="Arial" w:hAnsi="Arial"/>
                  <w:sz w:val="9"/>
                  <w:szCs w:val="9"/>
                  <w:u w:val="single" w:color="auto"/>
                  <w:color w:val="0000EE"/>
                </w:rPr>
                <w:t>BEYOND MEAT, INC.</w:t>
              </w:r>
              <w:r>
                <w:rPr>
                  <w:rFonts w:ascii="Arial" w:cs="Arial" w:eastAsia="Arial" w:hAnsi="Arial"/>
                  <w:sz w:val="9"/>
                  <w:szCs w:val="9"/>
                  <w:color w:val="0000EE"/>
                </w:rPr>
                <w:t xml:space="preserve">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BYND</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2160" w:type="dxa"/>
            <w:vAlign w:val="bottom"/>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160" w:type="dxa"/>
            <w:vAlign w:val="bottom"/>
            <w:vMerge w:val="restart"/>
          </w:tcPr>
          <w:p>
            <w:pPr>
              <w:ind w:left="56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100" w:type="dxa"/>
            <w:vAlign w:val="bottom"/>
            <w:vMerge w:val="restart"/>
          </w:tcPr>
          <w:p>
            <w:pPr>
              <w:ind w:left="16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0"/>
                <w:szCs w:val="10"/>
                <w:color w:val="auto"/>
              </w:rPr>
              <w:t>3. Date of Earliest Transaction (Month/Day/Year)</w:t>
            </w: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3"/>
                <w:szCs w:val="13"/>
                <w:color w:val="0000FF"/>
              </w:rPr>
              <w:t>C/O BEYOND MEAT, INC.</w:t>
            </w:r>
          </w:p>
        </w:tc>
        <w:tc>
          <w:tcPr>
            <w:tcW w:w="1500" w:type="dxa"/>
            <w:vAlign w:val="bottom"/>
          </w:tcPr>
          <w:p>
            <w:pPr>
              <w:spacing w:after="0"/>
              <w:rPr>
                <w:sz w:val="17"/>
                <w:szCs w:val="17"/>
                <w:color w:val="auto"/>
              </w:rPr>
            </w:pPr>
          </w:p>
        </w:tc>
        <w:tc>
          <w:tcPr>
            <w:tcW w:w="3920" w:type="dxa"/>
            <w:vAlign w:val="bottom"/>
            <w:gridSpan w:val="2"/>
          </w:tcPr>
          <w:p>
            <w:pPr>
              <w:ind w:left="120"/>
              <w:spacing w:after="0"/>
              <w:rPr>
                <w:sz w:val="20"/>
                <w:szCs w:val="20"/>
                <w:color w:val="auto"/>
              </w:rPr>
            </w:pPr>
            <w:r>
              <w:rPr>
                <w:rFonts w:ascii="Arial" w:cs="Arial" w:eastAsia="Arial" w:hAnsi="Arial"/>
                <w:sz w:val="13"/>
                <w:szCs w:val="13"/>
                <w:color w:val="0000FF"/>
              </w:rPr>
              <w:t>05/21/2020</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3"/>
                <w:szCs w:val="13"/>
                <w:color w:val="0000FF"/>
              </w:rPr>
              <w:t>119 STANDARD STREET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Borders>
              <w:bottom w:val="single" w:sz="8" w:color="2C2C2C"/>
            </w:tcBorders>
          </w:tcPr>
          <w:p>
            <w:pPr>
              <w:spacing w:after="0"/>
              <w:rPr>
                <w:sz w:val="18"/>
                <w:szCs w:val="18"/>
                <w:color w:val="auto"/>
              </w:rPr>
            </w:pPr>
          </w:p>
        </w:tc>
        <w:tc>
          <w:tcPr>
            <w:tcW w:w="21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3840" w:type="dxa"/>
            <w:vAlign w:val="bottom"/>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3840" w:type="dxa"/>
            <w:vAlign w:val="bottom"/>
            <w:vMerge w:val="continue"/>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1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300" w:type="dxa"/>
            <w:vAlign w:val="bottom"/>
            <w:gridSpan w:val="2"/>
          </w:tcPr>
          <w:p>
            <w:pPr>
              <w:ind w:left="26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3"/>
                <w:szCs w:val="13"/>
                <w:color w:val="0000FF"/>
              </w:rPr>
              <w:t>EL SEGUNDO</w:t>
            </w:r>
          </w:p>
        </w:tc>
        <w:tc>
          <w:tcPr>
            <w:tcW w:w="1100" w:type="dxa"/>
            <w:vAlign w:val="bottom"/>
          </w:tcPr>
          <w:p>
            <w:pPr>
              <w:ind w:left="160"/>
              <w:spacing w:after="0"/>
              <w:rPr>
                <w:sz w:val="20"/>
                <w:szCs w:val="20"/>
                <w:color w:val="auto"/>
              </w:rPr>
            </w:pPr>
            <w:r>
              <w:rPr>
                <w:rFonts w:ascii="Arial" w:cs="Arial" w:eastAsia="Arial" w:hAnsi="Arial"/>
                <w:sz w:val="13"/>
                <w:szCs w:val="13"/>
                <w:color w:val="0000FF"/>
              </w:rPr>
              <w:t>CA</w:t>
            </w:r>
          </w:p>
        </w:tc>
        <w:tc>
          <w:tcPr>
            <w:tcW w:w="1500" w:type="dxa"/>
            <w:vAlign w:val="bottom"/>
          </w:tcPr>
          <w:p>
            <w:pPr>
              <w:ind w:left="300"/>
              <w:spacing w:after="0"/>
              <w:rPr>
                <w:sz w:val="20"/>
                <w:szCs w:val="20"/>
                <w:color w:val="auto"/>
              </w:rPr>
            </w:pPr>
            <w:r>
              <w:rPr>
                <w:rFonts w:ascii="Arial" w:cs="Arial" w:eastAsia="Arial" w:hAnsi="Arial"/>
                <w:sz w:val="13"/>
                <w:szCs w:val="13"/>
                <w:color w:val="0000FF"/>
              </w:rPr>
              <w:t>90245</w:t>
            </w: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0"/>
                <w:szCs w:val="10"/>
                <w:color w:val="auto"/>
              </w:rPr>
              <w:t>(City)</w:t>
            </w:r>
          </w:p>
        </w:tc>
        <w:tc>
          <w:tcPr>
            <w:tcW w:w="1100" w:type="dxa"/>
            <w:vAlign w:val="bottom"/>
          </w:tcPr>
          <w:p>
            <w:pPr>
              <w:ind w:left="16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6997700" cy="1989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9894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31"/>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jc w:val="center"/>
              <w:ind w:right="6"/>
              <w:spacing w:after="0"/>
              <w:rPr>
                <w:sz w:val="20"/>
                <w:szCs w:val="20"/>
                <w:color w:val="auto"/>
              </w:rPr>
            </w:pPr>
            <w:r>
              <w:rPr>
                <w:rFonts w:ascii="Arial" w:cs="Arial" w:eastAsia="Arial" w:hAnsi="Arial"/>
                <w:sz w:val="9"/>
                <w:szCs w:val="9"/>
                <w:b w:val="1"/>
                <w:bCs w:val="1"/>
                <w:color w:val="auto"/>
                <w:w w:val="99"/>
              </w:rPr>
              <w:t>6. Ownership Form:</w:t>
            </w: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2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05/21/2020</w:t>
            </w: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3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195"/>
              <w:spacing w:after="0"/>
              <w:rPr>
                <w:sz w:val="20"/>
                <w:szCs w:val="20"/>
                <w:color w:val="auto"/>
              </w:rPr>
            </w:pPr>
            <w:r>
              <w:rPr>
                <w:rFonts w:ascii="Arial" w:cs="Arial" w:eastAsia="Arial" w:hAnsi="Arial"/>
                <w:sz w:val="13"/>
                <w:szCs w:val="13"/>
                <w:color w:val="0000FF"/>
              </w:rPr>
              <w:t>1,006</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9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00FF"/>
                <w:w w:val="86"/>
              </w:rPr>
              <w:t>672,950</w:t>
            </w:r>
            <w:r>
              <w:rPr>
                <w:rFonts w:ascii="Arial" w:cs="Arial" w:eastAsia="Arial" w:hAnsi="Arial"/>
                <w:sz w:val="16"/>
                <w:szCs w:val="16"/>
                <w:color w:val="008000"/>
                <w:w w:val="86"/>
                <w:vertAlign w:val="superscript"/>
              </w:rPr>
              <w:t>(2)</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By Seth</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vMerge w:val="restart"/>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vMerge w:val="restart"/>
          </w:tcPr>
          <w:p>
            <w:pPr>
              <w:jc w:val="center"/>
              <w:ind w:left="287"/>
              <w:spacing w:after="0"/>
              <w:rPr>
                <w:sz w:val="20"/>
                <w:szCs w:val="20"/>
                <w:color w:val="auto"/>
              </w:rPr>
            </w:pPr>
            <w:r>
              <w:rPr>
                <w:rFonts w:ascii="Arial" w:cs="Arial" w:eastAsia="Arial" w:hAnsi="Arial"/>
                <w:sz w:val="13"/>
                <w:szCs w:val="13"/>
                <w:color w:val="0000FF"/>
                <w:w w:val="90"/>
              </w:rPr>
              <w:t>92,358</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restart"/>
          </w:tcPr>
          <w:p>
            <w:pPr>
              <w:jc w:val="center"/>
              <w:ind w:right="306"/>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Goldman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0000FF"/>
              </w:rPr>
              <w:t>Revocable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By Julie 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vMerge w:val="restart"/>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vMerge w:val="restart"/>
          </w:tcPr>
          <w:p>
            <w:pPr>
              <w:jc w:val="center"/>
              <w:ind w:left="307"/>
              <w:spacing w:after="0"/>
              <w:rPr>
                <w:sz w:val="20"/>
                <w:szCs w:val="20"/>
                <w:color w:val="auto"/>
              </w:rPr>
            </w:pPr>
            <w:r>
              <w:rPr>
                <w:rFonts w:ascii="Arial" w:cs="Arial" w:eastAsia="Arial" w:hAnsi="Arial"/>
                <w:sz w:val="13"/>
                <w:szCs w:val="13"/>
                <w:color w:val="0000FF"/>
                <w:w w:val="89"/>
              </w:rPr>
              <w:t>253,659</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restart"/>
          </w:tcPr>
          <w:p>
            <w:pPr>
              <w:jc w:val="center"/>
              <w:ind w:right="306"/>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Farkas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0000FF"/>
              </w:rPr>
              <w:t>Revocable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jc w:val="center"/>
              <w:ind w:left="287"/>
              <w:spacing w:after="0"/>
              <w:rPr>
                <w:sz w:val="20"/>
                <w:szCs w:val="20"/>
                <w:color w:val="auto"/>
              </w:rPr>
            </w:pPr>
            <w:r>
              <w:rPr>
                <w:rFonts w:ascii="Arial" w:cs="Arial" w:eastAsia="Arial" w:hAnsi="Arial"/>
                <w:sz w:val="13"/>
                <w:szCs w:val="13"/>
                <w:color w:val="0000FF"/>
                <w:w w:val="92"/>
              </w:rPr>
              <w:t>300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center"/>
              <w:ind w:right="306"/>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w w:val="99"/>
              </w:rPr>
              <w:t>By son no. 1</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jc w:val="center"/>
              <w:ind w:left="287"/>
              <w:spacing w:after="0"/>
              <w:rPr>
                <w:sz w:val="20"/>
                <w:szCs w:val="20"/>
                <w:color w:val="auto"/>
              </w:rPr>
            </w:pPr>
            <w:r>
              <w:rPr>
                <w:rFonts w:ascii="Arial" w:cs="Arial" w:eastAsia="Arial" w:hAnsi="Arial"/>
                <w:sz w:val="13"/>
                <w:szCs w:val="13"/>
                <w:color w:val="0000FF"/>
                <w:w w:val="92"/>
              </w:rPr>
              <w:t>150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center"/>
              <w:ind w:right="306"/>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w w:val="99"/>
              </w:rPr>
              <w:t>By son no. 2</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right="16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Restricted stock units ("RSU") granted under the 2018 Equity Incentive Plan ("Plan") on May 21, 2020. The RSU award vests in equal monthly installments over the 12-month period following the grant date, subject to the Reporting Person's continued service through each vesting date, and subject to accelerated vesting upon a Change in Control (as defined in the Plan).</w:t>
      </w:r>
    </w:p>
    <w:p>
      <w:pPr>
        <w:spacing w:after="0" w:line="1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Reporting Person's previously filed Form 3 and Form 4 overreported the number of shares beneficially owned by him in that they included shares in which the Reporting Person has no pecuniary interest. This Form 4 reports the corrected amount.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0"/>
          <w:szCs w:val="10"/>
          <w:color w:val="008000"/>
        </w:rPr>
        <w:t>Exhibit 24.1 Power of Attorney attached.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1"/>
              </w:rPr>
              <w:t>/s/ Teri L. Witteman, as Attorney-In-Fact</w:t>
            </w:r>
          </w:p>
        </w:tc>
        <w:tc>
          <w:tcPr>
            <w:tcW w:w="8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w w:val="89"/>
              </w:rPr>
              <w:t>05/26/2020</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200" w:type="dxa"/>
            <w:vAlign w:val="bottom"/>
            <w:gridSpan w:val="3"/>
            <w:vMerge w:val="restart"/>
          </w:tcPr>
          <w:p>
            <w:pPr>
              <w:spacing w:after="0" w:line="140" w:lineRule="exact"/>
              <w:rPr>
                <w:sz w:val="20"/>
                <w:szCs w:val="20"/>
                <w:color w:val="auto"/>
              </w:rPr>
            </w:pPr>
            <w:r>
              <w:rPr>
                <w:rFonts w:ascii="Arial" w:cs="Arial" w:eastAsia="Arial" w:hAnsi="Arial"/>
                <w:sz w:val="13"/>
                <w:szCs w:val="13"/>
                <w:color w:val="0000FF"/>
              </w:rPr>
              <w:t>for Seth Goldman</w:t>
            </w: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The undersigned as a Section 16 reporting person of Beyond Meat, Inc. (the "Company"), hereby constitutes and appoints Mark J. Nelson an</w:t>
      </w:r>
    </w:p>
    <w:p>
      <w:pPr>
        <w:spacing w:after="0" w:line="4"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deliver and file for and on behalf of the undersigned, in the undersigned's capacity as an officer and/or director of the Company</w:t>
      </w:r>
    </w:p>
    <w:p>
      <w:pPr>
        <w:spacing w:after="0" w:line="1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3"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seek or obtain, as the undersigned's representative and on the undersigned's behalf, information on transactions in the Company's securiti</w:t>
      </w:r>
    </w:p>
    <w:p>
      <w:pPr>
        <w:spacing w:after="0" w:line="14" w:lineRule="exact"/>
        <w:rPr>
          <w:rFonts w:ascii="Courier New" w:cs="Courier New" w:eastAsia="Courier New" w:hAnsi="Courier New"/>
          <w:sz w:val="12"/>
          <w:szCs w:val="12"/>
          <w:color w:val="auto"/>
        </w:rPr>
      </w:pPr>
    </w:p>
    <w:p>
      <w:pPr>
        <w:ind w:left="460" w:hanging="460"/>
        <w:spacing w:after="0" w:line="244" w:lineRule="auto"/>
        <w:tabs>
          <w:tab w:leader="none" w:pos="304"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 This Power of Attorney shall remain in full force and effect until the undersigned is no longer required to file Forms 3, 4, and 5 with IN WITNESS WHEREOF, the undersigned has caused this Power of Attorney to be executed as of this 15th day of October, 2019.</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Seth Goldman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SETH GOLDMAN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8613"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2020-05-26T20:14:24Z</dcterms:created>
  <dcterms:modified xsi:type="dcterms:W3CDTF">2020-05-26T20:14:24Z</dcterms:modified>
</cp:coreProperties>
</file>